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5994D2">
      <w:pPr>
        <w:pStyle w:val="14"/>
        <w:jc w:val="center"/>
        <w:outlineLvl w:val="0"/>
        <w:rPr>
          <w:rFonts w:ascii="Times New Roman" w:hAnsi="Times New Roman" w:cs="Times New Roman"/>
          <w:snapToGrid w:val="0"/>
          <w:color w:val="auto"/>
          <w:sz w:val="32"/>
          <w:szCs w:val="32"/>
          <w:highlight w:val="none"/>
        </w:rPr>
      </w:pPr>
      <w:r>
        <w:rPr>
          <w:rFonts w:ascii="Times New Roman" w:hAnsi="Times New Roman" w:cs="Times New Roman"/>
          <w:snapToGrid w:val="0"/>
          <w:color w:val="auto"/>
          <w:sz w:val="32"/>
          <w:szCs w:val="32"/>
          <w:highlight w:val="none"/>
        </w:rPr>
        <w:t>一、建设项目基本情况</w:t>
      </w:r>
    </w:p>
    <w:tbl>
      <w:tblPr>
        <w:tblStyle w:val="18"/>
        <w:tblW w:w="8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84"/>
        <w:gridCol w:w="2777"/>
        <w:gridCol w:w="1962"/>
        <w:gridCol w:w="3049"/>
      </w:tblGrid>
      <w:tr w14:paraId="394174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136817D9">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建设项目名称</w:t>
            </w:r>
          </w:p>
        </w:tc>
        <w:tc>
          <w:tcPr>
            <w:tcW w:w="7788" w:type="dxa"/>
            <w:gridSpan w:val="3"/>
            <w:vAlign w:val="center"/>
          </w:tcPr>
          <w:p w14:paraId="7DB41C3C">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安徽福斯特智能科技有限公司智能装备产业园项目</w:t>
            </w:r>
          </w:p>
        </w:tc>
      </w:tr>
      <w:tr w14:paraId="47CD7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5F6B8D2E">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项目代码</w:t>
            </w:r>
          </w:p>
        </w:tc>
        <w:tc>
          <w:tcPr>
            <w:tcW w:w="7788" w:type="dxa"/>
            <w:gridSpan w:val="3"/>
            <w:vAlign w:val="center"/>
          </w:tcPr>
          <w:p w14:paraId="1CF33617">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2309-340405-04-01-228143</w:t>
            </w:r>
          </w:p>
        </w:tc>
      </w:tr>
      <w:tr w14:paraId="6DA234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610EE9A7">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建设单位联系人</w:t>
            </w:r>
          </w:p>
        </w:tc>
        <w:tc>
          <w:tcPr>
            <w:tcW w:w="2777" w:type="dxa"/>
            <w:vAlign w:val="center"/>
          </w:tcPr>
          <w:p w14:paraId="543CBB8F">
            <w:pPr>
              <w:snapToGrid w:val="0"/>
              <w:spacing w:line="276" w:lineRule="auto"/>
              <w:jc w:val="center"/>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rPr>
              <w:t>沈宏鹏</w:t>
            </w:r>
          </w:p>
        </w:tc>
        <w:tc>
          <w:tcPr>
            <w:tcW w:w="1962" w:type="dxa"/>
            <w:vAlign w:val="center"/>
          </w:tcPr>
          <w:p w14:paraId="57FB46B8">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联系方式</w:t>
            </w:r>
          </w:p>
        </w:tc>
        <w:tc>
          <w:tcPr>
            <w:tcW w:w="3049" w:type="dxa"/>
            <w:vAlign w:val="center"/>
          </w:tcPr>
          <w:p w14:paraId="40F830D9">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15955419601</w:t>
            </w:r>
          </w:p>
        </w:tc>
      </w:tr>
      <w:tr w14:paraId="2AD230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7FD52152">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建设地点</w:t>
            </w:r>
          </w:p>
        </w:tc>
        <w:tc>
          <w:tcPr>
            <w:tcW w:w="7788" w:type="dxa"/>
            <w:gridSpan w:val="3"/>
            <w:vAlign w:val="center"/>
          </w:tcPr>
          <w:p w14:paraId="728DAE18">
            <w:pPr>
              <w:snapToGrid w:val="0"/>
              <w:spacing w:line="276" w:lineRule="auto"/>
              <w:jc w:val="center"/>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highlight w:val="none"/>
              </w:rPr>
              <w:t>安徽省淮南市八公山区毕家岗街道新建社区</w:t>
            </w:r>
          </w:p>
        </w:tc>
      </w:tr>
      <w:tr w14:paraId="54000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71520BE7">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地理坐标</w:t>
            </w:r>
          </w:p>
        </w:tc>
        <w:tc>
          <w:tcPr>
            <w:tcW w:w="7788" w:type="dxa"/>
            <w:gridSpan w:val="3"/>
            <w:vAlign w:val="center"/>
          </w:tcPr>
          <w:p w14:paraId="47EA5A7C">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E</w:t>
            </w:r>
            <w:r>
              <w:rPr>
                <w:rFonts w:ascii="Times New Roman" w:hAnsi="Times New Roman" w:eastAsia="宋体" w:cs="Times New Roman"/>
                <w:color w:val="auto"/>
                <w:sz w:val="24"/>
                <w:highlight w:val="none"/>
                <w:u w:val="single"/>
              </w:rPr>
              <w:t>116</w:t>
            </w:r>
            <w:r>
              <w:rPr>
                <w:rFonts w:ascii="Times New Roman" w:hAnsi="Times New Roman" w:eastAsia="宋体" w:cs="Times New Roman"/>
                <w:color w:val="auto"/>
                <w:sz w:val="24"/>
                <w:highlight w:val="none"/>
              </w:rPr>
              <w:t>度</w:t>
            </w:r>
            <w:r>
              <w:rPr>
                <w:rFonts w:ascii="Times New Roman" w:hAnsi="Times New Roman" w:eastAsia="宋体" w:cs="Times New Roman"/>
                <w:color w:val="auto"/>
                <w:sz w:val="24"/>
                <w:highlight w:val="none"/>
                <w:u w:val="single"/>
              </w:rPr>
              <w:t>50</w:t>
            </w:r>
            <w:r>
              <w:rPr>
                <w:rFonts w:ascii="Times New Roman" w:hAnsi="Times New Roman" w:eastAsia="宋体" w:cs="Times New Roman"/>
                <w:color w:val="auto"/>
                <w:sz w:val="24"/>
                <w:highlight w:val="none"/>
              </w:rPr>
              <w:t>分</w:t>
            </w:r>
            <w:r>
              <w:rPr>
                <w:rFonts w:ascii="Times New Roman" w:hAnsi="Times New Roman" w:eastAsia="宋体" w:cs="Times New Roman"/>
                <w:color w:val="auto"/>
                <w:sz w:val="24"/>
                <w:highlight w:val="none"/>
                <w:u w:val="single"/>
              </w:rPr>
              <w:t>15.348</w:t>
            </w:r>
            <w:r>
              <w:rPr>
                <w:rFonts w:ascii="Times New Roman" w:hAnsi="Times New Roman" w:eastAsia="宋体" w:cs="Times New Roman"/>
                <w:color w:val="auto"/>
                <w:sz w:val="24"/>
                <w:highlight w:val="none"/>
              </w:rPr>
              <w:t>秒，</w:t>
            </w:r>
            <w:r>
              <w:rPr>
                <w:rFonts w:hint="eastAsia" w:ascii="Times New Roman" w:hAnsi="Times New Roman" w:eastAsia="宋体" w:cs="Times New Roman"/>
                <w:color w:val="auto"/>
                <w:sz w:val="24"/>
                <w:highlight w:val="none"/>
              </w:rPr>
              <w:t>S</w:t>
            </w:r>
            <w:r>
              <w:rPr>
                <w:rFonts w:ascii="Times New Roman" w:hAnsi="Times New Roman" w:eastAsia="宋体" w:cs="Times New Roman"/>
                <w:color w:val="auto"/>
                <w:sz w:val="24"/>
                <w:highlight w:val="none"/>
                <w:u w:val="single"/>
              </w:rPr>
              <w:t>32</w:t>
            </w:r>
            <w:r>
              <w:rPr>
                <w:rFonts w:ascii="Times New Roman" w:hAnsi="Times New Roman" w:eastAsia="宋体" w:cs="Times New Roman"/>
                <w:color w:val="auto"/>
                <w:sz w:val="24"/>
                <w:highlight w:val="none"/>
              </w:rPr>
              <w:t>度</w:t>
            </w:r>
            <w:r>
              <w:rPr>
                <w:rFonts w:ascii="Times New Roman" w:hAnsi="Times New Roman" w:eastAsia="宋体" w:cs="Times New Roman"/>
                <w:color w:val="auto"/>
                <w:sz w:val="24"/>
                <w:highlight w:val="none"/>
                <w:u w:val="single"/>
              </w:rPr>
              <w:t>39</w:t>
            </w:r>
            <w:r>
              <w:rPr>
                <w:rFonts w:ascii="Times New Roman" w:hAnsi="Times New Roman" w:eastAsia="宋体" w:cs="Times New Roman"/>
                <w:color w:val="auto"/>
                <w:sz w:val="24"/>
                <w:highlight w:val="none"/>
              </w:rPr>
              <w:t>分</w:t>
            </w:r>
            <w:r>
              <w:rPr>
                <w:rFonts w:ascii="Times New Roman" w:hAnsi="Times New Roman" w:eastAsia="宋体" w:cs="Times New Roman"/>
                <w:color w:val="auto"/>
                <w:sz w:val="24"/>
                <w:highlight w:val="none"/>
                <w:u w:val="single"/>
              </w:rPr>
              <w:t>14.232</w:t>
            </w:r>
            <w:r>
              <w:rPr>
                <w:rFonts w:ascii="Times New Roman" w:hAnsi="Times New Roman" w:eastAsia="宋体" w:cs="Times New Roman"/>
                <w:color w:val="auto"/>
                <w:sz w:val="24"/>
                <w:highlight w:val="none"/>
              </w:rPr>
              <w:t>秒）</w:t>
            </w:r>
          </w:p>
        </w:tc>
      </w:tr>
      <w:tr w14:paraId="0DD2C3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704C3E6F">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国民经济</w:t>
            </w:r>
          </w:p>
          <w:p w14:paraId="314D58D4">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行业类别</w:t>
            </w:r>
          </w:p>
        </w:tc>
        <w:tc>
          <w:tcPr>
            <w:tcW w:w="2777" w:type="dxa"/>
            <w:vAlign w:val="center"/>
          </w:tcPr>
          <w:p w14:paraId="20D9045A">
            <w:pPr>
              <w:snapToGrid w:val="0"/>
              <w:spacing w:line="276" w:lineRule="auto"/>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C3594商业、饮食、服务专用设备制造；</w:t>
            </w:r>
          </w:p>
          <w:p w14:paraId="75177AEB">
            <w:pPr>
              <w:snapToGrid w:val="0"/>
              <w:spacing w:line="276" w:lineRule="auto"/>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C3599其他专用设备制造</w:t>
            </w:r>
          </w:p>
        </w:tc>
        <w:tc>
          <w:tcPr>
            <w:tcW w:w="1962" w:type="dxa"/>
            <w:vAlign w:val="center"/>
          </w:tcPr>
          <w:p w14:paraId="46D8622C">
            <w:pPr>
              <w:snapToGrid w:val="0"/>
              <w:spacing w:line="276" w:lineRule="auto"/>
              <w:jc w:val="center"/>
              <w:rPr>
                <w:rFonts w:ascii="Times New Roman" w:hAnsi="Times New Roman" w:eastAsia="宋体" w:cs="Times New Roman"/>
                <w:color w:val="auto"/>
                <w:sz w:val="24"/>
                <w:szCs w:val="24"/>
                <w:highlight w:val="none"/>
              </w:rPr>
            </w:pPr>
            <w:bookmarkStart w:id="0" w:name="_Hlk49843745"/>
            <w:r>
              <w:rPr>
                <w:rFonts w:ascii="Times New Roman" w:hAnsi="Times New Roman" w:eastAsia="宋体" w:cs="Times New Roman"/>
                <w:color w:val="auto"/>
                <w:sz w:val="24"/>
                <w:szCs w:val="24"/>
                <w:highlight w:val="none"/>
              </w:rPr>
              <w:t>建设项目</w:t>
            </w:r>
          </w:p>
          <w:p w14:paraId="0CCB4633">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行业类别</w:t>
            </w:r>
            <w:bookmarkEnd w:id="0"/>
          </w:p>
        </w:tc>
        <w:tc>
          <w:tcPr>
            <w:tcW w:w="3049" w:type="dxa"/>
            <w:vAlign w:val="center"/>
          </w:tcPr>
          <w:p w14:paraId="2DABAA50">
            <w:pPr>
              <w:snapToGrid w:val="0"/>
              <w:spacing w:line="276" w:lineRule="auto"/>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 xml:space="preserve">三十二、专用设备制造业 </w:t>
            </w:r>
          </w:p>
          <w:p w14:paraId="24E4A6F7">
            <w:pPr>
              <w:snapToGrid w:val="0"/>
              <w:spacing w:line="276" w:lineRule="auto"/>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环保、邮政、社会公共服务</w:t>
            </w:r>
            <w:r>
              <w:rPr>
                <w:rFonts w:hint="eastAsia" w:ascii="Times New Roman" w:hAnsi="Times New Roman" w:eastAsia="宋体" w:cs="Times New Roman"/>
                <w:color w:val="auto"/>
                <w:sz w:val="24"/>
                <w:highlight w:val="none"/>
                <w:lang w:eastAsia="zh-CN"/>
              </w:rPr>
              <w:t>及其</w:t>
            </w:r>
            <w:r>
              <w:rPr>
                <w:rFonts w:ascii="Times New Roman" w:hAnsi="Times New Roman" w:eastAsia="宋体" w:cs="Times New Roman"/>
                <w:color w:val="auto"/>
                <w:sz w:val="24"/>
                <w:highlight w:val="none"/>
              </w:rPr>
              <w:t>他专用设备制造359</w:t>
            </w:r>
          </w:p>
        </w:tc>
      </w:tr>
      <w:tr w14:paraId="51FE96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3E779B48">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建设性质</w:t>
            </w:r>
          </w:p>
        </w:tc>
        <w:tc>
          <w:tcPr>
            <w:tcW w:w="2777" w:type="dxa"/>
            <w:vAlign w:val="center"/>
          </w:tcPr>
          <w:p w14:paraId="493AE620">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sym w:font="Wingdings 2" w:char="F052"/>
            </w:r>
            <w:r>
              <w:rPr>
                <w:rFonts w:ascii="Times New Roman" w:hAnsi="Times New Roman" w:eastAsia="宋体" w:cs="Times New Roman"/>
                <w:color w:val="auto"/>
                <w:sz w:val="24"/>
                <w:szCs w:val="24"/>
                <w:highlight w:val="none"/>
              </w:rPr>
              <w:t>新建（迁建）</w:t>
            </w:r>
          </w:p>
          <w:p w14:paraId="42F0D296">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A3"/>
            </w:r>
            <w:r>
              <w:rPr>
                <w:rFonts w:ascii="Times New Roman" w:hAnsi="Times New Roman" w:eastAsia="宋体" w:cs="Times New Roman"/>
                <w:color w:val="auto"/>
                <w:sz w:val="24"/>
                <w:szCs w:val="24"/>
                <w:highlight w:val="none"/>
              </w:rPr>
              <w:t>改建</w:t>
            </w:r>
          </w:p>
          <w:p w14:paraId="7310A2E5">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A3"/>
            </w:r>
            <w:r>
              <w:rPr>
                <w:rFonts w:ascii="Times New Roman" w:hAnsi="Times New Roman" w:eastAsia="宋体" w:cs="Times New Roman"/>
                <w:color w:val="auto"/>
                <w:sz w:val="24"/>
                <w:szCs w:val="24"/>
                <w:highlight w:val="none"/>
              </w:rPr>
              <w:t>扩建</w:t>
            </w:r>
          </w:p>
          <w:p w14:paraId="36D1B490">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A3"/>
            </w:r>
            <w:r>
              <w:rPr>
                <w:rFonts w:ascii="Times New Roman" w:hAnsi="Times New Roman" w:eastAsia="宋体" w:cs="Times New Roman"/>
                <w:color w:val="auto"/>
                <w:sz w:val="24"/>
                <w:szCs w:val="24"/>
                <w:highlight w:val="none"/>
              </w:rPr>
              <w:t>技术改造</w:t>
            </w:r>
          </w:p>
        </w:tc>
        <w:tc>
          <w:tcPr>
            <w:tcW w:w="1962" w:type="dxa"/>
            <w:vAlign w:val="center"/>
          </w:tcPr>
          <w:p w14:paraId="6C367CDE">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建设项目</w:t>
            </w:r>
          </w:p>
          <w:p w14:paraId="7BA67338">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申报情形</w:t>
            </w:r>
          </w:p>
        </w:tc>
        <w:tc>
          <w:tcPr>
            <w:tcW w:w="3049" w:type="dxa"/>
            <w:vAlign w:val="center"/>
          </w:tcPr>
          <w:p w14:paraId="355E5408">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sym w:font="Wingdings 2" w:char="F052"/>
            </w:r>
            <w:r>
              <w:rPr>
                <w:rFonts w:ascii="Times New Roman" w:hAnsi="Times New Roman" w:eastAsia="宋体" w:cs="Times New Roman"/>
                <w:color w:val="auto"/>
                <w:sz w:val="24"/>
                <w:szCs w:val="24"/>
                <w:highlight w:val="none"/>
              </w:rPr>
              <w:t>首次申报项目</w:t>
            </w:r>
          </w:p>
          <w:p w14:paraId="5CC77104">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A3"/>
            </w:r>
            <w:r>
              <w:rPr>
                <w:rFonts w:ascii="Times New Roman" w:hAnsi="Times New Roman" w:eastAsia="宋体" w:cs="Times New Roman"/>
                <w:color w:val="auto"/>
                <w:spacing w:val="-6"/>
                <w:sz w:val="24"/>
                <w:szCs w:val="24"/>
                <w:highlight w:val="none"/>
              </w:rPr>
              <w:t>不予批准后再次申报项目</w:t>
            </w:r>
          </w:p>
          <w:p w14:paraId="61C6FDD6">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A3"/>
            </w:r>
            <w:r>
              <w:rPr>
                <w:rFonts w:ascii="Times New Roman" w:hAnsi="Times New Roman" w:eastAsia="宋体" w:cs="Times New Roman"/>
                <w:color w:val="auto"/>
                <w:sz w:val="24"/>
                <w:szCs w:val="24"/>
                <w:highlight w:val="none"/>
              </w:rPr>
              <w:t>超五年重新审核项目</w:t>
            </w:r>
          </w:p>
          <w:p w14:paraId="19763524">
            <w:pPr>
              <w:snapToGrid w:val="0"/>
              <w:spacing w:line="276" w:lineRule="auto"/>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A3"/>
            </w:r>
            <w:r>
              <w:rPr>
                <w:rFonts w:ascii="Times New Roman" w:hAnsi="Times New Roman" w:eastAsia="宋体" w:cs="Times New Roman"/>
                <w:color w:val="auto"/>
                <w:sz w:val="24"/>
                <w:szCs w:val="24"/>
                <w:highlight w:val="none"/>
              </w:rPr>
              <w:t>重大变动重新报批项目</w:t>
            </w:r>
          </w:p>
        </w:tc>
      </w:tr>
      <w:tr w14:paraId="2BAE89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0868B813">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项目审批（核准/备案）部门（选填）</w:t>
            </w:r>
          </w:p>
        </w:tc>
        <w:tc>
          <w:tcPr>
            <w:tcW w:w="2777" w:type="dxa"/>
            <w:vAlign w:val="center"/>
          </w:tcPr>
          <w:p w14:paraId="15A7EADA">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淮南市八公山区发展和改革委员会</w:t>
            </w:r>
          </w:p>
        </w:tc>
        <w:tc>
          <w:tcPr>
            <w:tcW w:w="1962" w:type="dxa"/>
            <w:vAlign w:val="center"/>
          </w:tcPr>
          <w:p w14:paraId="4C8ED2B3">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项目审批（核准/备案）文号（选填）</w:t>
            </w:r>
          </w:p>
        </w:tc>
        <w:tc>
          <w:tcPr>
            <w:tcW w:w="3049" w:type="dxa"/>
            <w:vAlign w:val="center"/>
          </w:tcPr>
          <w:p w14:paraId="58B19706">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w:t>
            </w:r>
          </w:p>
        </w:tc>
      </w:tr>
      <w:tr w14:paraId="31C89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1A702525">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总投资（万元）</w:t>
            </w:r>
          </w:p>
        </w:tc>
        <w:tc>
          <w:tcPr>
            <w:tcW w:w="2777" w:type="dxa"/>
            <w:vAlign w:val="center"/>
          </w:tcPr>
          <w:p w14:paraId="28951487">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6000</w:t>
            </w:r>
          </w:p>
        </w:tc>
        <w:tc>
          <w:tcPr>
            <w:tcW w:w="1962" w:type="dxa"/>
            <w:tcMar>
              <w:top w:w="16" w:type="dxa"/>
              <w:left w:w="16" w:type="dxa"/>
              <w:right w:w="16" w:type="dxa"/>
            </w:tcMar>
            <w:vAlign w:val="center"/>
          </w:tcPr>
          <w:p w14:paraId="4576FA6F">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环保投资（万元）</w:t>
            </w:r>
          </w:p>
        </w:tc>
        <w:tc>
          <w:tcPr>
            <w:tcW w:w="3049" w:type="dxa"/>
            <w:vAlign w:val="center"/>
          </w:tcPr>
          <w:p w14:paraId="379C8A3C">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60</w:t>
            </w:r>
          </w:p>
        </w:tc>
      </w:tr>
      <w:tr w14:paraId="471DE6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670A8B7C">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环保投资</w:t>
            </w:r>
          </w:p>
          <w:p w14:paraId="7E7745C7">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占比（%）</w:t>
            </w:r>
          </w:p>
        </w:tc>
        <w:tc>
          <w:tcPr>
            <w:tcW w:w="2777" w:type="dxa"/>
            <w:vAlign w:val="center"/>
          </w:tcPr>
          <w:p w14:paraId="00E5CA15">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p>
        </w:tc>
        <w:tc>
          <w:tcPr>
            <w:tcW w:w="1962" w:type="dxa"/>
            <w:tcMar>
              <w:top w:w="16" w:type="dxa"/>
              <w:left w:w="16" w:type="dxa"/>
              <w:right w:w="16" w:type="dxa"/>
            </w:tcMar>
            <w:vAlign w:val="center"/>
          </w:tcPr>
          <w:p w14:paraId="5E455BA7">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施工工期</w:t>
            </w:r>
          </w:p>
        </w:tc>
        <w:tc>
          <w:tcPr>
            <w:tcW w:w="3049" w:type="dxa"/>
            <w:vAlign w:val="center"/>
          </w:tcPr>
          <w:p w14:paraId="4ADF204D">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6个月</w:t>
            </w:r>
          </w:p>
        </w:tc>
      </w:tr>
      <w:tr w14:paraId="21A6E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084" w:type="dxa"/>
            <w:tcMar>
              <w:top w:w="16" w:type="dxa"/>
              <w:left w:w="16" w:type="dxa"/>
              <w:right w:w="16" w:type="dxa"/>
            </w:tcMar>
            <w:vAlign w:val="center"/>
          </w:tcPr>
          <w:p w14:paraId="4D095EAB">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是否开工建设</w:t>
            </w:r>
          </w:p>
        </w:tc>
        <w:tc>
          <w:tcPr>
            <w:tcW w:w="2777" w:type="dxa"/>
            <w:vAlign w:val="center"/>
          </w:tcPr>
          <w:p w14:paraId="283B9634">
            <w:pPr>
              <w:snapToGrid w:val="0"/>
              <w:spacing w:line="276"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sym w:font="Wingdings 2" w:char="00A3"/>
            </w:r>
            <w:r>
              <w:rPr>
                <w:rFonts w:ascii="Times New Roman" w:hAnsi="Times New Roman" w:eastAsia="宋体" w:cs="Times New Roman"/>
                <w:color w:val="auto"/>
                <w:sz w:val="24"/>
                <w:szCs w:val="24"/>
                <w:highlight w:val="none"/>
              </w:rPr>
              <w:t>否</w:t>
            </w:r>
          </w:p>
          <w:p w14:paraId="1D2A5933">
            <w:pPr>
              <w:snapToGrid w:val="0"/>
              <w:spacing w:line="276" w:lineRule="auto"/>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sym w:font="Wingdings 2" w:char="0052"/>
            </w:r>
            <w:r>
              <w:rPr>
                <w:rFonts w:ascii="Times New Roman" w:hAnsi="Times New Roman" w:eastAsia="宋体" w:cs="Times New Roman"/>
                <w:color w:val="auto"/>
                <w:sz w:val="24"/>
                <w:szCs w:val="24"/>
                <w:highlight w:val="none"/>
              </w:rPr>
              <w:t>是：</w:t>
            </w:r>
            <w:r>
              <w:rPr>
                <w:rFonts w:hint="eastAsia" w:ascii="Times New Roman" w:hAnsi="Times New Roman" w:eastAsia="宋体" w:cs="Times New Roman"/>
                <w:color w:val="auto"/>
                <w:sz w:val="24"/>
                <w:szCs w:val="24"/>
                <w:highlight w:val="none"/>
              </w:rPr>
              <w:t>建设进程处于设备安装阶段，淮南市生态环境局以皖淮南环</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八</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罚</w:t>
            </w:r>
            <w:r>
              <w:rPr>
                <w:rFonts w:hint="eastAsia" w:ascii="Times New Roman" w:hAnsi="Times New Roman" w:eastAsia="宋体" w:cs="Times New Roman"/>
                <w:color w:val="auto"/>
                <w:sz w:val="24"/>
                <w:szCs w:val="24"/>
                <w:highlight w:val="none"/>
                <w:lang w:eastAsia="zh-CN"/>
              </w:rPr>
              <w:t>〔2024〕2号</w:t>
            </w:r>
            <w:r>
              <w:rPr>
                <w:rFonts w:hint="eastAsia" w:ascii="Times New Roman" w:hAnsi="Times New Roman" w:eastAsia="宋体" w:cs="Times New Roman"/>
                <w:color w:val="auto"/>
                <w:sz w:val="24"/>
                <w:szCs w:val="24"/>
                <w:highlight w:val="none"/>
              </w:rPr>
              <w:t>对建设单位出具行政处罚决定书，罚款人民币壹万玖仟玖佰伍拾元整。</w:t>
            </w:r>
          </w:p>
        </w:tc>
        <w:tc>
          <w:tcPr>
            <w:tcW w:w="1962" w:type="dxa"/>
            <w:tcMar>
              <w:top w:w="16" w:type="dxa"/>
              <w:left w:w="16" w:type="dxa"/>
              <w:right w:w="16" w:type="dxa"/>
            </w:tcMar>
            <w:vAlign w:val="center"/>
          </w:tcPr>
          <w:p w14:paraId="1C5683B2">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pacing w:val="-6"/>
                <w:sz w:val="24"/>
                <w:szCs w:val="24"/>
                <w:highlight w:val="none"/>
              </w:rPr>
              <w:t>用地（用海）面积（m</w:t>
            </w:r>
            <w:r>
              <w:rPr>
                <w:rFonts w:ascii="Times New Roman" w:hAnsi="Times New Roman" w:eastAsia="宋体" w:cs="Times New Roman"/>
                <w:color w:val="auto"/>
                <w:spacing w:val="-6"/>
                <w:sz w:val="24"/>
                <w:szCs w:val="24"/>
                <w:highlight w:val="none"/>
                <w:vertAlign w:val="superscript"/>
              </w:rPr>
              <w:t>2</w:t>
            </w:r>
            <w:r>
              <w:rPr>
                <w:rFonts w:ascii="Times New Roman" w:hAnsi="Times New Roman" w:eastAsia="宋体" w:cs="Times New Roman"/>
                <w:color w:val="auto"/>
                <w:spacing w:val="-6"/>
                <w:sz w:val="24"/>
                <w:szCs w:val="24"/>
                <w:highlight w:val="none"/>
              </w:rPr>
              <w:t>）</w:t>
            </w:r>
          </w:p>
        </w:tc>
        <w:tc>
          <w:tcPr>
            <w:tcW w:w="3049" w:type="dxa"/>
            <w:vAlign w:val="center"/>
          </w:tcPr>
          <w:p w14:paraId="32702B4A">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8390</w:t>
            </w:r>
          </w:p>
        </w:tc>
      </w:tr>
      <w:tr w14:paraId="72056A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vAlign w:val="center"/>
          </w:tcPr>
          <w:p w14:paraId="61F81121">
            <w:pPr>
              <w:autoSpaceDE w:val="0"/>
              <w:autoSpaceDN w:val="0"/>
              <w:snapToGrid w:val="0"/>
              <w:spacing w:line="276"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专项评价设置情况</w:t>
            </w:r>
          </w:p>
        </w:tc>
        <w:tc>
          <w:tcPr>
            <w:tcW w:w="7788" w:type="dxa"/>
            <w:gridSpan w:val="3"/>
            <w:vAlign w:val="center"/>
          </w:tcPr>
          <w:p w14:paraId="15D4FF85">
            <w:pPr>
              <w:autoSpaceDE w:val="0"/>
              <w:autoSpaceDN w:val="0"/>
              <w:adjustRightInd w:val="0"/>
              <w:spacing w:line="360" w:lineRule="auto"/>
              <w:jc w:val="left"/>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eastAsia="zh-CN"/>
              </w:rPr>
              <w:t>无须设置</w:t>
            </w:r>
            <w:r>
              <w:rPr>
                <w:rFonts w:ascii="Times New Roman" w:hAnsi="Times New Roman" w:eastAsia="宋体" w:cs="Times New Roman"/>
                <w:color w:val="auto"/>
                <w:sz w:val="24"/>
                <w:highlight w:val="none"/>
              </w:rPr>
              <w:t>，判定依据具体详见下表：</w:t>
            </w:r>
          </w:p>
          <w:p w14:paraId="062AB77E">
            <w:pPr>
              <w:autoSpaceDE w:val="0"/>
              <w:autoSpaceDN w:val="0"/>
              <w:adjustRightInd w:val="0"/>
              <w:spacing w:line="360" w:lineRule="auto"/>
              <w:jc w:val="left"/>
              <w:rPr>
                <w:rFonts w:ascii="Times New Roman" w:hAnsi="Times New Roman" w:eastAsia="宋体" w:cs="Times New Roman"/>
                <w:color w:val="auto"/>
                <w:sz w:val="24"/>
                <w:highlight w:val="none"/>
              </w:rPr>
            </w:pPr>
          </w:p>
          <w:p w14:paraId="4D3C6BA8">
            <w:pPr>
              <w:autoSpaceDE w:val="0"/>
              <w:autoSpaceDN w:val="0"/>
              <w:adjustRightInd w:val="0"/>
              <w:snapToGrid w:val="0"/>
              <w:jc w:val="center"/>
              <w:rPr>
                <w:rFonts w:ascii="Times New Roman" w:hAnsi="Times New Roman" w:eastAsia="宋体" w:cs="Times New Roman"/>
                <w:color w:val="auto"/>
                <w:sz w:val="24"/>
                <w:highlight w:val="none"/>
              </w:rPr>
            </w:pPr>
            <w:r>
              <w:rPr>
                <w:rFonts w:ascii="Times New Roman" w:hAnsi="Times New Roman" w:eastAsia="黑体" w:cs="Times New Roman"/>
                <w:color w:val="auto"/>
                <w:sz w:val="24"/>
                <w:highlight w:val="none"/>
              </w:rPr>
              <w:t>表1-1  专项评价设置原则表</w:t>
            </w:r>
          </w:p>
          <w:tbl>
            <w:tblPr>
              <w:tblStyle w:val="18"/>
              <w:tblW w:w="5000"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84"/>
              <w:gridCol w:w="2533"/>
              <w:gridCol w:w="2478"/>
              <w:gridCol w:w="1177"/>
            </w:tblGrid>
            <w:tr w14:paraId="1BA8CEC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4" w:type="pct"/>
                  <w:tcBorders>
                    <w:tl2br w:val="nil"/>
                    <w:tr2bl w:val="nil"/>
                  </w:tcBorders>
                  <w:vAlign w:val="center"/>
                </w:tcPr>
                <w:p w14:paraId="4C9C4D8F">
                  <w:pPr>
                    <w:autoSpaceDE w:val="0"/>
                    <w:autoSpaceDN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专项评价类别</w:t>
                  </w:r>
                </w:p>
              </w:tc>
              <w:tc>
                <w:tcPr>
                  <w:tcW w:w="1672" w:type="pct"/>
                  <w:tcBorders>
                    <w:tl2br w:val="nil"/>
                    <w:tr2bl w:val="nil"/>
                  </w:tcBorders>
                  <w:vAlign w:val="center"/>
                </w:tcPr>
                <w:p w14:paraId="3BE18E01">
                  <w:pPr>
                    <w:autoSpaceDE w:val="0"/>
                    <w:autoSpaceDN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设置原则</w:t>
                  </w:r>
                </w:p>
              </w:tc>
              <w:tc>
                <w:tcPr>
                  <w:tcW w:w="1636" w:type="pct"/>
                  <w:tcBorders>
                    <w:tl2br w:val="nil"/>
                    <w:tr2bl w:val="nil"/>
                  </w:tcBorders>
                  <w:vAlign w:val="center"/>
                </w:tcPr>
                <w:p w14:paraId="1CC2FB64">
                  <w:pPr>
                    <w:autoSpaceDE w:val="0"/>
                    <w:autoSpaceDN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本项目情况</w:t>
                  </w:r>
                </w:p>
              </w:tc>
              <w:tc>
                <w:tcPr>
                  <w:tcW w:w="777" w:type="pct"/>
                  <w:tcBorders>
                    <w:tl2br w:val="nil"/>
                    <w:tr2bl w:val="nil"/>
                  </w:tcBorders>
                  <w:vAlign w:val="center"/>
                </w:tcPr>
                <w:p w14:paraId="408FF49F">
                  <w:pPr>
                    <w:autoSpaceDE w:val="0"/>
                    <w:autoSpaceDN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是否设置专项评价</w:t>
                  </w:r>
                </w:p>
              </w:tc>
            </w:tr>
            <w:tr w14:paraId="22DDFEB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4" w:type="pct"/>
                  <w:tcBorders>
                    <w:tl2br w:val="nil"/>
                    <w:tr2bl w:val="nil"/>
                  </w:tcBorders>
                  <w:vAlign w:val="center"/>
                </w:tcPr>
                <w:p w14:paraId="661BEA55">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大气</w:t>
                  </w:r>
                </w:p>
              </w:tc>
              <w:tc>
                <w:tcPr>
                  <w:tcW w:w="1672" w:type="pct"/>
                  <w:tcBorders>
                    <w:tl2br w:val="nil"/>
                    <w:tr2bl w:val="nil"/>
                  </w:tcBorders>
                  <w:vAlign w:val="center"/>
                </w:tcPr>
                <w:p w14:paraId="641C81E7">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排放废气含有毒有害污染物、二噁英、苯并[a]芘、氰化物、氯气且厂界外500米范围内有环境空气保护目标的建设项目</w:t>
                  </w:r>
                </w:p>
              </w:tc>
              <w:tc>
                <w:tcPr>
                  <w:tcW w:w="1636" w:type="pct"/>
                  <w:tcBorders>
                    <w:tl2br w:val="nil"/>
                    <w:tr2bl w:val="nil"/>
                  </w:tcBorders>
                  <w:vAlign w:val="center"/>
                </w:tcPr>
                <w:p w14:paraId="4B77BF1B">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本项目排放废气主要为颗粒物和VOCs</w:t>
                  </w:r>
                  <w:r>
                    <w:rPr>
                      <w:rFonts w:ascii="Times New Roman" w:hAnsi="Times New Roman" w:eastAsia="宋体" w:cs="Times New Roman"/>
                      <w:color w:val="auto"/>
                      <w:sz w:val="18"/>
                      <w:szCs w:val="18"/>
                      <w:highlight w:val="none"/>
                    </w:rPr>
                    <w:t>，不</w:t>
                  </w:r>
                  <w:r>
                    <w:rPr>
                      <w:rFonts w:hint="eastAsia" w:ascii="Times New Roman" w:hAnsi="Times New Roman" w:eastAsia="宋体" w:cs="Times New Roman"/>
                      <w:color w:val="auto"/>
                      <w:sz w:val="18"/>
                      <w:szCs w:val="18"/>
                      <w:highlight w:val="none"/>
                    </w:rPr>
                    <w:t>涉及</w:t>
                  </w:r>
                  <w:r>
                    <w:rPr>
                      <w:rFonts w:ascii="Times New Roman" w:hAnsi="Times New Roman" w:eastAsia="宋体" w:cs="Times New Roman"/>
                      <w:color w:val="auto"/>
                      <w:sz w:val="18"/>
                      <w:szCs w:val="18"/>
                      <w:highlight w:val="none"/>
                    </w:rPr>
                    <w:t>二噁英、苯并[a]芘、氰化物、氯气以及《有毒有害大气污染物名录》中的有毒有害污染物</w:t>
                  </w:r>
                </w:p>
              </w:tc>
              <w:tc>
                <w:tcPr>
                  <w:tcW w:w="777" w:type="pct"/>
                  <w:tcBorders>
                    <w:tl2br w:val="nil"/>
                    <w:tr2bl w:val="nil"/>
                  </w:tcBorders>
                  <w:vAlign w:val="center"/>
                </w:tcPr>
                <w:p w14:paraId="0D6D5580">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否</w:t>
                  </w:r>
                </w:p>
              </w:tc>
            </w:tr>
            <w:tr w14:paraId="432C734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4" w:type="pct"/>
                  <w:tcBorders>
                    <w:tl2br w:val="nil"/>
                    <w:tr2bl w:val="nil"/>
                  </w:tcBorders>
                  <w:vAlign w:val="center"/>
                </w:tcPr>
                <w:p w14:paraId="7734231D">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地表水</w:t>
                  </w:r>
                </w:p>
              </w:tc>
              <w:tc>
                <w:tcPr>
                  <w:tcW w:w="1672" w:type="pct"/>
                  <w:tcBorders>
                    <w:tl2br w:val="nil"/>
                    <w:tr2bl w:val="nil"/>
                  </w:tcBorders>
                  <w:vAlign w:val="center"/>
                </w:tcPr>
                <w:p w14:paraId="0B9375BE">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新增工业废水直排建设项目（槽罐车外送污水处理厂的除外）；新增废水直排的污水集中处理厂</w:t>
                  </w:r>
                </w:p>
              </w:tc>
              <w:tc>
                <w:tcPr>
                  <w:tcW w:w="1636" w:type="pct"/>
                  <w:tcBorders>
                    <w:tl2br w:val="nil"/>
                    <w:tr2bl w:val="nil"/>
                  </w:tcBorders>
                  <w:vAlign w:val="center"/>
                </w:tcPr>
                <w:p w14:paraId="2289B92D">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w:t>
                  </w:r>
                  <w:r>
                    <w:rPr>
                      <w:rFonts w:hint="eastAsia" w:ascii="Times New Roman" w:hAnsi="Times New Roman" w:eastAsia="宋体" w:cs="Times New Roman"/>
                      <w:color w:val="auto"/>
                      <w:sz w:val="18"/>
                      <w:szCs w:val="18"/>
                      <w:highlight w:val="none"/>
                    </w:rPr>
                    <w:t>无生产废水，</w:t>
                  </w:r>
                  <w:r>
                    <w:rPr>
                      <w:rFonts w:ascii="Times New Roman" w:hAnsi="Times New Roman" w:eastAsia="宋体" w:cs="Times New Roman"/>
                      <w:color w:val="auto"/>
                      <w:sz w:val="18"/>
                      <w:szCs w:val="18"/>
                      <w:highlight w:val="none"/>
                    </w:rPr>
                    <w:t>不属于新增工业废水直排项目</w:t>
                  </w:r>
                </w:p>
              </w:tc>
              <w:tc>
                <w:tcPr>
                  <w:tcW w:w="777" w:type="pct"/>
                  <w:tcBorders>
                    <w:tl2br w:val="nil"/>
                    <w:tr2bl w:val="nil"/>
                  </w:tcBorders>
                  <w:vAlign w:val="center"/>
                </w:tcPr>
                <w:p w14:paraId="67776D62">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否</w:t>
                  </w:r>
                </w:p>
              </w:tc>
            </w:tr>
            <w:tr w14:paraId="4B83878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4" w:type="pct"/>
                  <w:tcBorders>
                    <w:tl2br w:val="nil"/>
                    <w:tr2bl w:val="nil"/>
                  </w:tcBorders>
                  <w:vAlign w:val="center"/>
                </w:tcPr>
                <w:p w14:paraId="6C3B6866">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环境风险</w:t>
                  </w:r>
                </w:p>
              </w:tc>
              <w:tc>
                <w:tcPr>
                  <w:tcW w:w="1672" w:type="pct"/>
                  <w:tcBorders>
                    <w:tl2br w:val="nil"/>
                    <w:tr2bl w:val="nil"/>
                  </w:tcBorders>
                  <w:vAlign w:val="center"/>
                </w:tcPr>
                <w:p w14:paraId="0EB81ED9">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有毒有害和易燃易爆危险物质存储量超过临界量的建设项目</w:t>
                  </w:r>
                </w:p>
              </w:tc>
              <w:tc>
                <w:tcPr>
                  <w:tcW w:w="1636" w:type="pct"/>
                  <w:tcBorders>
                    <w:tl2br w:val="nil"/>
                    <w:tr2bl w:val="nil"/>
                  </w:tcBorders>
                  <w:vAlign w:val="center"/>
                </w:tcPr>
                <w:p w14:paraId="231FD5A8">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本项目危险物质储存量未超过临界值</w:t>
                  </w:r>
                </w:p>
              </w:tc>
              <w:tc>
                <w:tcPr>
                  <w:tcW w:w="777" w:type="pct"/>
                  <w:tcBorders>
                    <w:tl2br w:val="nil"/>
                    <w:tr2bl w:val="nil"/>
                  </w:tcBorders>
                  <w:vAlign w:val="center"/>
                </w:tcPr>
                <w:p w14:paraId="516CAE56">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否</w:t>
                  </w:r>
                </w:p>
              </w:tc>
            </w:tr>
            <w:tr w14:paraId="1A2BD4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4" w:type="pct"/>
                  <w:tcBorders>
                    <w:tl2br w:val="nil"/>
                    <w:tr2bl w:val="nil"/>
                  </w:tcBorders>
                  <w:vAlign w:val="center"/>
                </w:tcPr>
                <w:p w14:paraId="217F256E">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生态</w:t>
                  </w:r>
                </w:p>
              </w:tc>
              <w:tc>
                <w:tcPr>
                  <w:tcW w:w="1672" w:type="pct"/>
                  <w:tcBorders>
                    <w:tl2br w:val="nil"/>
                    <w:tr2bl w:val="nil"/>
                  </w:tcBorders>
                  <w:vAlign w:val="center"/>
                </w:tcPr>
                <w:p w14:paraId="2AC72925">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取水口下游500米范围内有重要水生生物的自然产卵场、索饵场、越冬场和洄游通道的新增河道取水的污染类建设项目</w:t>
                  </w:r>
                </w:p>
              </w:tc>
              <w:tc>
                <w:tcPr>
                  <w:tcW w:w="1636" w:type="pct"/>
                  <w:tcBorders>
                    <w:tl2br w:val="nil"/>
                    <w:tr2bl w:val="nil"/>
                  </w:tcBorders>
                  <w:vAlign w:val="center"/>
                </w:tcPr>
                <w:p w14:paraId="39E7A83F">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不涉及</w:t>
                  </w:r>
                </w:p>
              </w:tc>
              <w:tc>
                <w:tcPr>
                  <w:tcW w:w="777" w:type="pct"/>
                  <w:tcBorders>
                    <w:tl2br w:val="nil"/>
                    <w:tr2bl w:val="nil"/>
                  </w:tcBorders>
                  <w:vAlign w:val="center"/>
                </w:tcPr>
                <w:p w14:paraId="550DB5A1">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否</w:t>
                  </w:r>
                </w:p>
              </w:tc>
            </w:tr>
            <w:tr w14:paraId="38C1789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14" w:type="pct"/>
                  <w:tcBorders>
                    <w:tl2br w:val="nil"/>
                    <w:tr2bl w:val="nil"/>
                  </w:tcBorders>
                  <w:vAlign w:val="center"/>
                </w:tcPr>
                <w:p w14:paraId="612C955D">
                  <w:pPr>
                    <w:autoSpaceDE w:val="0"/>
                    <w:autoSpaceDN w:val="0"/>
                    <w:snapToGrid w:val="0"/>
                    <w:spacing w:line="276" w:lineRule="auto"/>
                    <w:jc w:val="center"/>
                    <w:rPr>
                      <w:rFonts w:ascii="Times New Roman" w:hAnsi="Times New Roman" w:eastAsia="宋体" w:cs="Times New Roman"/>
                      <w:color w:val="auto"/>
                      <w:sz w:val="18"/>
                      <w:szCs w:val="18"/>
                      <w:highlight w:val="none"/>
                      <w:lang w:eastAsia="en-US"/>
                    </w:rPr>
                  </w:pPr>
                  <w:r>
                    <w:rPr>
                      <w:rFonts w:ascii="Times New Roman" w:hAnsi="Times New Roman" w:eastAsia="宋体" w:cs="Times New Roman"/>
                      <w:color w:val="auto"/>
                      <w:sz w:val="18"/>
                      <w:szCs w:val="18"/>
                      <w:highlight w:val="none"/>
                    </w:rPr>
                    <w:t>海洋</w:t>
                  </w:r>
                </w:p>
              </w:tc>
              <w:tc>
                <w:tcPr>
                  <w:tcW w:w="1672" w:type="pct"/>
                  <w:tcBorders>
                    <w:tl2br w:val="nil"/>
                    <w:tr2bl w:val="nil"/>
                  </w:tcBorders>
                  <w:vAlign w:val="center"/>
                </w:tcPr>
                <w:p w14:paraId="0C58CE7E">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直接向海排放污染物的海洋工程建设项目</w:t>
                  </w:r>
                </w:p>
              </w:tc>
              <w:tc>
                <w:tcPr>
                  <w:tcW w:w="1636" w:type="pct"/>
                  <w:tcBorders>
                    <w:tl2br w:val="nil"/>
                    <w:tr2bl w:val="nil"/>
                  </w:tcBorders>
                  <w:vAlign w:val="center"/>
                </w:tcPr>
                <w:p w14:paraId="31A89F0C">
                  <w:pPr>
                    <w:autoSpaceDE w:val="0"/>
                    <w:autoSpaceDN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color w:val="auto"/>
                      <w:sz w:val="18"/>
                      <w:szCs w:val="18"/>
                      <w:highlight w:val="none"/>
                    </w:rPr>
                    <w:t>不涉及</w:t>
                  </w:r>
                </w:p>
              </w:tc>
              <w:tc>
                <w:tcPr>
                  <w:tcW w:w="777" w:type="pct"/>
                  <w:tcBorders>
                    <w:tl2br w:val="nil"/>
                    <w:tr2bl w:val="nil"/>
                  </w:tcBorders>
                  <w:vAlign w:val="center"/>
                </w:tcPr>
                <w:p w14:paraId="4014A25D">
                  <w:pPr>
                    <w:autoSpaceDE w:val="0"/>
                    <w:autoSpaceDN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否</w:t>
                  </w:r>
                </w:p>
              </w:tc>
            </w:tr>
          </w:tbl>
          <w:p w14:paraId="441C6618">
            <w:pPr>
              <w:autoSpaceDE w:val="0"/>
              <w:autoSpaceDN w:val="0"/>
              <w:snapToGrid w:val="0"/>
              <w:spacing w:line="276" w:lineRule="auto"/>
              <w:jc w:val="center"/>
              <w:rPr>
                <w:rFonts w:ascii="Times New Roman" w:hAnsi="Times New Roman" w:eastAsia="宋体" w:cs="Times New Roman"/>
                <w:color w:val="auto"/>
                <w:spacing w:val="-2"/>
                <w:kern w:val="0"/>
                <w:sz w:val="24"/>
                <w:szCs w:val="24"/>
                <w:highlight w:val="none"/>
              </w:rPr>
            </w:pPr>
          </w:p>
        </w:tc>
      </w:tr>
      <w:tr w14:paraId="3D9F1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vAlign w:val="center"/>
          </w:tcPr>
          <w:p w14:paraId="0D2B6315">
            <w:pPr>
              <w:autoSpaceDE w:val="0"/>
              <w:autoSpaceDN w:val="0"/>
              <w:snapToGrid w:val="0"/>
              <w:spacing w:line="276"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规划情况</w:t>
            </w:r>
          </w:p>
        </w:tc>
        <w:tc>
          <w:tcPr>
            <w:tcW w:w="7788" w:type="dxa"/>
            <w:gridSpan w:val="3"/>
            <w:vAlign w:val="center"/>
          </w:tcPr>
          <w:p w14:paraId="58ECEE49">
            <w:pPr>
              <w:pStyle w:val="95"/>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Times New Roman" w:hAnsi="Times New Roman" w:eastAsia="宋体" w:cs="Times New Roman"/>
                <w:b w:val="0"/>
                <w:bCs/>
                <w:color w:val="auto"/>
                <w:kern w:val="0"/>
                <w:sz w:val="24"/>
                <w:szCs w:val="24"/>
                <w:highlight w:val="none"/>
                <w:lang w:val="en-US" w:eastAsia="zh-CN" w:bidi="ar-SA"/>
              </w:rPr>
            </w:pPr>
            <w:r>
              <w:rPr>
                <w:color w:val="000000"/>
                <w:kern w:val="0"/>
                <w:highlight w:val="none"/>
              </w:rPr>
              <w:t>规</w:t>
            </w:r>
            <w:r>
              <w:rPr>
                <w:rFonts w:ascii="Times New Roman" w:hAnsi="Times New Roman" w:eastAsia="宋体" w:cs="Times New Roman"/>
                <w:b w:val="0"/>
                <w:bCs/>
                <w:color w:val="auto"/>
                <w:kern w:val="0"/>
                <w:sz w:val="24"/>
                <w:szCs w:val="24"/>
                <w:highlight w:val="none"/>
                <w:lang w:val="en-US" w:eastAsia="zh-CN" w:bidi="ar-SA"/>
              </w:rPr>
              <w:t>划名称：</w:t>
            </w:r>
            <w:r>
              <w:rPr>
                <w:rFonts w:ascii="Times New Roman" w:hAnsi="Times New Roman" w:eastAsia="宋体" w:cs="Times New Roman"/>
                <w:b w:val="0"/>
                <w:bCs/>
                <w:color w:val="auto"/>
                <w:kern w:val="0"/>
                <w:sz w:val="24"/>
                <w:szCs w:val="24"/>
                <w:highlight w:val="none"/>
              </w:rPr>
              <w:t>《淮南市国土空间总体规划（2021</w:t>
            </w:r>
            <w:r>
              <w:rPr>
                <w:rFonts w:hint="eastAsia" w:cs="Times New Roman"/>
                <w:b w:val="0"/>
                <w:bCs/>
                <w:color w:val="auto"/>
                <w:kern w:val="0"/>
                <w:sz w:val="24"/>
                <w:szCs w:val="24"/>
                <w:highlight w:val="none"/>
                <w:lang w:val="en-US" w:eastAsia="zh-CN"/>
              </w:rPr>
              <w:t>-</w:t>
            </w:r>
            <w:r>
              <w:rPr>
                <w:rFonts w:ascii="Times New Roman" w:hAnsi="Times New Roman" w:eastAsia="宋体" w:cs="Times New Roman"/>
                <w:b w:val="0"/>
                <w:bCs/>
                <w:color w:val="auto"/>
                <w:kern w:val="0"/>
                <w:sz w:val="24"/>
                <w:szCs w:val="24"/>
                <w:highlight w:val="none"/>
              </w:rPr>
              <w:t>2035 年）》</w:t>
            </w:r>
          </w:p>
          <w:p w14:paraId="6ABDBB34">
            <w:pPr>
              <w:pStyle w:val="95"/>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Times New Roman" w:hAnsi="Times New Roman" w:eastAsia="宋体" w:cs="Times New Roman"/>
                <w:b w:val="0"/>
                <w:bCs/>
                <w:color w:val="auto"/>
                <w:kern w:val="0"/>
                <w:sz w:val="24"/>
                <w:szCs w:val="24"/>
                <w:highlight w:val="none"/>
                <w:lang w:val="en-US" w:eastAsia="zh-CN" w:bidi="ar-SA"/>
              </w:rPr>
            </w:pPr>
            <w:r>
              <w:rPr>
                <w:rFonts w:ascii="Times New Roman" w:hAnsi="Times New Roman" w:eastAsia="宋体" w:cs="Times New Roman"/>
                <w:b w:val="0"/>
                <w:bCs/>
                <w:color w:val="auto"/>
                <w:kern w:val="0"/>
                <w:sz w:val="24"/>
                <w:szCs w:val="24"/>
                <w:highlight w:val="none"/>
                <w:lang w:val="en-US" w:eastAsia="zh-CN" w:bidi="ar-SA"/>
              </w:rPr>
              <w:t>审批机关：</w:t>
            </w:r>
            <w:r>
              <w:rPr>
                <w:rFonts w:hint="eastAsia" w:ascii="Times New Roman" w:hAnsi="Times New Roman" w:eastAsia="宋体" w:cs="Times New Roman"/>
                <w:b w:val="0"/>
                <w:bCs/>
                <w:color w:val="auto"/>
                <w:kern w:val="0"/>
                <w:sz w:val="24"/>
                <w:szCs w:val="24"/>
                <w:highlight w:val="none"/>
                <w:lang w:val="en-US" w:eastAsia="zh-CN" w:bidi="ar-SA"/>
              </w:rPr>
              <w:t>安徽省人民政府</w:t>
            </w:r>
          </w:p>
          <w:p w14:paraId="24DAB86A">
            <w:pPr>
              <w:pStyle w:val="95"/>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Times New Roman" w:hAnsi="Times New Roman" w:eastAsia="宋体" w:cs="Times New Roman"/>
                <w:b w:val="0"/>
                <w:bCs/>
                <w:color w:val="auto"/>
                <w:kern w:val="0"/>
                <w:sz w:val="24"/>
                <w:szCs w:val="24"/>
                <w:highlight w:val="none"/>
                <w:lang w:val="en-US" w:eastAsia="zh-CN" w:bidi="ar-SA"/>
              </w:rPr>
            </w:pPr>
            <w:r>
              <w:rPr>
                <w:rFonts w:ascii="Times New Roman" w:hAnsi="Times New Roman" w:eastAsia="宋体" w:cs="Times New Roman"/>
                <w:b w:val="0"/>
                <w:bCs/>
                <w:color w:val="auto"/>
                <w:kern w:val="0"/>
                <w:sz w:val="24"/>
                <w:szCs w:val="24"/>
                <w:highlight w:val="none"/>
                <w:lang w:val="en-US" w:eastAsia="zh-CN" w:bidi="ar-SA"/>
              </w:rPr>
              <w:t>审批文件：</w:t>
            </w:r>
            <w:r>
              <w:rPr>
                <w:rFonts w:hint="eastAsia" w:cs="Times New Roman"/>
                <w:b w:val="0"/>
                <w:bCs/>
                <w:color w:val="auto"/>
                <w:kern w:val="0"/>
                <w:sz w:val="24"/>
                <w:szCs w:val="24"/>
                <w:highlight w:val="none"/>
                <w:lang w:val="en-US" w:eastAsia="zh-CN" w:bidi="ar-SA"/>
              </w:rPr>
              <w:t>《</w:t>
            </w:r>
            <w:r>
              <w:rPr>
                <w:rFonts w:hint="eastAsia" w:ascii="Times New Roman" w:hAnsi="Times New Roman" w:eastAsia="宋体" w:cs="Times New Roman"/>
                <w:b w:val="0"/>
                <w:bCs/>
                <w:color w:val="auto"/>
                <w:kern w:val="0"/>
                <w:sz w:val="24"/>
                <w:szCs w:val="24"/>
                <w:highlight w:val="none"/>
                <w:lang w:val="en-US" w:eastAsia="zh-CN" w:bidi="ar-SA"/>
              </w:rPr>
              <w:t>安徽省人民政府关于《淮南市国土空间总体规划（2021—2035年）》的批复</w:t>
            </w:r>
            <w:r>
              <w:rPr>
                <w:rFonts w:hint="eastAsia" w:cs="Times New Roman"/>
                <w:b w:val="0"/>
                <w:bCs/>
                <w:color w:val="auto"/>
                <w:kern w:val="0"/>
                <w:sz w:val="24"/>
                <w:szCs w:val="24"/>
                <w:highlight w:val="none"/>
                <w:lang w:val="en-US" w:eastAsia="zh-CN" w:bidi="ar-SA"/>
              </w:rPr>
              <w:t>》</w:t>
            </w:r>
          </w:p>
          <w:p w14:paraId="753D1BAF">
            <w:pPr>
              <w:pStyle w:val="95"/>
              <w:keepNext w:val="0"/>
              <w:keepLines w:val="0"/>
              <w:pageBreakBefore w:val="0"/>
              <w:widowControl w:val="0"/>
              <w:kinsoku/>
              <w:wordWrap/>
              <w:overflowPunct/>
              <w:topLinePunct w:val="0"/>
              <w:autoSpaceDE/>
              <w:autoSpaceDN/>
              <w:bidi w:val="0"/>
              <w:adjustRightInd/>
              <w:snapToGrid/>
              <w:spacing w:line="360" w:lineRule="auto"/>
              <w:ind w:firstLine="0" w:firstLineChars="0"/>
              <w:jc w:val="both"/>
              <w:textAlignment w:val="auto"/>
              <w:rPr>
                <w:rFonts w:ascii="Times New Roman" w:hAnsi="Times New Roman" w:eastAsia="宋体" w:cs="Times New Roman"/>
                <w:color w:val="auto"/>
                <w:sz w:val="24"/>
                <w:highlight w:val="none"/>
              </w:rPr>
            </w:pPr>
            <w:r>
              <w:rPr>
                <w:rFonts w:ascii="Times New Roman" w:hAnsi="Times New Roman" w:eastAsia="宋体" w:cs="Times New Roman"/>
                <w:b w:val="0"/>
                <w:bCs/>
                <w:color w:val="auto"/>
                <w:kern w:val="0"/>
                <w:sz w:val="24"/>
                <w:szCs w:val="24"/>
                <w:highlight w:val="none"/>
                <w:lang w:val="en-US" w:eastAsia="zh-CN" w:bidi="ar-SA"/>
              </w:rPr>
              <w:t>审批文号：</w:t>
            </w:r>
            <w:r>
              <w:rPr>
                <w:rFonts w:hint="eastAsia" w:ascii="Times New Roman" w:hAnsi="Times New Roman" w:eastAsia="宋体" w:cs="Times New Roman"/>
                <w:b w:val="0"/>
                <w:bCs/>
                <w:color w:val="auto"/>
                <w:kern w:val="0"/>
                <w:sz w:val="24"/>
                <w:szCs w:val="24"/>
                <w:highlight w:val="none"/>
                <w:lang w:val="en-US" w:eastAsia="zh-CN" w:bidi="ar-SA"/>
              </w:rPr>
              <w:t>皖政秘〔2024〕46号</w:t>
            </w:r>
          </w:p>
        </w:tc>
      </w:tr>
      <w:tr w14:paraId="15A5E8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vAlign w:val="center"/>
          </w:tcPr>
          <w:p w14:paraId="2DA565CF">
            <w:pPr>
              <w:snapToGrid w:val="0"/>
              <w:spacing w:line="276" w:lineRule="auto"/>
              <w:jc w:val="center"/>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规划环境影响</w:t>
            </w:r>
          </w:p>
          <w:p w14:paraId="6DEA74CB">
            <w:pPr>
              <w:snapToGrid w:val="0"/>
              <w:spacing w:line="276"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szCs w:val="24"/>
                <w:highlight w:val="none"/>
              </w:rPr>
              <w:t>评价情况</w:t>
            </w:r>
          </w:p>
        </w:tc>
        <w:tc>
          <w:tcPr>
            <w:tcW w:w="7788" w:type="dxa"/>
            <w:gridSpan w:val="3"/>
            <w:vAlign w:val="center"/>
          </w:tcPr>
          <w:p w14:paraId="359A3727">
            <w:pPr>
              <w:autoSpaceDE w:val="0"/>
              <w:autoSpaceDN w:val="0"/>
              <w:snapToGrid w:val="0"/>
              <w:spacing w:line="276" w:lineRule="auto"/>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无</w:t>
            </w:r>
          </w:p>
        </w:tc>
      </w:tr>
      <w:tr w14:paraId="3A8C81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84" w:type="dxa"/>
            <w:vAlign w:val="center"/>
          </w:tcPr>
          <w:p w14:paraId="3452722D">
            <w:pPr>
              <w:autoSpaceDE w:val="0"/>
              <w:autoSpaceDN w:val="0"/>
              <w:snapToGrid w:val="0"/>
              <w:spacing w:line="276"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规划及规划环境影响评价符合性分析</w:t>
            </w:r>
          </w:p>
        </w:tc>
        <w:tc>
          <w:tcPr>
            <w:tcW w:w="7788" w:type="dxa"/>
            <w:gridSpan w:val="3"/>
            <w:vAlign w:val="center"/>
          </w:tcPr>
          <w:p w14:paraId="6DC4E2D6">
            <w:pPr>
              <w:snapToGrid w:val="0"/>
              <w:spacing w:line="360" w:lineRule="auto"/>
              <w:rPr>
                <w:rFonts w:hint="default" w:ascii="Times New Roman" w:hAnsi="Times New Roman" w:eastAsia="宋体" w:cs="Times New Roman"/>
                <w:b w:val="0"/>
                <w:bCs/>
                <w:color w:val="auto"/>
                <w:kern w:val="0"/>
                <w:sz w:val="24"/>
                <w:szCs w:val="24"/>
                <w:highlight w:val="none"/>
                <w:lang w:val="en-US" w:eastAsia="zh-CN"/>
              </w:rPr>
            </w:pPr>
            <w:r>
              <w:rPr>
                <w:rFonts w:hint="eastAsia" w:ascii="Times New Roman" w:hAnsi="Times New Roman" w:eastAsia="宋体" w:cs="Times New Roman"/>
                <w:b w:val="0"/>
                <w:bCs/>
                <w:color w:val="auto"/>
                <w:kern w:val="0"/>
                <w:sz w:val="24"/>
                <w:szCs w:val="24"/>
                <w:highlight w:val="none"/>
                <w:lang w:val="en-US" w:eastAsia="zh-CN"/>
              </w:rPr>
              <w:t>规划相符性分析：</w:t>
            </w:r>
          </w:p>
          <w:p w14:paraId="60F9EB63">
            <w:pPr>
              <w:snapToGrid w:val="0"/>
              <w:spacing w:line="360" w:lineRule="auto"/>
              <w:ind w:firstLine="480" w:firstLineChars="200"/>
              <w:rPr>
                <w:rFonts w:ascii="Times New Roman" w:hAnsi="Times New Roman" w:eastAsia="宋体" w:cs="Times New Roman"/>
                <w:b w:val="0"/>
                <w:bCs/>
                <w:color w:val="auto"/>
                <w:kern w:val="0"/>
                <w:sz w:val="24"/>
                <w:szCs w:val="24"/>
                <w:highlight w:val="none"/>
              </w:rPr>
            </w:pPr>
            <w:r>
              <w:rPr>
                <w:rFonts w:ascii="Times New Roman" w:hAnsi="Times New Roman" w:eastAsia="宋体" w:cs="Times New Roman"/>
                <w:b w:val="0"/>
                <w:bCs/>
                <w:color w:val="auto"/>
                <w:kern w:val="0"/>
                <w:sz w:val="24"/>
                <w:szCs w:val="24"/>
                <w:highlight w:val="none"/>
              </w:rPr>
              <w:t>依据《淮南市国土空间总体规划（2021</w:t>
            </w:r>
            <w:r>
              <w:rPr>
                <w:rFonts w:hint="eastAsia" w:ascii="Times New Roman" w:hAnsi="Times New Roman" w:eastAsia="宋体" w:cs="Times New Roman"/>
                <w:b w:val="0"/>
                <w:bCs/>
                <w:color w:val="auto"/>
                <w:kern w:val="0"/>
                <w:sz w:val="24"/>
                <w:szCs w:val="24"/>
                <w:highlight w:val="none"/>
                <w:lang w:val="en-US" w:eastAsia="zh-CN"/>
              </w:rPr>
              <w:t>-</w:t>
            </w:r>
            <w:r>
              <w:rPr>
                <w:rFonts w:ascii="Times New Roman" w:hAnsi="Times New Roman" w:eastAsia="宋体" w:cs="Times New Roman"/>
                <w:b w:val="0"/>
                <w:bCs/>
                <w:color w:val="auto"/>
                <w:kern w:val="0"/>
                <w:sz w:val="24"/>
                <w:szCs w:val="24"/>
                <w:highlight w:val="none"/>
              </w:rPr>
              <w:t>2035 年）》相关要求，结合本项目实际情况，相符性分析如下：本项目位于安徽省淮南市八公山区毕家岗街道新建社区，租赁淮南中兴实业有限责任公司现有闲置厂房，用地面积8390m²，用地性质为工业用地，符合规划 “优化产业空间布局，坚持产业集群化、规模化，形成以产业园区为主的产业空间布局，推进产业园区集约集聚发展” 的总体要求。项目所属国民经济行业类别为C3594 商业、饮食、服务专用设备制造、C3599 其他专用设备制造，主导产品为自动售货机及智能垃圾分类箱，契合淮南市 “重点发展现代制造业、环保产品制造业，推动凤台</w:t>
            </w:r>
            <w:r>
              <w:rPr>
                <w:rFonts w:hint="eastAsia" w:ascii="Times New Roman" w:hAnsi="Times New Roman" w:eastAsia="宋体" w:cs="Times New Roman"/>
                <w:b w:val="0"/>
                <w:bCs/>
                <w:color w:val="auto"/>
                <w:kern w:val="0"/>
                <w:sz w:val="24"/>
                <w:szCs w:val="24"/>
                <w:highlight w:val="none"/>
                <w:lang w:eastAsia="zh-CN"/>
              </w:rPr>
              <w:t>——</w:t>
            </w:r>
            <w:r>
              <w:rPr>
                <w:rFonts w:ascii="Times New Roman" w:hAnsi="Times New Roman" w:eastAsia="宋体" w:cs="Times New Roman"/>
                <w:b w:val="0"/>
                <w:bCs/>
                <w:color w:val="auto"/>
                <w:kern w:val="0"/>
                <w:sz w:val="24"/>
                <w:szCs w:val="24"/>
                <w:highlight w:val="none"/>
              </w:rPr>
              <w:t>八公山产业走廊建设，培育高端装备制造等主导产业” 的产业导向。项目租赁存量工业厂房实施建设，不新增建设用地，不突破城镇开发边界，符合规划 “盘活存量建设用地、向存量要空间、以更新促转型” 的资源型城市转型用地策略，以及八公山区 “产城融合发展新高地、生态修复治理示范区” 的功能定位淮南市自然资源和规划局。项目不属于化工、高耗能、高污染及限制类产业，不涉及危险化学品生产，符合规划 “严格控制高污染产业，推动化工产业向专业园区集聚，严禁在化工园区外布局危险化学品生产项目” 的空间管控要求淮南市人民政府。项目环保投资60万元，配套建设废气、废水、噪声、固废及防渗等污染治理设施，污染物达标排放，符合规划生态环境保护与绿色发展底线约束，与淮南市 “三线一单” 及淮河流域水污染防治要求相协调。</w:t>
            </w:r>
          </w:p>
          <w:p w14:paraId="18395666">
            <w:pPr>
              <w:snapToGrid w:val="0"/>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val="0"/>
                <w:bCs/>
                <w:color w:val="auto"/>
                <w:kern w:val="0"/>
                <w:sz w:val="24"/>
                <w:szCs w:val="24"/>
                <w:highlight w:val="none"/>
              </w:rPr>
              <w:t>综上，本项目产业导向契合、空间布局协调、生态管控达标，符合《淮南市国土空间总体规划（2021—2035年）》相关规定。</w:t>
            </w:r>
          </w:p>
        </w:tc>
      </w:tr>
    </w:tbl>
    <w:p w14:paraId="3176161E">
      <w:pPr>
        <w:rPr>
          <w:rFonts w:ascii="Times New Roman" w:hAnsi="Times New Roman" w:eastAsia="宋体" w:cs="Times New Roman"/>
          <w:color w:val="auto"/>
          <w:highlight w:val="none"/>
        </w:rPr>
        <w:sectPr>
          <w:headerReference r:id="rId3" w:type="default"/>
          <w:footerReference r:id="rId5" w:type="default"/>
          <w:headerReference r:id="rId4" w:type="even"/>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12" w:charSpace="0"/>
        </w:sectPr>
      </w:pPr>
    </w:p>
    <w:tbl>
      <w:tblPr>
        <w:tblStyle w:val="18"/>
        <w:tblW w:w="88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8136"/>
      </w:tblGrid>
      <w:tr w14:paraId="5A469F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781" w:type="dxa"/>
            <w:vAlign w:val="center"/>
          </w:tcPr>
          <w:p w14:paraId="0D6265A0">
            <w:pPr>
              <w:autoSpaceDE w:val="0"/>
              <w:autoSpaceDN w:val="0"/>
              <w:spacing w:line="360"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其他符合性</w:t>
            </w:r>
          </w:p>
          <w:p w14:paraId="3901F144">
            <w:pPr>
              <w:autoSpaceDE w:val="0"/>
              <w:autoSpaceDN w:val="0"/>
              <w:spacing w:line="360" w:lineRule="auto"/>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分析</w:t>
            </w:r>
          </w:p>
        </w:tc>
        <w:tc>
          <w:tcPr>
            <w:tcW w:w="8091" w:type="dxa"/>
            <w:vAlign w:val="center"/>
          </w:tcPr>
          <w:p w14:paraId="5A818B3F">
            <w:pPr>
              <w:snapToGrid w:val="0"/>
              <w:spacing w:line="360" w:lineRule="auto"/>
              <w:ind w:firstLine="482" w:firstLineChars="200"/>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1、产业政策符合性分析</w:t>
            </w:r>
          </w:p>
          <w:p w14:paraId="22364D2D">
            <w:pPr>
              <w:snapToGrid w:val="0"/>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bCs/>
                <w:color w:val="auto"/>
                <w:sz w:val="24"/>
                <w:highlight w:val="none"/>
              </w:rPr>
              <w:t>本项目属于C3594商业、饮食、服务专用设备制造</w:t>
            </w:r>
            <w:r>
              <w:rPr>
                <w:rFonts w:hint="eastAsia" w:ascii="Times New Roman" w:hAnsi="Times New Roman" w:eastAsia="宋体" w:cs="Times New Roman"/>
                <w:bCs/>
                <w:color w:val="auto"/>
                <w:sz w:val="24"/>
                <w:highlight w:val="none"/>
              </w:rPr>
              <w:t>和</w:t>
            </w:r>
            <w:r>
              <w:rPr>
                <w:rFonts w:ascii="Times New Roman" w:hAnsi="Times New Roman" w:eastAsia="宋体" w:cs="Times New Roman"/>
                <w:bCs/>
                <w:color w:val="auto"/>
                <w:sz w:val="24"/>
                <w:highlight w:val="none"/>
              </w:rPr>
              <w:t>C3599其他专用设备制造，年加工10000台自动售货机及智能垃圾分类箱。根据国家产业政策，查阅《产业结构调整指导目录</w:t>
            </w:r>
            <w:r>
              <w:rPr>
                <w:rFonts w:hint="eastAsia" w:ascii="Times New Roman" w:hAnsi="Times New Roman" w:eastAsia="宋体" w:cs="Times New Roman"/>
                <w:bCs/>
                <w:color w:val="auto"/>
                <w:sz w:val="24"/>
                <w:highlight w:val="none"/>
                <w:lang w:eastAsia="zh-CN"/>
              </w:rPr>
              <w:t>（</w:t>
            </w:r>
            <w:r>
              <w:rPr>
                <w:rFonts w:ascii="Times New Roman" w:hAnsi="Times New Roman" w:eastAsia="宋体" w:cs="Times New Roman"/>
                <w:bCs/>
                <w:color w:val="auto"/>
                <w:sz w:val="24"/>
                <w:highlight w:val="none"/>
              </w:rPr>
              <w:t>2024年本</w:t>
            </w:r>
            <w:r>
              <w:rPr>
                <w:rFonts w:hint="eastAsia" w:ascii="Times New Roman" w:hAnsi="Times New Roman" w:eastAsia="宋体" w:cs="Times New Roman"/>
                <w:bCs/>
                <w:color w:val="auto"/>
                <w:sz w:val="24"/>
                <w:highlight w:val="none"/>
                <w:lang w:eastAsia="zh-CN"/>
              </w:rPr>
              <w:t>）</w:t>
            </w:r>
            <w:r>
              <w:rPr>
                <w:rFonts w:ascii="Times New Roman" w:hAnsi="Times New Roman" w:eastAsia="宋体" w:cs="Times New Roman"/>
                <w:bCs/>
                <w:color w:val="auto"/>
                <w:sz w:val="24"/>
                <w:highlight w:val="none"/>
              </w:rPr>
              <w:t>》，本项目不属于限制类或淘汰类项目，视为允许建设项目</w:t>
            </w:r>
            <w:r>
              <w:rPr>
                <w:rFonts w:ascii="Times New Roman" w:hAnsi="Times New Roman" w:eastAsia="宋体" w:cs="Times New Roman"/>
                <w:color w:val="auto"/>
                <w:kern w:val="0"/>
                <w:sz w:val="24"/>
                <w:szCs w:val="24"/>
                <w:highlight w:val="none"/>
              </w:rPr>
              <w:t>。</w:t>
            </w:r>
            <w:r>
              <w:rPr>
                <w:rFonts w:ascii="Times New Roman" w:hAnsi="Times New Roman" w:eastAsia="宋体" w:cs="Times New Roman"/>
                <w:bCs/>
                <w:color w:val="auto"/>
                <w:sz w:val="24"/>
                <w:highlight w:val="none"/>
              </w:rPr>
              <w:t>同时，</w:t>
            </w:r>
            <w:r>
              <w:rPr>
                <w:rFonts w:ascii="Times New Roman" w:hAnsi="Times New Roman" w:eastAsia="宋体" w:cs="Times New Roman"/>
                <w:color w:val="auto"/>
                <w:kern w:val="0"/>
                <w:sz w:val="24"/>
                <w:szCs w:val="24"/>
                <w:highlight w:val="none"/>
              </w:rPr>
              <w:t>项目已取得淮南市八公山区发展和改革委员会项目备案表，项目代码为：</w:t>
            </w:r>
            <w:r>
              <w:rPr>
                <w:rFonts w:ascii="Times New Roman" w:hAnsi="Times New Roman" w:eastAsia="宋体" w:cs="Times New Roman"/>
                <w:color w:val="auto"/>
                <w:sz w:val="24"/>
                <w:szCs w:val="24"/>
                <w:highlight w:val="none"/>
              </w:rPr>
              <w:t>2309-340405-04-01-228143</w:t>
            </w:r>
            <w:r>
              <w:rPr>
                <w:rFonts w:ascii="Times New Roman" w:hAnsi="Times New Roman" w:eastAsia="宋体" w:cs="Times New Roman"/>
                <w:color w:val="auto"/>
                <w:kern w:val="0"/>
                <w:sz w:val="24"/>
                <w:szCs w:val="24"/>
                <w:highlight w:val="none"/>
              </w:rPr>
              <w:t>。因此，本项目建设符合国家产业政策要求。</w:t>
            </w:r>
          </w:p>
          <w:p w14:paraId="5D5AEC44">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2、</w:t>
            </w:r>
            <w:r>
              <w:rPr>
                <w:rFonts w:hint="eastAsia" w:ascii="Times New Roman" w:hAnsi="Times New Roman" w:eastAsia="宋体" w:cs="Times New Roman"/>
                <w:b/>
                <w:color w:val="auto"/>
                <w:kern w:val="0"/>
                <w:sz w:val="24"/>
                <w:szCs w:val="24"/>
                <w:highlight w:val="none"/>
                <w:lang w:val="en-US" w:eastAsia="zh-CN"/>
              </w:rPr>
              <w:t>选址合理性</w:t>
            </w:r>
            <w:r>
              <w:rPr>
                <w:rFonts w:ascii="Times New Roman" w:hAnsi="Times New Roman" w:eastAsia="宋体" w:cs="Times New Roman"/>
                <w:b/>
                <w:color w:val="auto"/>
                <w:kern w:val="0"/>
                <w:sz w:val="24"/>
                <w:szCs w:val="24"/>
                <w:highlight w:val="none"/>
              </w:rPr>
              <w:t>分析</w:t>
            </w:r>
          </w:p>
          <w:p w14:paraId="44D3450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rPr>
            </w:pPr>
            <w:r>
              <w:rPr>
                <w:rFonts w:ascii="Times New Roman" w:hAnsi="Times New Roman" w:eastAsia="宋体" w:cs="Times New Roman"/>
                <w:color w:val="auto"/>
                <w:kern w:val="0"/>
                <w:sz w:val="24"/>
                <w:szCs w:val="24"/>
                <w:highlight w:val="none"/>
              </w:rPr>
              <w:t>本项目位于</w:t>
            </w:r>
            <w:r>
              <w:rPr>
                <w:rFonts w:ascii="Times New Roman" w:hAnsi="Times New Roman" w:eastAsia="宋体" w:cs="Times New Roman"/>
                <w:color w:val="auto"/>
                <w:sz w:val="24"/>
                <w:highlight w:val="none"/>
              </w:rPr>
              <w:t>安徽省淮南市八公山区毕家岗街道新建社区，</w:t>
            </w:r>
            <w:r>
              <w:rPr>
                <w:rFonts w:ascii="Times New Roman" w:hAnsi="Times New Roman" w:eastAsia="宋体" w:cs="Times New Roman"/>
                <w:color w:val="auto"/>
                <w:kern w:val="0"/>
                <w:sz w:val="24"/>
                <w:szCs w:val="24"/>
                <w:highlight w:val="none"/>
              </w:rPr>
              <w:t>租赁淮南中兴实业有限责任公司的现有厂区（详见附件</w:t>
            </w:r>
            <w:r>
              <w:rPr>
                <w:rFonts w:hint="eastAsia" w:ascii="Times New Roman" w:hAnsi="Times New Roman" w:eastAsia="宋体" w:cs="Times New Roman"/>
                <w:color w:val="auto"/>
                <w:kern w:val="0"/>
                <w:sz w:val="24"/>
                <w:szCs w:val="24"/>
                <w:highlight w:val="none"/>
              </w:rPr>
              <w:t>3</w:t>
            </w:r>
            <w:r>
              <w:rPr>
                <w:rFonts w:ascii="Times New Roman" w:hAnsi="Times New Roman" w:eastAsia="宋体" w:cs="Times New Roman"/>
                <w:color w:val="auto"/>
                <w:kern w:val="0"/>
                <w:sz w:val="24"/>
                <w:szCs w:val="24"/>
                <w:highlight w:val="none"/>
              </w:rPr>
              <w:t>租赁协议）</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根据2026年4月7日《淮南市八公山区人民政府专题会议纪要-研究福斯特智能装备产业园项目事宜》（第1号），原则同意</w:t>
            </w:r>
            <w:r>
              <w:rPr>
                <w:rFonts w:hint="eastAsia" w:ascii="Times New Roman" w:hAnsi="Times New Roman" w:eastAsia="宋体" w:cs="Times New Roman"/>
                <w:color w:val="auto"/>
                <w:sz w:val="24"/>
                <w:highlight w:val="none"/>
              </w:rPr>
              <w:t>安徽福斯特智能科技有限公司租赁淮南中兴实业有限责任公司位于八公山区毕家岗街道新建社区的闲置厂房，用于建设“安徽福斯特智能科技有限公司智能装备产业园项目”</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详见附件5，因此项目选址合理。</w:t>
            </w:r>
          </w:p>
          <w:p w14:paraId="7277B31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3、</w:t>
            </w:r>
            <w:r>
              <w:rPr>
                <w:rFonts w:ascii="Times New Roman" w:hAnsi="Times New Roman" w:eastAsia="宋体" w:cs="Times New Roman"/>
                <w:b/>
                <w:color w:val="auto"/>
                <w:sz w:val="24"/>
                <w:highlight w:val="none"/>
              </w:rPr>
              <w:t>“三线一单”符合性分析</w:t>
            </w:r>
          </w:p>
          <w:p w14:paraId="38C5680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color w:val="auto"/>
                <w:kern w:val="0"/>
                <w:sz w:val="24"/>
                <w:szCs w:val="28"/>
                <w:highlight w:val="none"/>
              </w:rPr>
            </w:pPr>
            <w:r>
              <w:rPr>
                <w:rFonts w:ascii="Times New Roman" w:hAnsi="Times New Roman" w:eastAsia="宋体" w:cs="Times New Roman"/>
                <w:color w:val="auto"/>
                <w:kern w:val="0"/>
                <w:sz w:val="24"/>
                <w:szCs w:val="28"/>
                <w:highlight w:val="none"/>
              </w:rPr>
              <w:t>（1）环境分区管控</w:t>
            </w:r>
          </w:p>
          <w:p w14:paraId="6FC7CF7A">
            <w:pPr>
              <w:pStyle w:val="92"/>
              <w:widowControl/>
              <w:snapToGrid w:val="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通过与安徽省“三线一单”公共服务平台的对照分析，</w:t>
            </w:r>
            <w:r>
              <w:rPr>
                <w:rFonts w:hint="default" w:ascii="Times New Roman" w:hAnsi="Times New Roman" w:eastAsia="宋体" w:cs="Times New Roman"/>
                <w:color w:val="auto"/>
                <w:kern w:val="0"/>
                <w:sz w:val="24"/>
                <w:szCs w:val="24"/>
                <w:lang w:val="en-US" w:eastAsia="zh-CN"/>
              </w:rPr>
              <w:t>本</w:t>
            </w:r>
            <w:r>
              <w:rPr>
                <w:rFonts w:hint="default" w:ascii="Times New Roman" w:hAnsi="Times New Roman" w:eastAsia="宋体" w:cs="Times New Roman"/>
                <w:color w:val="auto"/>
                <w:kern w:val="0"/>
                <w:sz w:val="24"/>
                <w:szCs w:val="24"/>
              </w:rPr>
              <w:t>项目</w:t>
            </w:r>
            <w:r>
              <w:rPr>
                <w:rFonts w:hint="default" w:ascii="Times New Roman" w:hAnsi="Times New Roman" w:eastAsia="宋体" w:cs="Times New Roman"/>
                <w:color w:val="auto"/>
                <w:kern w:val="0"/>
                <w:sz w:val="24"/>
                <w:szCs w:val="24"/>
                <w:lang w:val="en-US" w:eastAsia="zh-CN"/>
              </w:rPr>
              <w:t>范围</w:t>
            </w:r>
            <w:r>
              <w:rPr>
                <w:rFonts w:hint="default" w:ascii="Times New Roman" w:hAnsi="Times New Roman" w:eastAsia="宋体" w:cs="Times New Roman"/>
                <w:color w:val="auto"/>
                <w:sz w:val="24"/>
                <w:szCs w:val="24"/>
              </w:rPr>
              <w:t>与</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个环境管控单元存在交叠，</w:t>
            </w:r>
            <w:r>
              <w:rPr>
                <w:rFonts w:hint="eastAsia" w:ascii="Times New Roman" w:hAnsi="Times New Roman" w:eastAsia="宋体" w:cs="Times New Roman"/>
                <w:color w:val="auto"/>
                <w:sz w:val="24"/>
                <w:szCs w:val="24"/>
                <w:lang w:val="en-US" w:eastAsia="zh-CN"/>
              </w:rPr>
              <w:t>为</w:t>
            </w:r>
            <w:r>
              <w:rPr>
                <w:rFonts w:hint="eastAsia" w:eastAsia="宋体" w:cs="Times New Roman"/>
                <w:color w:val="auto"/>
                <w:sz w:val="24"/>
                <w:szCs w:val="24"/>
                <w:lang w:val="en-US" w:eastAsia="zh-CN"/>
              </w:rPr>
              <w:t>重点</w:t>
            </w:r>
            <w:r>
              <w:rPr>
                <w:rFonts w:hint="default" w:ascii="Times New Roman" w:hAnsi="Times New Roman" w:eastAsia="宋体" w:cs="Times New Roman"/>
                <w:color w:val="auto"/>
                <w:sz w:val="24"/>
                <w:szCs w:val="24"/>
              </w:rPr>
              <w:t>管控类。</w:t>
            </w:r>
            <w:r>
              <w:rPr>
                <w:rFonts w:hint="default" w:ascii="Times New Roman" w:hAnsi="Times New Roman" w:eastAsia="宋体" w:cs="Times New Roman"/>
                <w:color w:val="auto"/>
                <w:kern w:val="0"/>
                <w:sz w:val="24"/>
                <w:szCs w:val="24"/>
              </w:rPr>
              <w:t>详情见图1-</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rPr>
              <w:t>和表1-</w:t>
            </w:r>
            <w:r>
              <w:rPr>
                <w:rFonts w:hint="eastAsia" w:eastAsia="宋体" w:cs="Times New Roman"/>
                <w:color w:val="auto"/>
                <w:kern w:val="0"/>
                <w:sz w:val="24"/>
                <w:szCs w:val="24"/>
                <w:lang w:val="en-US" w:eastAsia="zh-CN"/>
              </w:rPr>
              <w:t>2</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表1-</w:t>
            </w:r>
            <w:r>
              <w:rPr>
                <w:rFonts w:hint="eastAsia"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rPr>
              <w:t>。</w:t>
            </w:r>
          </w:p>
          <w:p w14:paraId="273E82AD">
            <w:pPr>
              <w:widowControl/>
              <w:adjustRightInd w:val="0"/>
              <w:spacing w:line="360" w:lineRule="auto"/>
              <w:jc w:val="center"/>
              <w:textAlignment w:val="center"/>
              <w:rPr>
                <w:rFonts w:hint="eastAsia" w:ascii="Times New Roman" w:hAnsi="Times New Roman" w:eastAsia="黑体"/>
                <w:color w:val="auto"/>
                <w:kern w:val="0"/>
                <w:sz w:val="24"/>
                <w:szCs w:val="24"/>
                <w:lang w:val="en-US" w:eastAsia="zh-CN"/>
              </w:rPr>
            </w:pPr>
            <w:r>
              <w:rPr>
                <w:rFonts w:ascii="Times New Roman" w:hAnsi="Times New Roman" w:eastAsia="黑体"/>
                <w:color w:val="auto"/>
                <w:kern w:val="0"/>
                <w:sz w:val="24"/>
                <w:szCs w:val="24"/>
              </w:rPr>
              <w:t>表1-</w:t>
            </w:r>
            <w:r>
              <w:rPr>
                <w:rFonts w:hint="eastAsia" w:ascii="Times New Roman" w:hAnsi="Times New Roman" w:eastAsia="黑体"/>
                <w:color w:val="auto"/>
                <w:kern w:val="0"/>
                <w:sz w:val="24"/>
                <w:szCs w:val="24"/>
                <w:lang w:val="en-US" w:eastAsia="zh-CN"/>
              </w:rPr>
              <w:t>2</w:t>
            </w:r>
            <w:r>
              <w:rPr>
                <w:rFonts w:ascii="Times New Roman" w:hAnsi="Times New Roman" w:eastAsia="黑体"/>
                <w:color w:val="auto"/>
                <w:kern w:val="0"/>
                <w:sz w:val="24"/>
                <w:szCs w:val="24"/>
              </w:rPr>
              <w:t xml:space="preserve">  </w:t>
            </w:r>
            <w:r>
              <w:rPr>
                <w:rFonts w:hint="eastAsia" w:ascii="Times New Roman" w:hAnsi="Times New Roman" w:eastAsia="黑体"/>
                <w:color w:val="auto"/>
                <w:kern w:val="0"/>
                <w:sz w:val="24"/>
                <w:szCs w:val="24"/>
                <w:lang w:val="en-US" w:eastAsia="zh-CN"/>
              </w:rPr>
              <w:t>本项目涉及</w:t>
            </w:r>
            <w:r>
              <w:rPr>
                <w:rFonts w:ascii="Times New Roman" w:hAnsi="Times New Roman" w:eastAsia="黑体"/>
                <w:color w:val="auto"/>
                <w:kern w:val="0"/>
                <w:sz w:val="24"/>
                <w:szCs w:val="24"/>
              </w:rPr>
              <w:t>环境管控单元</w:t>
            </w:r>
            <w:r>
              <w:rPr>
                <w:rFonts w:hint="eastAsia" w:ascii="Times New Roman" w:hAnsi="Times New Roman" w:eastAsia="黑体"/>
                <w:color w:val="auto"/>
                <w:kern w:val="0"/>
                <w:sz w:val="24"/>
                <w:szCs w:val="24"/>
                <w:lang w:val="en-US" w:eastAsia="zh-CN"/>
              </w:rPr>
              <w:t>一览表</w:t>
            </w:r>
          </w:p>
          <w:tbl>
            <w:tblPr>
              <w:tblStyle w:val="1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42"/>
              <w:gridCol w:w="2444"/>
              <w:gridCol w:w="3131"/>
            </w:tblGrid>
            <w:tr w14:paraId="164D29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9" w:type="pct"/>
                  <w:tcBorders>
                    <w:top w:val="single" w:color="auto" w:sz="8" w:space="0"/>
                    <w:left w:val="nil"/>
                  </w:tcBorders>
                  <w:noWrap w:val="0"/>
                  <w:vAlign w:val="center"/>
                </w:tcPr>
                <w:p w14:paraId="4726062E">
                  <w:pPr>
                    <w:adjustRightInd w:val="0"/>
                    <w:snapToGrid w:val="0"/>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环境管控单元编码</w:t>
                  </w:r>
                </w:p>
              </w:tc>
              <w:tc>
                <w:tcPr>
                  <w:tcW w:w="1543" w:type="pct"/>
                  <w:tcBorders>
                    <w:top w:val="single" w:color="auto" w:sz="8" w:space="0"/>
                  </w:tcBorders>
                  <w:noWrap w:val="0"/>
                  <w:vAlign w:val="center"/>
                </w:tcPr>
                <w:p w14:paraId="3B3FCB9D">
                  <w:pPr>
                    <w:adjustRightInd w:val="0"/>
                    <w:snapToGrid w:val="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环境管控单元名称</w:t>
                  </w:r>
                </w:p>
              </w:tc>
              <w:tc>
                <w:tcPr>
                  <w:tcW w:w="1977" w:type="pct"/>
                  <w:tcBorders>
                    <w:top w:val="single" w:color="auto" w:sz="8" w:space="0"/>
                    <w:right w:val="nil"/>
                  </w:tcBorders>
                  <w:noWrap w:val="0"/>
                  <w:vAlign w:val="center"/>
                </w:tcPr>
                <w:p w14:paraId="52360C3D">
                  <w:pPr>
                    <w:adjustRightInd w:val="0"/>
                    <w:snapToGrid w:val="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val="en-US" w:eastAsia="zh-CN"/>
                    </w:rPr>
                    <w:t>环境</w:t>
                  </w:r>
                  <w:r>
                    <w:rPr>
                      <w:rFonts w:hint="default" w:ascii="Times New Roman" w:hAnsi="Times New Roman" w:eastAsia="宋体" w:cs="Times New Roman"/>
                      <w:b/>
                      <w:bCs/>
                      <w:color w:val="auto"/>
                      <w:sz w:val="21"/>
                      <w:szCs w:val="21"/>
                    </w:rPr>
                    <w:t>管控单元分类</w:t>
                  </w:r>
                </w:p>
              </w:tc>
            </w:tr>
            <w:tr w14:paraId="5FA526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479" w:type="pct"/>
                  <w:tcBorders>
                    <w:left w:val="nil"/>
                  </w:tcBorders>
                  <w:noWrap w:val="0"/>
                  <w:vAlign w:val="center"/>
                </w:tcPr>
                <w:p w14:paraId="13E55BF0">
                  <w:pPr>
                    <w:adjustRightInd w:val="0"/>
                    <w:snapToGrid w:val="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val="0"/>
                      <w:bCs w:val="0"/>
                      <w:color w:val="auto"/>
                      <w:sz w:val="21"/>
                      <w:szCs w:val="21"/>
                    </w:rPr>
                    <w:t>ZH34040520002</w:t>
                  </w:r>
                </w:p>
              </w:tc>
              <w:tc>
                <w:tcPr>
                  <w:tcW w:w="1543" w:type="pct"/>
                  <w:noWrap w:val="0"/>
                  <w:vAlign w:val="center"/>
                </w:tcPr>
                <w:p w14:paraId="0CEE3252">
                  <w:pPr>
                    <w:adjustRightInd w:val="0"/>
                    <w:snapToGrid w:val="0"/>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color w:val="auto"/>
                      <w:sz w:val="21"/>
                      <w:szCs w:val="21"/>
                      <w:lang w:val="en-US" w:eastAsia="zh-CN"/>
                    </w:rPr>
                    <w:t>重点</w:t>
                  </w:r>
                  <w:r>
                    <w:rPr>
                      <w:rFonts w:hint="default" w:ascii="Times New Roman" w:hAnsi="Times New Roman" w:eastAsia="宋体" w:cs="Times New Roman"/>
                      <w:color w:val="auto"/>
                      <w:sz w:val="21"/>
                      <w:szCs w:val="21"/>
                    </w:rPr>
                    <w:t>管控单元</w:t>
                  </w:r>
                  <w:r>
                    <w:rPr>
                      <w:rFonts w:hint="eastAsia" w:ascii="Times New Roman" w:hAnsi="Times New Roman" w:eastAsia="宋体" w:cs="Times New Roman"/>
                      <w:color w:val="auto"/>
                      <w:sz w:val="21"/>
                      <w:szCs w:val="21"/>
                      <w:lang w:val="en-US" w:eastAsia="zh-CN"/>
                    </w:rPr>
                    <w:t>14</w:t>
                  </w:r>
                </w:p>
              </w:tc>
              <w:tc>
                <w:tcPr>
                  <w:tcW w:w="1977" w:type="pct"/>
                  <w:tcBorders>
                    <w:right w:val="nil"/>
                  </w:tcBorders>
                  <w:noWrap w:val="0"/>
                  <w:vAlign w:val="center"/>
                </w:tcPr>
                <w:p w14:paraId="4361EA94">
                  <w:pPr>
                    <w:adjustRightInd w:val="0"/>
                    <w:snapToGrid w:val="0"/>
                    <w:jc w:val="center"/>
                    <w:textAlignment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color w:val="auto"/>
                      <w:sz w:val="21"/>
                      <w:szCs w:val="21"/>
                      <w:lang w:val="en-US" w:eastAsia="zh-CN"/>
                    </w:rPr>
                    <w:t>重点</w:t>
                  </w:r>
                  <w:r>
                    <w:rPr>
                      <w:rFonts w:hint="default" w:ascii="Times New Roman" w:hAnsi="Times New Roman" w:eastAsia="宋体" w:cs="Times New Roman"/>
                      <w:color w:val="auto"/>
                      <w:sz w:val="21"/>
                      <w:szCs w:val="21"/>
                    </w:rPr>
                    <w:t>管控单元</w:t>
                  </w:r>
                </w:p>
              </w:tc>
            </w:tr>
          </w:tbl>
          <w:p w14:paraId="635B4263">
            <w:pPr>
              <w:pStyle w:val="92"/>
              <w:widowControl/>
              <w:snapToGrid w:val="0"/>
              <w:rPr>
                <w:rFonts w:hint="eastAsia"/>
                <w:color w:val="auto"/>
                <w:kern w:val="0"/>
                <w:sz w:val="24"/>
                <w:szCs w:val="24"/>
              </w:rPr>
            </w:pPr>
          </w:p>
          <w:p w14:paraId="02CDE8BE">
            <w:pPr>
              <w:pStyle w:val="93"/>
              <w:rPr>
                <w:color w:val="auto"/>
              </w:rPr>
            </w:pPr>
            <w:r>
              <w:drawing>
                <wp:inline distT="0" distB="0" distL="114300" distR="114300">
                  <wp:extent cx="5025390" cy="2614930"/>
                  <wp:effectExtent l="0" t="0" r="381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025390" cy="2614930"/>
                          </a:xfrm>
                          <a:prstGeom prst="rect">
                            <a:avLst/>
                          </a:prstGeom>
                          <a:noFill/>
                          <a:ln>
                            <a:noFill/>
                          </a:ln>
                        </pic:spPr>
                      </pic:pic>
                    </a:graphicData>
                  </a:graphic>
                </wp:inline>
              </w:drawing>
            </w:r>
            <w:r>
              <w:rPr>
                <w:color w:val="auto"/>
                <w:sz w:val="24"/>
              </w:rPr>
              <w:pict>
                <v:shape id="_x0000_s62133" o:spid="_x0000_s62133" o:spt="202" type="#_x0000_t202" style="position:absolute;left:0pt;margin-left:236.05pt;margin-top:141.05pt;height:35.3pt;width:133.75pt;z-index:251667456;mso-width-relative:page;mso-height-relative:page;" filled="f" stroked="f" coordsize="21600,21600">
                  <v:path/>
                  <v:fill on="f" focussize="0,0"/>
                  <v:stroke on="f"/>
                  <v:imagedata o:title=""/>
                  <o:lock v:ext="edit" aspectratio="f"/>
                  <v:textbox>
                    <w:txbxContent>
                      <w:p w14:paraId="17159914">
                        <w:pPr>
                          <w:rPr>
                            <w:rFonts w:hint="default" w:ascii="黑体" w:hAnsi="黑体" w:eastAsia="黑体" w:cs="黑体"/>
                            <w:color w:val="0000FF"/>
                            <w:sz w:val="28"/>
                            <w:szCs w:val="28"/>
                            <w:lang w:val="en-US" w:eastAsia="zh-CN"/>
                          </w:rPr>
                        </w:pPr>
                        <w:r>
                          <w:rPr>
                            <w:rFonts w:hint="eastAsia" w:ascii="黑体" w:hAnsi="黑体" w:eastAsia="黑体" w:cs="黑体"/>
                            <w:color w:val="0000FF"/>
                            <w:sz w:val="28"/>
                            <w:szCs w:val="28"/>
                            <w:lang w:val="en-US" w:eastAsia="zh-CN"/>
                          </w:rPr>
                          <w:t>本项目范围</w:t>
                        </w:r>
                      </w:p>
                    </w:txbxContent>
                  </v:textbox>
                </v:shape>
              </w:pict>
            </w:r>
            <w:r>
              <w:rPr>
                <w:color w:val="auto"/>
                <w:sz w:val="24"/>
              </w:rPr>
              <w:pict>
                <v:line id="_x0000_s62134" o:spid="_x0000_s62134" o:spt="20" style="position:absolute;left:0pt;flip:x y;margin-left:185.65pt;margin-top:102.3pt;height:56.8pt;width:52.15pt;z-index:251666432;mso-width-relative:page;mso-height-relative:page;" stroked="t" coordsize="21600,21600">
                  <v:path arrowok="t"/>
                  <v:fill focussize="0,0"/>
                  <v:stroke weight="6pt" color="#0000FF" endarrow="block"/>
                  <v:imagedata o:title=""/>
                  <o:lock v:ext="edit"/>
                </v:line>
              </w:pict>
            </w:r>
          </w:p>
          <w:p w14:paraId="6017196A">
            <w:pPr>
              <w:pStyle w:val="94"/>
              <w:rPr>
                <w:color w:val="auto"/>
                <w:sz w:val="24"/>
                <w:szCs w:val="24"/>
              </w:rPr>
            </w:pPr>
            <w:r>
              <w:rPr>
                <w:rFonts w:hint="eastAsia"/>
                <w:color w:val="auto"/>
                <w:sz w:val="24"/>
                <w:szCs w:val="24"/>
              </w:rPr>
              <w:t>图1-</w:t>
            </w:r>
            <w:r>
              <w:rPr>
                <w:rFonts w:hint="eastAsia"/>
                <w:color w:val="auto"/>
                <w:sz w:val="24"/>
                <w:szCs w:val="24"/>
                <w:lang w:val="en-US" w:eastAsia="zh-CN"/>
              </w:rPr>
              <w:t>1</w:t>
            </w:r>
            <w:r>
              <w:rPr>
                <w:color w:val="auto"/>
                <w:sz w:val="24"/>
                <w:szCs w:val="24"/>
              </w:rPr>
              <w:t xml:space="preserve">  </w:t>
            </w:r>
            <w:r>
              <w:rPr>
                <w:rFonts w:hint="eastAsia"/>
                <w:color w:val="auto"/>
                <w:sz w:val="24"/>
                <w:szCs w:val="24"/>
              </w:rPr>
              <w:t>项目选址与环境管控单元的位置关系示意</w:t>
            </w:r>
            <w:r>
              <w:rPr>
                <w:color w:val="auto"/>
                <w:sz w:val="24"/>
                <w:szCs w:val="24"/>
              </w:rPr>
              <w:t>图</w:t>
            </w:r>
          </w:p>
          <w:p w14:paraId="08D1D594">
            <w:pPr>
              <w:widowControl/>
              <w:adjustRightInd w:val="0"/>
              <w:spacing w:line="360" w:lineRule="auto"/>
              <w:jc w:val="center"/>
              <w:textAlignment w:val="center"/>
              <w:rPr>
                <w:rFonts w:ascii="Times New Roman" w:hAnsi="Times New Roman" w:eastAsia="黑体"/>
                <w:color w:val="auto"/>
                <w:kern w:val="0"/>
                <w:sz w:val="24"/>
                <w:szCs w:val="24"/>
              </w:rPr>
            </w:pPr>
            <w:r>
              <w:rPr>
                <w:rFonts w:ascii="Times New Roman" w:hAnsi="Times New Roman" w:eastAsia="黑体"/>
                <w:color w:val="auto"/>
                <w:kern w:val="0"/>
                <w:sz w:val="24"/>
                <w:szCs w:val="24"/>
              </w:rPr>
              <w:t>表1-</w:t>
            </w:r>
            <w:r>
              <w:rPr>
                <w:rFonts w:hint="eastAsia" w:ascii="Times New Roman" w:hAnsi="Times New Roman" w:eastAsia="黑体"/>
                <w:color w:val="auto"/>
                <w:kern w:val="0"/>
                <w:sz w:val="24"/>
                <w:szCs w:val="24"/>
                <w:lang w:val="en-US" w:eastAsia="zh-CN"/>
              </w:rPr>
              <w:t>3</w:t>
            </w:r>
            <w:r>
              <w:rPr>
                <w:rFonts w:ascii="Times New Roman" w:hAnsi="Times New Roman" w:eastAsia="黑体"/>
                <w:color w:val="auto"/>
                <w:kern w:val="0"/>
                <w:sz w:val="24"/>
                <w:szCs w:val="24"/>
              </w:rPr>
              <w:t xml:space="preserve">  与环境管控单元要求的协调性分析</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59"/>
              <w:gridCol w:w="4267"/>
              <w:gridCol w:w="1379"/>
              <w:gridCol w:w="748"/>
            </w:tblGrid>
            <w:tr w14:paraId="5A5DDB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tcBorders>
                    <w:tl2br w:val="nil"/>
                    <w:tr2bl w:val="nil"/>
                  </w:tcBorders>
                  <w:noWrap w:val="0"/>
                  <w:vAlign w:val="center"/>
                </w:tcPr>
                <w:p w14:paraId="3785F45B">
                  <w:pPr>
                    <w:adjustRightInd w:val="0"/>
                    <w:snapToGrid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管控单元分类</w:t>
                  </w:r>
                </w:p>
              </w:tc>
              <w:tc>
                <w:tcPr>
                  <w:tcW w:w="479" w:type="pct"/>
                  <w:tcBorders>
                    <w:tl2br w:val="nil"/>
                    <w:tr2bl w:val="nil"/>
                  </w:tcBorders>
                  <w:noWrap w:val="0"/>
                  <w:vAlign w:val="center"/>
                </w:tcPr>
                <w:p w14:paraId="75C78C45">
                  <w:pPr>
                    <w:adjustRightInd w:val="0"/>
                    <w:snapToGrid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管控类别</w:t>
                  </w:r>
                </w:p>
              </w:tc>
              <w:tc>
                <w:tcPr>
                  <w:tcW w:w="2693" w:type="pct"/>
                  <w:tcBorders>
                    <w:tl2br w:val="nil"/>
                    <w:tr2bl w:val="nil"/>
                  </w:tcBorders>
                  <w:noWrap w:val="0"/>
                  <w:vAlign w:val="center"/>
                </w:tcPr>
                <w:p w14:paraId="1D07BD33">
                  <w:pPr>
                    <w:adjustRightInd w:val="0"/>
                    <w:snapToGrid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环境管控要求</w:t>
                  </w:r>
                </w:p>
              </w:tc>
              <w:tc>
                <w:tcPr>
                  <w:tcW w:w="870" w:type="pct"/>
                  <w:tcBorders>
                    <w:tl2br w:val="nil"/>
                    <w:tr2bl w:val="nil"/>
                  </w:tcBorders>
                  <w:noWrap w:val="0"/>
                  <w:vAlign w:val="center"/>
                </w:tcPr>
                <w:p w14:paraId="55E6BDD3">
                  <w:pPr>
                    <w:adjustRightInd w:val="0"/>
                    <w:snapToGrid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协调性分析</w:t>
                  </w:r>
                </w:p>
              </w:tc>
              <w:tc>
                <w:tcPr>
                  <w:tcW w:w="472" w:type="pct"/>
                  <w:tcBorders>
                    <w:tl2br w:val="nil"/>
                    <w:tr2bl w:val="nil"/>
                  </w:tcBorders>
                  <w:noWrap w:val="0"/>
                  <w:vAlign w:val="center"/>
                </w:tcPr>
                <w:p w14:paraId="54590A8C">
                  <w:pPr>
                    <w:adjustRightInd w:val="0"/>
                    <w:snapToGrid w:val="0"/>
                    <w:jc w:val="center"/>
                    <w:textAlignment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b/>
                      <w:bCs/>
                      <w:color w:val="auto"/>
                      <w:sz w:val="18"/>
                      <w:szCs w:val="18"/>
                    </w:rPr>
                    <w:t>是否符合</w:t>
                  </w:r>
                </w:p>
              </w:tc>
            </w:tr>
            <w:tr w14:paraId="38640A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tcBorders>
                    <w:tl2br w:val="nil"/>
                    <w:tr2bl w:val="nil"/>
                  </w:tcBorders>
                  <w:noWrap w:val="0"/>
                  <w:vAlign w:val="center"/>
                </w:tcPr>
                <w:p w14:paraId="542A3413">
                  <w:pPr>
                    <w:adjustRightInd w:val="0"/>
                    <w:snapToGrid w:val="0"/>
                    <w:jc w:val="center"/>
                    <w:textAlignment w:val="center"/>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重点</w:t>
                  </w:r>
                  <w:r>
                    <w:rPr>
                      <w:rFonts w:hint="default" w:ascii="Times New Roman" w:hAnsi="Times New Roman" w:eastAsia="宋体" w:cs="Times New Roman"/>
                      <w:color w:val="auto"/>
                      <w:sz w:val="18"/>
                      <w:szCs w:val="18"/>
                    </w:rPr>
                    <w:t>管控单元</w:t>
                  </w:r>
                </w:p>
              </w:tc>
              <w:tc>
                <w:tcPr>
                  <w:tcW w:w="479" w:type="pct"/>
                  <w:tcBorders>
                    <w:tl2br w:val="nil"/>
                    <w:tr2bl w:val="nil"/>
                  </w:tcBorders>
                  <w:noWrap w:val="0"/>
                  <w:vAlign w:val="center"/>
                </w:tcPr>
                <w:p w14:paraId="2BCB3DB4">
                  <w:pPr>
                    <w:adjustRightInd w:val="0"/>
                    <w:snapToGrid w:val="0"/>
                    <w:jc w:val="center"/>
                    <w:textAlignment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空间分布约束</w:t>
                  </w:r>
                </w:p>
              </w:tc>
              <w:tc>
                <w:tcPr>
                  <w:tcW w:w="2693" w:type="pct"/>
                  <w:tcBorders>
                    <w:tl2br w:val="nil"/>
                    <w:tr2bl w:val="nil"/>
                  </w:tcBorders>
                  <w:noWrap w:val="0"/>
                  <w:vAlign w:val="center"/>
                </w:tcPr>
                <w:p w14:paraId="66AFC3CE">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1在城市城区及其近郊禁止新建、扩建钢铁、有色、石化、水泥、化工等重污染企业。</w:t>
                  </w:r>
                </w:p>
                <w:p w14:paraId="4C2E18EE">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2禁止新建燃料类煤气发生炉（园区现有企业统一建设的清洁煤制气中心除外）。</w:t>
                  </w:r>
                </w:p>
                <w:p w14:paraId="6F6DAFEE">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3严禁新增钢铁、焦化、电解铝、铸造、水泥和平板玻璃等产能；严格执行钢铁、水泥、平板玻璃等行业产能置换实施办法。</w:t>
                  </w:r>
                </w:p>
                <w:p w14:paraId="3AE14A33">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4严格执行国家关于“两高”产业准入目录和产能总量控制政策措施。严禁新增钢铁、焦化、电解铝、铸造、水泥和平板玻璃等产能；新、改、扩建涉及大宗物料运输的建设项目，原则上不得采用公路运输。</w:t>
                  </w:r>
                </w:p>
                <w:p w14:paraId="795AE1CB">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7非电行业新建项目，禁止配套建设自备纯凝、抽凝燃煤电站。</w:t>
                  </w:r>
                </w:p>
                <w:p w14:paraId="247593ED">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8在城市建成区及居民区、医院、学校等环境敏感区域，严禁现场露天灰土拌合。</w:t>
                  </w:r>
                </w:p>
                <w:p w14:paraId="39E64386">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9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p w14:paraId="4251F98B">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10禁止建设生产和使用高挥发性有机物含量涂料、油墨、胶粘剂、清洗剂等项目。</w:t>
                  </w:r>
                </w:p>
                <w:p w14:paraId="394D1A9A">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11禁止新建不符合国家规定的燃煤发电机组、燃油发电机组和燃煤热电机组。</w:t>
                  </w:r>
                </w:p>
                <w:p w14:paraId="48478928">
                  <w:pPr>
                    <w:widowControl/>
                    <w:adjustRightInd w:val="0"/>
                    <w:snapToGrid w:val="0"/>
                    <w:jc w:val="both"/>
                    <w:rPr>
                      <w:rFonts w:hint="eastAsia"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rPr>
                    <w:t>12禁止新建、扩建分散燃煤供热锅炉。</w:t>
                  </w:r>
                </w:p>
                <w:p w14:paraId="1554E774">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13在城市规划区内禁止新建、扩建大气污染严重的建设项目。</w:t>
                  </w:r>
                </w:p>
              </w:tc>
              <w:tc>
                <w:tcPr>
                  <w:tcW w:w="870" w:type="pct"/>
                  <w:vMerge w:val="restart"/>
                  <w:tcBorders>
                    <w:tl2br w:val="nil"/>
                    <w:tr2bl w:val="nil"/>
                  </w:tcBorders>
                  <w:noWrap w:val="0"/>
                  <w:vAlign w:val="center"/>
                </w:tcPr>
                <w:p w14:paraId="13635E94">
                  <w:pPr>
                    <w:widowControl/>
                    <w:numPr>
                      <w:ilvl w:val="0"/>
                      <w:numId w:val="0"/>
                    </w:numPr>
                    <w:adjustRightInd w:val="0"/>
                    <w:snapToGrid w:val="0"/>
                    <w:jc w:val="center"/>
                    <w:rPr>
                      <w:rFonts w:hint="default" w:ascii="Times New Roman" w:hAnsi="Times New Roman" w:eastAsia="宋体" w:cs="Times New Roman"/>
                      <w:color w:val="auto"/>
                      <w:sz w:val="18"/>
                      <w:szCs w:val="18"/>
                      <w:lang w:val="en-US"/>
                    </w:rPr>
                  </w:pPr>
                  <w:r>
                    <w:rPr>
                      <w:rFonts w:ascii="Times New Roman" w:hAnsi="Times New Roman" w:eastAsia="宋体" w:cs="Times New Roman"/>
                      <w:color w:val="auto"/>
                      <w:sz w:val="18"/>
                      <w:szCs w:val="18"/>
                      <w:highlight w:val="none"/>
                    </w:rPr>
                    <w:t>本项目位于安徽省淮南市八公山区毕家岗街道新建社区</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年加工自动售货机和智能分类垃圾箱10000台</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kern w:val="0"/>
                      <w:sz w:val="18"/>
                      <w:szCs w:val="18"/>
                      <w:highlight w:val="none"/>
                    </w:rPr>
                    <w:t>属于C3594 商业、饮食、服务专用设备制造</w:t>
                  </w:r>
                  <w:r>
                    <w:rPr>
                      <w:rFonts w:hint="eastAsia" w:ascii="Times New Roman" w:hAnsi="Times New Roman" w:eastAsia="宋体" w:cs="Times New Roman"/>
                      <w:color w:val="auto"/>
                      <w:kern w:val="0"/>
                      <w:sz w:val="18"/>
                      <w:szCs w:val="18"/>
                      <w:highlight w:val="none"/>
                    </w:rPr>
                    <w:t>和</w:t>
                  </w:r>
                  <w:r>
                    <w:rPr>
                      <w:rFonts w:ascii="Times New Roman" w:hAnsi="Times New Roman" w:eastAsia="宋体" w:cs="Times New Roman"/>
                      <w:color w:val="auto"/>
                      <w:kern w:val="0"/>
                      <w:sz w:val="18"/>
                      <w:szCs w:val="18"/>
                      <w:highlight w:val="none"/>
                    </w:rPr>
                    <w:t>C3599其他专用设备制造</w:t>
                  </w:r>
                  <w:r>
                    <w:rPr>
                      <w:rFonts w:hint="eastAsia" w:ascii="Times New Roman" w:hAnsi="Times New Roman" w:eastAsia="宋体" w:cs="Times New Roman"/>
                      <w:color w:val="auto"/>
                      <w:kern w:val="0"/>
                      <w:sz w:val="18"/>
                      <w:szCs w:val="18"/>
                      <w:highlight w:val="none"/>
                      <w:lang w:eastAsia="zh-CN"/>
                    </w:rPr>
                    <w:t>，</w:t>
                  </w:r>
                  <w:r>
                    <w:rPr>
                      <w:rFonts w:hint="eastAsia" w:ascii="Times New Roman" w:hAnsi="Times New Roman" w:eastAsia="宋体" w:cs="Times New Roman"/>
                      <w:color w:val="auto"/>
                      <w:kern w:val="0"/>
                      <w:sz w:val="18"/>
                      <w:szCs w:val="18"/>
                      <w:highlight w:val="none"/>
                      <w:lang w:val="en-US" w:eastAsia="zh-CN"/>
                    </w:rPr>
                    <w:t>不属于“两高”项目；</w:t>
                  </w:r>
                  <w:r>
                    <w:rPr>
                      <w:rFonts w:hint="eastAsia" w:ascii="Times New Roman" w:hAnsi="Times New Roman" w:eastAsia="宋体" w:cs="Times New Roman"/>
                      <w:color w:val="auto"/>
                      <w:sz w:val="18"/>
                      <w:szCs w:val="18"/>
                      <w:highlight w:val="none"/>
                      <w:lang w:val="en-US" w:eastAsia="zh-CN"/>
                    </w:rPr>
                    <w:t>喷塑使用的塑粉为低</w:t>
                  </w:r>
                  <w:r>
                    <w:rPr>
                      <w:rFonts w:hint="eastAsia" w:ascii="Times New Roman" w:hAnsi="Times New Roman" w:eastAsia="宋体" w:cs="Times New Roman"/>
                      <w:color w:val="auto"/>
                      <w:sz w:val="18"/>
                      <w:szCs w:val="18"/>
                      <w:highlight w:val="none"/>
                    </w:rPr>
                    <w:t>VOCs含量原辅材料</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且在封闭的喷塑固化间内进行，并对产生的废气进行收集处理达标后排放。</w:t>
                  </w:r>
                </w:p>
                <w:p w14:paraId="743B67AF">
                  <w:pPr>
                    <w:widowControl/>
                    <w:adjustRightInd w:val="0"/>
                    <w:snapToGrid w:val="0"/>
                    <w:jc w:val="center"/>
                    <w:rPr>
                      <w:rFonts w:hint="default" w:ascii="Times New Roman" w:hAnsi="Times New Roman" w:eastAsia="宋体" w:cs="Times New Roman"/>
                      <w:color w:val="auto"/>
                      <w:sz w:val="18"/>
                      <w:szCs w:val="18"/>
                    </w:rPr>
                  </w:pPr>
                </w:p>
              </w:tc>
              <w:tc>
                <w:tcPr>
                  <w:tcW w:w="472" w:type="pct"/>
                  <w:vMerge w:val="restart"/>
                  <w:tcBorders>
                    <w:tl2br w:val="nil"/>
                    <w:tr2bl w:val="nil"/>
                  </w:tcBorders>
                  <w:noWrap w:val="0"/>
                  <w:vAlign w:val="center"/>
                </w:tcPr>
                <w:p w14:paraId="3F78113F">
                  <w:pPr>
                    <w:widowControl/>
                    <w:adjustRightInd w:val="0"/>
                    <w:snapToGrid w:val="0"/>
                    <w:jc w:val="center"/>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sz w:val="18"/>
                      <w:szCs w:val="18"/>
                    </w:rPr>
                    <w:t>符合</w:t>
                  </w:r>
                </w:p>
              </w:tc>
            </w:tr>
            <w:tr w14:paraId="74D1BF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noWrap w:val="0"/>
                  <w:vAlign w:val="center"/>
                </w:tcPr>
                <w:p w14:paraId="1188FC89">
                  <w:pPr>
                    <w:adjustRightInd w:val="0"/>
                    <w:snapToGrid w:val="0"/>
                    <w:ind w:firstLine="360"/>
                    <w:jc w:val="center"/>
                    <w:textAlignment w:val="center"/>
                    <w:rPr>
                      <w:rFonts w:hint="default" w:ascii="Times New Roman" w:hAnsi="Times New Roman" w:eastAsia="宋体" w:cs="Times New Roman"/>
                      <w:color w:val="auto"/>
                      <w:sz w:val="18"/>
                      <w:szCs w:val="18"/>
                    </w:rPr>
                  </w:pPr>
                </w:p>
              </w:tc>
              <w:tc>
                <w:tcPr>
                  <w:tcW w:w="479" w:type="pct"/>
                  <w:tcBorders>
                    <w:tl2br w:val="nil"/>
                    <w:tr2bl w:val="nil"/>
                  </w:tcBorders>
                  <w:noWrap w:val="0"/>
                  <w:vAlign w:val="center"/>
                </w:tcPr>
                <w:p w14:paraId="453A9FE1">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污染物排放管控</w:t>
                  </w:r>
                </w:p>
              </w:tc>
              <w:tc>
                <w:tcPr>
                  <w:tcW w:w="2693" w:type="pct"/>
                  <w:tcBorders>
                    <w:tl2br w:val="nil"/>
                    <w:tr2bl w:val="nil"/>
                  </w:tcBorders>
                  <w:noWrap w:val="0"/>
                  <w:vAlign w:val="center"/>
                </w:tcPr>
                <w:p w14:paraId="29FF1BB5">
                  <w:pPr>
                    <w:widowControl/>
                    <w:adjustRightInd w:val="0"/>
                    <w:snapToGrid w:val="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49</w:t>
                  </w:r>
                  <w:r>
                    <w:rPr>
                      <w:rFonts w:hint="default" w:ascii="Times New Roman" w:hAnsi="Times New Roman" w:eastAsia="宋体" w:cs="Times New Roman"/>
                      <w:color w:val="auto"/>
                      <w:sz w:val="18"/>
                      <w:szCs w:val="18"/>
                    </w:rPr>
                    <w:t>新建、改建、扩建排放重点大气污染物的项目不符合总 量控制要求的，不得通过环境影响评价。</w:t>
                  </w:r>
                </w:p>
                <w:p w14:paraId="7E2A4DDF">
                  <w:pPr>
                    <w:widowControl/>
                    <w:adjustRightInd w:val="0"/>
                    <w:snapToGrid w:val="0"/>
                    <w:jc w:val="both"/>
                    <w:rPr>
                      <w:rFonts w:hint="default"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val="en-US" w:eastAsia="zh-CN"/>
                    </w:rPr>
                    <w:t>54</w:t>
                  </w:r>
                  <w:r>
                    <w:rPr>
                      <w:rFonts w:hint="default" w:ascii="Times New Roman" w:hAnsi="Times New Roman" w:eastAsia="宋体" w:cs="Times New Roman"/>
                      <w:color w:val="auto"/>
                      <w:sz w:val="18"/>
                      <w:szCs w:val="18"/>
                    </w:rPr>
                    <w:t>全面推动挥发性有机物纳入排污许可管理。禁止建设生 产和使用高挥发性有机物含量涂料、油墨、胶粘剂、清洗 剂等项目。加快推进石化、化工、涂装、医药、包装印刷 和油品储运销等重点行业挥发性有机物深度治理，全面提 升废气收集率、治理设施同步运行率和去除率，提高水性 、高固体分、无溶剂、粉末、辐射固化等低挥发性有机物 含量产品的比重。加大工业涂装、包装印刷等行业低挥发性有机物含量原辅材料替代力度，严格执行涂料、油墨、 胶粘剂、清洗剂挥发性有机物含量限值标准，确保生产、 销售、进口、使用符合标准的产品。到2025年，溶剂型工 业涂料、油墨使用比例分别降低20个、10个百分点。溶剂 型胶粘剂使用量降低20%。</w:t>
                  </w:r>
                </w:p>
                <w:p w14:paraId="5490061B">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56使用粉末、水性、高固体分、辐射固化等低VOCs含量 的涂料替代溶剂型涂料。</w:t>
                  </w:r>
                </w:p>
                <w:p w14:paraId="05D6AB3B">
                  <w:pPr>
                    <w:widowControl/>
                    <w:adjustRightInd w:val="0"/>
                    <w:snapToGrid w:val="0"/>
                    <w:jc w:val="both"/>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59按《挥发性有机物无组织排放控制标准》（GB 37822 2019）要求，做好VOCs物料储存、物料转移和输送、工 艺过程、设备与管线组件、敞开液面VOCs排放，以及 VOCs无组织排放废气收集处理系统要求。</w:t>
                  </w:r>
                </w:p>
              </w:tc>
              <w:tc>
                <w:tcPr>
                  <w:tcW w:w="870" w:type="pct"/>
                  <w:vMerge w:val="continue"/>
                  <w:tcBorders>
                    <w:tl2br w:val="nil"/>
                    <w:tr2bl w:val="nil"/>
                  </w:tcBorders>
                  <w:noWrap w:val="0"/>
                  <w:vAlign w:val="center"/>
                </w:tcPr>
                <w:p w14:paraId="364867B3">
                  <w:pPr>
                    <w:widowControl/>
                    <w:adjustRightInd w:val="0"/>
                    <w:snapToGrid w:val="0"/>
                    <w:jc w:val="center"/>
                    <w:rPr>
                      <w:rFonts w:hint="default" w:ascii="Times New Roman" w:hAnsi="Times New Roman" w:eastAsia="宋体" w:cs="Times New Roman"/>
                      <w:color w:val="auto"/>
                      <w:kern w:val="0"/>
                      <w:sz w:val="18"/>
                      <w:szCs w:val="18"/>
                    </w:rPr>
                  </w:pPr>
                </w:p>
              </w:tc>
              <w:tc>
                <w:tcPr>
                  <w:tcW w:w="472" w:type="pct"/>
                  <w:vMerge w:val="continue"/>
                  <w:tcBorders>
                    <w:tl2br w:val="nil"/>
                    <w:tr2bl w:val="nil"/>
                  </w:tcBorders>
                  <w:noWrap w:val="0"/>
                  <w:vAlign w:val="center"/>
                </w:tcPr>
                <w:p w14:paraId="7B632953">
                  <w:pPr>
                    <w:widowControl/>
                    <w:adjustRightInd w:val="0"/>
                    <w:snapToGrid w:val="0"/>
                    <w:jc w:val="center"/>
                    <w:rPr>
                      <w:rFonts w:hint="default" w:ascii="Times New Roman" w:hAnsi="Times New Roman" w:eastAsia="宋体" w:cs="Times New Roman"/>
                      <w:color w:val="auto"/>
                      <w:kern w:val="0"/>
                      <w:sz w:val="18"/>
                      <w:szCs w:val="18"/>
                    </w:rPr>
                  </w:pPr>
                </w:p>
              </w:tc>
            </w:tr>
          </w:tbl>
          <w:p w14:paraId="66A275E4">
            <w:pPr>
              <w:pStyle w:val="6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（2）大气环境管控分区管控要求</w:t>
            </w:r>
          </w:p>
          <w:p w14:paraId="164327D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kern w:val="0"/>
                <w:sz w:val="24"/>
                <w:szCs w:val="24"/>
                <w:highlight w:val="none"/>
              </w:rPr>
              <w:t>根据淮南市“三线一单”图集中淮南市大气环境分区管控单元图可知，本项目属于</w:t>
            </w:r>
            <w:r>
              <w:rPr>
                <w:rFonts w:hint="eastAsia" w:ascii="Times New Roman" w:hAnsi="Times New Roman" w:eastAsia="宋体" w:cs="Times New Roman"/>
                <w:color w:val="auto"/>
                <w:kern w:val="0"/>
                <w:sz w:val="24"/>
                <w:szCs w:val="24"/>
                <w:highlight w:val="none"/>
              </w:rPr>
              <w:t>高排放重点</w:t>
            </w:r>
            <w:r>
              <w:rPr>
                <w:rFonts w:ascii="Times New Roman" w:hAnsi="Times New Roman" w:eastAsia="宋体" w:cs="Times New Roman"/>
                <w:color w:val="auto"/>
                <w:kern w:val="0"/>
                <w:sz w:val="24"/>
                <w:szCs w:val="24"/>
                <w:highlight w:val="none"/>
              </w:rPr>
              <w:t>管控区，详见附图</w:t>
            </w:r>
            <w:r>
              <w:rPr>
                <w:rFonts w:hint="eastAsia" w:ascii="Times New Roman" w:hAnsi="Times New Roman" w:eastAsia="宋体" w:cs="Times New Roman"/>
                <w:color w:val="auto"/>
                <w:kern w:val="0"/>
                <w:sz w:val="24"/>
                <w:szCs w:val="24"/>
                <w:highlight w:val="none"/>
              </w:rPr>
              <w:t>6</w:t>
            </w:r>
            <w:r>
              <w:rPr>
                <w:rFonts w:ascii="Times New Roman" w:hAnsi="Times New Roman" w:eastAsia="宋体" w:cs="Times New Roman"/>
                <w:color w:val="auto"/>
                <w:kern w:val="0"/>
                <w:sz w:val="24"/>
                <w:szCs w:val="24"/>
                <w:highlight w:val="none"/>
              </w:rPr>
              <w:t>。</w:t>
            </w:r>
          </w:p>
          <w:p w14:paraId="1D6E8F7B">
            <w:pPr>
              <w:autoSpaceDE w:val="0"/>
              <w:autoSpaceDN w:val="0"/>
              <w:adjustRightInd w:val="0"/>
              <w:snapToGrid w:val="0"/>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表1-</w:t>
            </w:r>
            <w:r>
              <w:rPr>
                <w:rFonts w:hint="eastAsia" w:ascii="Times New Roman" w:hAnsi="Times New Roman" w:eastAsia="黑体" w:cs="Times New Roman"/>
                <w:color w:val="auto"/>
                <w:sz w:val="24"/>
                <w:highlight w:val="none"/>
                <w:lang w:val="en-US" w:eastAsia="zh-CN"/>
              </w:rPr>
              <w:t>3</w:t>
            </w:r>
            <w:r>
              <w:rPr>
                <w:rFonts w:ascii="Times New Roman" w:hAnsi="Times New Roman" w:eastAsia="黑体" w:cs="Times New Roman"/>
                <w:color w:val="auto"/>
                <w:sz w:val="24"/>
                <w:highlight w:val="none"/>
              </w:rPr>
              <w:t xml:space="preserve">  与大气环境分区管控要求的协调性分析</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58"/>
              <w:gridCol w:w="4044"/>
              <w:gridCol w:w="2318"/>
            </w:tblGrid>
            <w:tr w14:paraId="19E78F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3" w:type="pct"/>
                  <w:tcBorders>
                    <w:top w:val="single" w:color="auto" w:sz="12" w:space="0"/>
                    <w:left w:val="nil"/>
                    <w:bottom w:val="single" w:color="auto" w:sz="6" w:space="0"/>
                    <w:right w:val="single" w:color="auto" w:sz="6" w:space="0"/>
                  </w:tcBorders>
                  <w:vAlign w:val="center"/>
                </w:tcPr>
                <w:p w14:paraId="2A2403AB">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管控单元分类</w:t>
                  </w:r>
                </w:p>
              </w:tc>
              <w:tc>
                <w:tcPr>
                  <w:tcW w:w="2552" w:type="pct"/>
                  <w:tcBorders>
                    <w:top w:val="single" w:color="auto" w:sz="12" w:space="0"/>
                    <w:left w:val="single" w:color="auto" w:sz="6" w:space="0"/>
                    <w:bottom w:val="single" w:color="auto" w:sz="6" w:space="0"/>
                    <w:right w:val="single" w:color="auto" w:sz="6" w:space="0"/>
                  </w:tcBorders>
                  <w:vAlign w:val="center"/>
                </w:tcPr>
                <w:p w14:paraId="0370A5B7">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环境管控要求</w:t>
                  </w:r>
                </w:p>
              </w:tc>
              <w:tc>
                <w:tcPr>
                  <w:tcW w:w="1463" w:type="pct"/>
                  <w:tcBorders>
                    <w:top w:val="single" w:color="auto" w:sz="12" w:space="0"/>
                    <w:left w:val="single" w:color="auto" w:sz="6" w:space="0"/>
                    <w:bottom w:val="single" w:color="auto" w:sz="6" w:space="0"/>
                    <w:right w:val="nil"/>
                  </w:tcBorders>
                  <w:vAlign w:val="center"/>
                </w:tcPr>
                <w:p w14:paraId="4A9CB6BF">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协调性分析</w:t>
                  </w:r>
                </w:p>
              </w:tc>
            </w:tr>
            <w:tr w14:paraId="364EF0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83" w:type="pct"/>
                  <w:tcBorders>
                    <w:top w:val="single" w:color="auto" w:sz="6" w:space="0"/>
                    <w:left w:val="nil"/>
                    <w:bottom w:val="single" w:color="auto" w:sz="12" w:space="0"/>
                    <w:right w:val="single" w:color="auto" w:sz="6" w:space="0"/>
                  </w:tcBorders>
                  <w:vAlign w:val="center"/>
                </w:tcPr>
                <w:p w14:paraId="4BAED14A">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高排放重点</w:t>
                  </w:r>
                  <w:r>
                    <w:rPr>
                      <w:rFonts w:ascii="Times New Roman" w:hAnsi="Times New Roman" w:eastAsia="宋体" w:cs="Times New Roman"/>
                      <w:color w:val="auto"/>
                      <w:sz w:val="18"/>
                      <w:szCs w:val="18"/>
                      <w:highlight w:val="none"/>
                    </w:rPr>
                    <w:t>管控区</w:t>
                  </w:r>
                </w:p>
              </w:tc>
              <w:tc>
                <w:tcPr>
                  <w:tcW w:w="2552" w:type="pct"/>
                  <w:tcBorders>
                    <w:top w:val="single" w:color="auto" w:sz="6" w:space="0"/>
                    <w:left w:val="single" w:color="auto" w:sz="6" w:space="0"/>
                    <w:bottom w:val="single" w:color="auto" w:sz="12" w:space="0"/>
                    <w:right w:val="single" w:color="auto" w:sz="6" w:space="0"/>
                  </w:tcBorders>
                  <w:vAlign w:val="center"/>
                </w:tcPr>
                <w:p w14:paraId="3A27133C">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lang w:bidi="en-US"/>
                    </w:rPr>
                    <w:t>落实《安徽省大气污染防治条例》《“</w:t>
                  </w:r>
                  <w:r>
                    <w:rPr>
                      <w:rFonts w:hint="eastAsia" w:ascii="Times New Roman" w:hAnsi="Times New Roman" w:eastAsia="宋体" w:cs="Times New Roman"/>
                      <w:bCs/>
                      <w:color w:val="auto"/>
                      <w:sz w:val="18"/>
                      <w:szCs w:val="18"/>
                      <w:highlight w:val="none"/>
                      <w:lang w:eastAsia="zh-CN" w:bidi="en-US"/>
                    </w:rPr>
                    <w:t>十四五</w:t>
                  </w:r>
                  <w:r>
                    <w:rPr>
                      <w:rFonts w:ascii="Times New Roman" w:hAnsi="Times New Roman" w:eastAsia="宋体" w:cs="Times New Roman"/>
                      <w:bCs/>
                      <w:color w:val="auto"/>
                      <w:sz w:val="18"/>
                      <w:szCs w:val="18"/>
                      <w:highlight w:val="none"/>
                      <w:lang w:bidi="en-US"/>
                    </w:rPr>
                    <w:t>”生态环境保护规划》《安徽省“</w:t>
                  </w:r>
                  <w:r>
                    <w:rPr>
                      <w:rFonts w:hint="eastAsia" w:ascii="Times New Roman" w:hAnsi="Times New Roman" w:eastAsia="宋体" w:cs="Times New Roman"/>
                      <w:bCs/>
                      <w:color w:val="auto"/>
                      <w:sz w:val="18"/>
                      <w:szCs w:val="18"/>
                      <w:highlight w:val="none"/>
                      <w:lang w:eastAsia="zh-CN" w:bidi="en-US"/>
                    </w:rPr>
                    <w:t>十四五</w:t>
                  </w:r>
                  <w:r>
                    <w:rPr>
                      <w:rFonts w:ascii="Times New Roman" w:hAnsi="Times New Roman" w:eastAsia="宋体" w:cs="Times New Roman"/>
                      <w:bCs/>
                      <w:color w:val="auto"/>
                      <w:sz w:val="18"/>
                      <w:szCs w:val="18"/>
                      <w:highlight w:val="none"/>
                      <w:lang w:bidi="en-US"/>
                    </w:rPr>
                    <w:t>”环境保护规划》《淮南市大气污染防治条例》《重点行业挥发性有机物综合治理方案》等要求，严格目标实施计划，加强环境监管，促进生态环境质量好转。上年度PM</w:t>
                  </w:r>
                  <w:r>
                    <w:rPr>
                      <w:rFonts w:ascii="Times New Roman" w:hAnsi="Times New Roman" w:eastAsia="宋体" w:cs="Times New Roman"/>
                      <w:bCs/>
                      <w:color w:val="auto"/>
                      <w:sz w:val="18"/>
                      <w:szCs w:val="18"/>
                      <w:highlight w:val="none"/>
                      <w:vertAlign w:val="subscript"/>
                      <w:lang w:bidi="en-US"/>
                    </w:rPr>
                    <w:t>2.5</w:t>
                  </w:r>
                  <w:r>
                    <w:rPr>
                      <w:rFonts w:ascii="Times New Roman" w:hAnsi="Times New Roman" w:eastAsia="宋体" w:cs="Times New Roman"/>
                      <w:bCs/>
                      <w:color w:val="auto"/>
                      <w:sz w:val="18"/>
                      <w:szCs w:val="18"/>
                      <w:highlight w:val="none"/>
                      <w:lang w:bidi="en-US"/>
                    </w:rPr>
                    <w:t>不达标城市新建、改建和扩建项目大气污染物实施“倍量替代”，执行特别排放标准的行业实施提标升级改造</w:t>
                  </w:r>
                </w:p>
              </w:tc>
              <w:tc>
                <w:tcPr>
                  <w:tcW w:w="1463" w:type="pct"/>
                  <w:tcBorders>
                    <w:top w:val="single" w:color="auto" w:sz="6" w:space="0"/>
                    <w:left w:val="single" w:color="auto" w:sz="6" w:space="0"/>
                    <w:bottom w:val="single" w:color="auto" w:sz="12" w:space="0"/>
                    <w:right w:val="nil"/>
                  </w:tcBorders>
                  <w:vAlign w:val="center"/>
                </w:tcPr>
                <w:p w14:paraId="31AA1C8D">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项目落实《安徽省大气污染防治条例》《安徽省“十四五”环境保护规划》《重点行业挥发性有机物综合治理方案》《淮南市“十四五”环境保护规划》等要求</w:t>
                  </w:r>
                </w:p>
              </w:tc>
            </w:tr>
          </w:tbl>
          <w:p w14:paraId="0475DC50">
            <w:pPr>
              <w:pStyle w:val="62"/>
              <w:ind w:firstLine="480"/>
              <w:rPr>
                <w:rFonts w:ascii="Times New Roman" w:hAnsi="Times New Roman" w:cs="Times New Roman"/>
                <w:color w:val="auto"/>
                <w:kern w:val="0"/>
                <w:highlight w:val="none"/>
              </w:rPr>
            </w:pPr>
            <w:r>
              <w:rPr>
                <w:rFonts w:ascii="Times New Roman" w:hAnsi="Times New Roman" w:cs="Times New Roman"/>
                <w:color w:val="auto"/>
                <w:kern w:val="0"/>
                <w:highlight w:val="none"/>
              </w:rPr>
              <w:t>（3）水环境分区管控要求</w:t>
            </w:r>
          </w:p>
          <w:p w14:paraId="741BAA17">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根据淮南市“三线一单”图集中淮南市水环境分区管控单元图可知，本项目属于城镇生活污染管控区，详见附图</w:t>
            </w:r>
            <w:r>
              <w:rPr>
                <w:rFonts w:hint="eastAsia" w:ascii="Times New Roman" w:hAnsi="Times New Roman" w:eastAsia="宋体" w:cs="Times New Roman"/>
                <w:color w:val="auto"/>
                <w:kern w:val="0"/>
                <w:sz w:val="24"/>
                <w:szCs w:val="24"/>
                <w:highlight w:val="none"/>
              </w:rPr>
              <w:t>7</w:t>
            </w:r>
            <w:r>
              <w:rPr>
                <w:rFonts w:ascii="Times New Roman" w:hAnsi="Times New Roman" w:eastAsia="宋体" w:cs="Times New Roman"/>
                <w:color w:val="auto"/>
                <w:kern w:val="0"/>
                <w:sz w:val="24"/>
                <w:szCs w:val="24"/>
                <w:highlight w:val="none"/>
              </w:rPr>
              <w:t>。</w:t>
            </w:r>
          </w:p>
          <w:p w14:paraId="0FC21C4C">
            <w:pPr>
              <w:autoSpaceDE w:val="0"/>
              <w:autoSpaceDN w:val="0"/>
              <w:adjustRightInd w:val="0"/>
              <w:snapToGrid w:val="0"/>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表1-</w:t>
            </w:r>
            <w:r>
              <w:rPr>
                <w:rFonts w:hint="eastAsia" w:ascii="Times New Roman" w:hAnsi="Times New Roman" w:eastAsia="黑体" w:cs="Times New Roman"/>
                <w:color w:val="auto"/>
                <w:sz w:val="24"/>
                <w:highlight w:val="none"/>
                <w:lang w:val="en-US" w:eastAsia="zh-CN"/>
              </w:rPr>
              <w:t>4</w:t>
            </w:r>
            <w:r>
              <w:rPr>
                <w:rFonts w:ascii="Times New Roman" w:hAnsi="Times New Roman" w:eastAsia="黑体" w:cs="Times New Roman"/>
                <w:color w:val="auto"/>
                <w:sz w:val="24"/>
                <w:highlight w:val="none"/>
              </w:rPr>
              <w:t xml:space="preserve">  与水环境分区管控要求的协调性分析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7"/>
              <w:gridCol w:w="4795"/>
              <w:gridCol w:w="1878"/>
            </w:tblGrid>
            <w:tr w14:paraId="3D21641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7" w:type="pct"/>
                  <w:tcBorders>
                    <w:top w:val="single" w:color="auto" w:sz="12" w:space="0"/>
                    <w:left w:val="nil"/>
                    <w:bottom w:val="single" w:color="auto" w:sz="6" w:space="0"/>
                    <w:right w:val="single" w:color="auto" w:sz="6" w:space="0"/>
                  </w:tcBorders>
                  <w:vAlign w:val="center"/>
                </w:tcPr>
                <w:p w14:paraId="717EEB07">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管控单元分类</w:t>
                  </w:r>
                </w:p>
              </w:tc>
              <w:tc>
                <w:tcPr>
                  <w:tcW w:w="3026" w:type="pct"/>
                  <w:tcBorders>
                    <w:top w:val="single" w:color="auto" w:sz="12" w:space="0"/>
                    <w:left w:val="single" w:color="auto" w:sz="6" w:space="0"/>
                    <w:bottom w:val="single" w:color="auto" w:sz="6" w:space="0"/>
                    <w:right w:val="single" w:color="auto" w:sz="6" w:space="0"/>
                  </w:tcBorders>
                  <w:vAlign w:val="center"/>
                </w:tcPr>
                <w:p w14:paraId="71CE76CC">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环境管控要求</w:t>
                  </w:r>
                </w:p>
              </w:tc>
              <w:tc>
                <w:tcPr>
                  <w:tcW w:w="1185" w:type="pct"/>
                  <w:tcBorders>
                    <w:top w:val="single" w:color="auto" w:sz="12" w:space="0"/>
                    <w:left w:val="single" w:color="auto" w:sz="6" w:space="0"/>
                    <w:bottom w:val="single" w:color="auto" w:sz="6" w:space="0"/>
                    <w:right w:val="nil"/>
                  </w:tcBorders>
                  <w:vAlign w:val="center"/>
                </w:tcPr>
                <w:p w14:paraId="4EE97FCA">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协调性分析</w:t>
                  </w:r>
                </w:p>
              </w:tc>
            </w:tr>
            <w:tr w14:paraId="7550FB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87" w:type="pct"/>
                  <w:tcBorders>
                    <w:top w:val="single" w:color="auto" w:sz="6" w:space="0"/>
                    <w:left w:val="nil"/>
                    <w:bottom w:val="single" w:color="auto" w:sz="12" w:space="0"/>
                    <w:right w:val="single" w:color="auto" w:sz="6" w:space="0"/>
                  </w:tcBorders>
                  <w:vAlign w:val="center"/>
                </w:tcPr>
                <w:p w14:paraId="73E921B0">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城镇生活污染管控区</w:t>
                  </w:r>
                </w:p>
              </w:tc>
              <w:tc>
                <w:tcPr>
                  <w:tcW w:w="3026" w:type="pct"/>
                  <w:tcBorders>
                    <w:top w:val="single" w:color="auto" w:sz="6" w:space="0"/>
                    <w:left w:val="single" w:color="auto" w:sz="6" w:space="0"/>
                    <w:bottom w:val="single" w:color="auto" w:sz="12" w:space="0"/>
                    <w:right w:val="single" w:color="auto" w:sz="6" w:space="0"/>
                  </w:tcBorders>
                  <w:vAlign w:val="center"/>
                </w:tcPr>
                <w:p w14:paraId="1BCA811C">
                  <w:pPr>
                    <w:snapToGrid w:val="0"/>
                    <w:spacing w:line="276" w:lineRule="auto"/>
                    <w:jc w:val="center"/>
                    <w:rPr>
                      <w:rFonts w:ascii="Times New Roman" w:hAnsi="Times New Roman" w:eastAsia="宋体" w:cs="Times New Roman"/>
                      <w:bCs/>
                      <w:color w:val="auto"/>
                      <w:sz w:val="18"/>
                      <w:szCs w:val="18"/>
                      <w:highlight w:val="none"/>
                      <w:lang w:bidi="en-US"/>
                    </w:rPr>
                  </w:pPr>
                  <w:r>
                    <w:rPr>
                      <w:rFonts w:ascii="Times New Roman" w:hAnsi="Times New Roman" w:eastAsia="宋体" w:cs="Times New Roman"/>
                      <w:bCs/>
                      <w:color w:val="auto"/>
                      <w:sz w:val="18"/>
                      <w:szCs w:val="18"/>
                      <w:highlight w:val="none"/>
                      <w:lang w:bidi="en-US"/>
                    </w:rPr>
                    <w:t>依据《中华人民共和国水污染防治法》《水污染防治行动计划》《安徽省水污染防治工作方案》及《淮南市水污染防治工作方案》对</w:t>
                  </w:r>
                  <w:r>
                    <w:rPr>
                      <w:rFonts w:ascii="Times New Roman" w:hAnsi="Times New Roman" w:eastAsia="宋体" w:cs="Times New Roman"/>
                      <w:bCs/>
                      <w:color w:val="auto"/>
                      <w:sz w:val="18"/>
                      <w:szCs w:val="18"/>
                      <w:highlight w:val="none"/>
                    </w:rPr>
                    <w:t>城镇生活污染管控区</w:t>
                  </w:r>
                  <w:r>
                    <w:rPr>
                      <w:rFonts w:ascii="Times New Roman" w:hAnsi="Times New Roman" w:eastAsia="宋体" w:cs="Times New Roman"/>
                      <w:bCs/>
                      <w:color w:val="auto"/>
                      <w:sz w:val="18"/>
                      <w:szCs w:val="18"/>
                      <w:highlight w:val="none"/>
                      <w:lang w:bidi="en-US"/>
                    </w:rPr>
                    <w:t>实施管控；依据《安徽省淮河流域水污染防治条例》对淮河流域实施管控；依据开发区规划、规划环评及审查意见相关要求对开发区实施管控；落实《“</w:t>
                  </w:r>
                  <w:r>
                    <w:rPr>
                      <w:rFonts w:hint="eastAsia" w:ascii="Times New Roman" w:hAnsi="Times New Roman" w:eastAsia="宋体" w:cs="Times New Roman"/>
                      <w:bCs/>
                      <w:color w:val="auto"/>
                      <w:sz w:val="18"/>
                      <w:szCs w:val="18"/>
                      <w:highlight w:val="none"/>
                      <w:lang w:eastAsia="zh-CN" w:bidi="en-US"/>
                    </w:rPr>
                    <w:t>十四五</w:t>
                  </w:r>
                  <w:r>
                    <w:rPr>
                      <w:rFonts w:ascii="Times New Roman" w:hAnsi="Times New Roman" w:eastAsia="宋体" w:cs="Times New Roman"/>
                      <w:bCs/>
                      <w:color w:val="auto"/>
                      <w:sz w:val="18"/>
                      <w:szCs w:val="18"/>
                      <w:highlight w:val="none"/>
                      <w:lang w:bidi="en-US"/>
                    </w:rPr>
                    <w:t>”生态环境保护规划》《安徽省“</w:t>
                  </w:r>
                  <w:r>
                    <w:rPr>
                      <w:rFonts w:hint="eastAsia" w:ascii="Times New Roman" w:hAnsi="Times New Roman" w:eastAsia="宋体" w:cs="Times New Roman"/>
                      <w:bCs/>
                      <w:color w:val="auto"/>
                      <w:sz w:val="18"/>
                      <w:szCs w:val="18"/>
                      <w:highlight w:val="none"/>
                      <w:lang w:eastAsia="zh-CN" w:bidi="en-US"/>
                    </w:rPr>
                    <w:t>十四五</w:t>
                  </w:r>
                  <w:r>
                    <w:rPr>
                      <w:rFonts w:ascii="Times New Roman" w:hAnsi="Times New Roman" w:eastAsia="宋体" w:cs="Times New Roman"/>
                      <w:bCs/>
                      <w:color w:val="auto"/>
                      <w:sz w:val="18"/>
                      <w:szCs w:val="18"/>
                      <w:highlight w:val="none"/>
                      <w:lang w:bidi="en-US"/>
                    </w:rPr>
                    <w:t>”环境保护规划》《安徽省“</w:t>
                  </w:r>
                  <w:r>
                    <w:rPr>
                      <w:rFonts w:hint="eastAsia" w:ascii="Times New Roman" w:hAnsi="Times New Roman" w:eastAsia="宋体" w:cs="Times New Roman"/>
                      <w:bCs/>
                      <w:color w:val="auto"/>
                      <w:sz w:val="18"/>
                      <w:szCs w:val="18"/>
                      <w:highlight w:val="none"/>
                      <w:lang w:eastAsia="zh-CN" w:bidi="en-US"/>
                    </w:rPr>
                    <w:t>十四五</w:t>
                  </w:r>
                  <w:r>
                    <w:rPr>
                      <w:rFonts w:ascii="Times New Roman" w:hAnsi="Times New Roman" w:eastAsia="宋体" w:cs="Times New Roman"/>
                      <w:bCs/>
                      <w:color w:val="auto"/>
                      <w:sz w:val="18"/>
                      <w:szCs w:val="18"/>
                      <w:highlight w:val="none"/>
                      <w:lang w:bidi="en-US"/>
                    </w:rPr>
                    <w:t>”节能减排实施方案》等要求，新建、改建和扩建项目水污染物实施“等量替代”</w:t>
                  </w:r>
                </w:p>
              </w:tc>
              <w:tc>
                <w:tcPr>
                  <w:tcW w:w="1185" w:type="pct"/>
                  <w:tcBorders>
                    <w:top w:val="single" w:color="auto" w:sz="6" w:space="0"/>
                    <w:left w:val="single" w:color="auto" w:sz="6" w:space="0"/>
                    <w:bottom w:val="single" w:color="auto" w:sz="12" w:space="0"/>
                    <w:right w:val="nil"/>
                  </w:tcBorders>
                  <w:vAlign w:val="center"/>
                </w:tcPr>
                <w:p w14:paraId="67DE9C19">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项目符合《安徽省淮河流域水污染防治条例》、《安徽省“十四五”生态环境保护规划》等规划要求</w:t>
                  </w:r>
                </w:p>
              </w:tc>
            </w:tr>
          </w:tbl>
          <w:p w14:paraId="5F153D3C">
            <w:pPr>
              <w:pStyle w:val="62"/>
              <w:ind w:firstLine="480"/>
              <w:rPr>
                <w:rFonts w:ascii="Times New Roman" w:hAnsi="Times New Roman" w:cs="Times New Roman"/>
                <w:color w:val="auto"/>
                <w:kern w:val="0"/>
                <w:highlight w:val="none"/>
              </w:rPr>
            </w:pPr>
            <w:r>
              <w:rPr>
                <w:rFonts w:ascii="Times New Roman" w:hAnsi="Times New Roman" w:cs="Times New Roman"/>
                <w:color w:val="auto"/>
                <w:kern w:val="0"/>
                <w:highlight w:val="none"/>
              </w:rPr>
              <w:t>（4）土壤环境分区管控要求</w:t>
            </w:r>
          </w:p>
          <w:p w14:paraId="090FC128">
            <w:pPr>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根据淮南市“三线一单”图集中淮南市土壤环境分区管控单元图可知，本项目属于一般管控区，详见附图</w:t>
            </w:r>
            <w:r>
              <w:rPr>
                <w:rFonts w:hint="eastAsia" w:ascii="Times New Roman" w:hAnsi="Times New Roman" w:eastAsia="宋体" w:cs="Times New Roman"/>
                <w:color w:val="auto"/>
                <w:kern w:val="0"/>
                <w:sz w:val="24"/>
                <w:szCs w:val="24"/>
                <w:highlight w:val="none"/>
              </w:rPr>
              <w:t>8</w:t>
            </w:r>
            <w:r>
              <w:rPr>
                <w:rFonts w:ascii="Times New Roman" w:hAnsi="Times New Roman" w:eastAsia="宋体" w:cs="Times New Roman"/>
                <w:color w:val="auto"/>
                <w:kern w:val="0"/>
                <w:sz w:val="24"/>
                <w:szCs w:val="24"/>
                <w:highlight w:val="none"/>
              </w:rPr>
              <w:t>。</w:t>
            </w:r>
          </w:p>
          <w:p w14:paraId="701D4FF3">
            <w:pPr>
              <w:adjustRightInd w:val="0"/>
              <w:spacing w:line="324" w:lineRule="auto"/>
              <w:jc w:val="center"/>
              <w:rPr>
                <w:rFonts w:ascii="Times New Roman" w:hAnsi="Times New Roman" w:eastAsia="宋体" w:cs="Times New Roman"/>
                <w:bCs/>
                <w:color w:val="auto"/>
                <w:sz w:val="24"/>
                <w:szCs w:val="24"/>
                <w:highlight w:val="none"/>
              </w:rPr>
            </w:pPr>
            <w:r>
              <w:rPr>
                <w:rFonts w:ascii="Times New Roman" w:hAnsi="Times New Roman" w:eastAsia="黑体" w:cs="Times New Roman"/>
                <w:color w:val="auto"/>
                <w:sz w:val="24"/>
                <w:highlight w:val="none"/>
              </w:rPr>
              <w:t>表1-</w:t>
            </w:r>
            <w:r>
              <w:rPr>
                <w:rFonts w:hint="eastAsia" w:ascii="Times New Roman" w:hAnsi="Times New Roman" w:eastAsia="黑体" w:cs="Times New Roman"/>
                <w:color w:val="auto"/>
                <w:sz w:val="24"/>
                <w:highlight w:val="none"/>
                <w:lang w:val="en-US" w:eastAsia="zh-CN"/>
              </w:rPr>
              <w:t>5</w:t>
            </w:r>
            <w:r>
              <w:rPr>
                <w:rFonts w:ascii="Times New Roman" w:hAnsi="Times New Roman" w:eastAsia="黑体" w:cs="Times New Roman"/>
                <w:color w:val="auto"/>
                <w:sz w:val="24"/>
                <w:highlight w:val="none"/>
              </w:rPr>
              <w:t xml:space="preserve">  与土壤环境分区管控要求的协调性分析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6"/>
              <w:gridCol w:w="3160"/>
              <w:gridCol w:w="3344"/>
            </w:tblGrid>
            <w:tr w14:paraId="4F1B89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5" w:hRule="atLeast"/>
                <w:jc w:val="center"/>
              </w:trPr>
              <w:tc>
                <w:tcPr>
                  <w:tcW w:w="894" w:type="pct"/>
                  <w:tcBorders>
                    <w:top w:val="single" w:color="auto" w:sz="12" w:space="0"/>
                    <w:left w:val="nil"/>
                    <w:bottom w:val="single" w:color="auto" w:sz="6" w:space="0"/>
                    <w:right w:val="single" w:color="auto" w:sz="6" w:space="0"/>
                  </w:tcBorders>
                  <w:vAlign w:val="center"/>
                </w:tcPr>
                <w:p w14:paraId="24FD489B">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管控单元</w:t>
                  </w:r>
                </w:p>
                <w:p w14:paraId="469F0ACB">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分类</w:t>
                  </w:r>
                </w:p>
              </w:tc>
              <w:tc>
                <w:tcPr>
                  <w:tcW w:w="1994" w:type="pct"/>
                  <w:tcBorders>
                    <w:top w:val="single" w:color="auto" w:sz="12" w:space="0"/>
                    <w:left w:val="single" w:color="auto" w:sz="6" w:space="0"/>
                    <w:bottom w:val="single" w:color="auto" w:sz="6" w:space="0"/>
                    <w:right w:val="single" w:color="auto" w:sz="6" w:space="0"/>
                  </w:tcBorders>
                  <w:vAlign w:val="center"/>
                </w:tcPr>
                <w:p w14:paraId="0634C452">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环境管控要求</w:t>
                  </w:r>
                </w:p>
              </w:tc>
              <w:tc>
                <w:tcPr>
                  <w:tcW w:w="2110" w:type="pct"/>
                  <w:tcBorders>
                    <w:top w:val="single" w:color="auto" w:sz="12" w:space="0"/>
                    <w:left w:val="single" w:color="auto" w:sz="6" w:space="0"/>
                    <w:bottom w:val="single" w:color="auto" w:sz="6" w:space="0"/>
                    <w:right w:val="nil"/>
                  </w:tcBorders>
                  <w:vAlign w:val="center"/>
                </w:tcPr>
                <w:p w14:paraId="39E199C5">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协调性分析</w:t>
                  </w:r>
                </w:p>
              </w:tc>
            </w:tr>
            <w:tr w14:paraId="37DED5C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4" w:type="pct"/>
                  <w:tcBorders>
                    <w:top w:val="single" w:color="auto" w:sz="6" w:space="0"/>
                    <w:left w:val="nil"/>
                    <w:bottom w:val="single" w:color="auto" w:sz="12" w:space="0"/>
                    <w:right w:val="single" w:color="auto" w:sz="6" w:space="0"/>
                  </w:tcBorders>
                  <w:vAlign w:val="center"/>
                </w:tcPr>
                <w:p w14:paraId="7CDEF52D">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一般管控区</w:t>
                  </w:r>
                </w:p>
              </w:tc>
              <w:tc>
                <w:tcPr>
                  <w:tcW w:w="1994" w:type="pct"/>
                  <w:tcBorders>
                    <w:top w:val="single" w:color="auto" w:sz="6" w:space="0"/>
                    <w:left w:val="single" w:color="auto" w:sz="6" w:space="0"/>
                    <w:bottom w:val="single" w:color="auto" w:sz="12" w:space="0"/>
                    <w:right w:val="single" w:color="auto" w:sz="6" w:space="0"/>
                  </w:tcBorders>
                  <w:vAlign w:val="center"/>
                </w:tcPr>
                <w:p w14:paraId="2A56E4D3">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依据《中华人民共和国土壤污染防治法》</w:t>
                  </w:r>
                  <w:r>
                    <w:rPr>
                      <w:color w:val="auto"/>
                      <w:highlight w:val="none"/>
                    </w:rPr>
                    <w:fldChar w:fldCharType="begin"/>
                  </w:r>
                  <w:r>
                    <w:rPr>
                      <w:color w:val="auto"/>
                      <w:highlight w:val="none"/>
                    </w:rPr>
                    <w:instrText xml:space="preserve"> HYPERLINK "http://www.so.com/link?m=aS3aETxrXeb7g0%2BVtEkMlIHHqrqpQCed6syvQnHqGH8jL2exDyJFMjYoxSqmBKORD33K1mOg8SIh0PweXU%2BnWsSZkNNnsWd%2BUzB7SXXQSWb6utmRf4dbxSlrM27BBwrKNK39BuSxHN6O630mTOSLO9Sd%2F7kb0xJVqXFw5t%2BxMne3sRsHQItY3Ux1%2Fjr60Yg4ANvI%2FOhoyC5PSM4Xy%2FQJydVEVSxevKAfYb5XfkTYcEQJZICQxQDbqK3QxTwaosdPZ7cNuALAP70SVv2%2BFvac7j8%2BJZ%2FizhGEf69rAWW46Nmdoqrv58KLMnIM65pCDQCGQ" \t "_blank" </w:instrText>
                  </w:r>
                  <w:r>
                    <w:rPr>
                      <w:color w:val="auto"/>
                      <w:highlight w:val="none"/>
                    </w:rPr>
                    <w:fldChar w:fldCharType="separate"/>
                  </w:r>
                  <w:r>
                    <w:rPr>
                      <w:rFonts w:ascii="Times New Roman" w:hAnsi="Times New Roman" w:eastAsia="宋体" w:cs="Times New Roman"/>
                      <w:bCs/>
                      <w:color w:val="auto"/>
                      <w:sz w:val="18"/>
                      <w:szCs w:val="18"/>
                      <w:highlight w:val="none"/>
                    </w:rPr>
                    <w:t>《基本农田保护条例》</w:t>
                  </w:r>
                  <w:r>
                    <w:rPr>
                      <w:rFonts w:ascii="Times New Roman" w:hAnsi="Times New Roman" w:eastAsia="宋体" w:cs="Times New Roman"/>
                      <w:bCs/>
                      <w:color w:val="auto"/>
                      <w:sz w:val="18"/>
                      <w:szCs w:val="18"/>
                      <w:highlight w:val="none"/>
                    </w:rPr>
                    <w:fldChar w:fldCharType="end"/>
                  </w:r>
                  <w:r>
                    <w:rPr>
                      <w:rFonts w:ascii="Times New Roman" w:hAnsi="Times New Roman" w:eastAsia="宋体" w:cs="Times New Roman"/>
                      <w:bCs/>
                      <w:color w:val="auto"/>
                      <w:sz w:val="18"/>
                      <w:szCs w:val="18"/>
                      <w:highlight w:val="none"/>
                    </w:rPr>
                    <w:t>《土壤污染防治行动计划》《安徽省土壤污染防治工作方案》等要求对一般管控区实施管控。</w:t>
                  </w:r>
                </w:p>
              </w:tc>
              <w:tc>
                <w:tcPr>
                  <w:tcW w:w="2110" w:type="pct"/>
                  <w:tcBorders>
                    <w:top w:val="single" w:color="auto" w:sz="6" w:space="0"/>
                    <w:left w:val="single" w:color="auto" w:sz="6" w:space="0"/>
                    <w:bottom w:val="single" w:color="auto" w:sz="12" w:space="0"/>
                    <w:right w:val="nil"/>
                  </w:tcBorders>
                  <w:vAlign w:val="center"/>
                </w:tcPr>
                <w:p w14:paraId="4F75BA44">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项目符合《中华人民共和国土壤污染防治法》《基本农田保护条例》《土壤污染防治行动计划》《安徽省土壤污染防治工作方案》等要求。</w:t>
                  </w:r>
                </w:p>
              </w:tc>
            </w:tr>
          </w:tbl>
          <w:p w14:paraId="00D911C7">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4、与</w:t>
            </w:r>
            <w:r>
              <w:rPr>
                <w:rFonts w:hint="eastAsia" w:ascii="Times New Roman" w:hAnsi="Times New Roman" w:eastAsia="宋体" w:cs="Times New Roman"/>
                <w:b/>
                <w:color w:val="auto"/>
                <w:sz w:val="24"/>
                <w:szCs w:val="24"/>
                <w:highlight w:val="none"/>
              </w:rPr>
              <w:t>安徽省人大常委会公告第八号</w:t>
            </w:r>
            <w:r>
              <w:rPr>
                <w:rFonts w:ascii="Times New Roman" w:hAnsi="Times New Roman" w:eastAsia="宋体" w:cs="Times New Roman"/>
                <w:b/>
                <w:color w:val="auto"/>
                <w:sz w:val="24"/>
                <w:szCs w:val="24"/>
                <w:highlight w:val="none"/>
              </w:rPr>
              <w:t>《安徽省淮河流域水污染防治条例》相符性分析</w:t>
            </w:r>
          </w:p>
          <w:p w14:paraId="33DD3312">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表1-</w:t>
            </w:r>
            <w:r>
              <w:rPr>
                <w:rFonts w:hint="eastAsia" w:ascii="Times New Roman" w:hAnsi="Times New Roman" w:eastAsia="黑体" w:cs="Times New Roman"/>
                <w:color w:val="auto"/>
                <w:sz w:val="24"/>
                <w:highlight w:val="none"/>
                <w:lang w:val="en-US" w:eastAsia="zh-CN"/>
              </w:rPr>
              <w:t>6</w:t>
            </w:r>
            <w:r>
              <w:rPr>
                <w:rFonts w:ascii="Times New Roman" w:hAnsi="Times New Roman" w:eastAsia="黑体" w:cs="Times New Roman"/>
                <w:color w:val="auto"/>
                <w:sz w:val="24"/>
                <w:highlight w:val="none"/>
              </w:rPr>
              <w:t xml:space="preserve"> 与</w:t>
            </w:r>
            <w:r>
              <w:rPr>
                <w:rFonts w:hint="eastAsia" w:ascii="Times New Roman" w:hAnsi="Times New Roman" w:eastAsia="黑体" w:cs="Times New Roman"/>
                <w:color w:val="auto"/>
                <w:sz w:val="24"/>
                <w:highlight w:val="none"/>
              </w:rPr>
              <w:t>安徽省人大常委会公告第八号</w:t>
            </w:r>
            <w:r>
              <w:rPr>
                <w:rFonts w:ascii="Times New Roman" w:hAnsi="Times New Roman" w:eastAsia="黑体" w:cs="Times New Roman"/>
                <w:color w:val="auto"/>
                <w:sz w:val="24"/>
                <w:highlight w:val="none"/>
              </w:rPr>
              <w:t>《安徽省淮河流域水污染防治条例》相符性分析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3"/>
              <w:gridCol w:w="3066"/>
              <w:gridCol w:w="3014"/>
              <w:gridCol w:w="1057"/>
            </w:tblGrid>
            <w:tr w14:paraId="51DDD4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95" w:type="pct"/>
                  <w:shd w:val="clear" w:color="auto" w:fill="auto"/>
                  <w:vAlign w:val="center"/>
                </w:tcPr>
                <w:p w14:paraId="145E1112">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序号</w:t>
                  </w:r>
                </w:p>
              </w:tc>
              <w:tc>
                <w:tcPr>
                  <w:tcW w:w="1935" w:type="pct"/>
                  <w:shd w:val="clear" w:color="auto" w:fill="auto"/>
                  <w:vAlign w:val="center"/>
                </w:tcPr>
                <w:p w14:paraId="6C262024">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措施内容</w:t>
                  </w:r>
                </w:p>
              </w:tc>
              <w:tc>
                <w:tcPr>
                  <w:tcW w:w="1902" w:type="pct"/>
                  <w:shd w:val="clear" w:color="auto" w:fill="auto"/>
                  <w:vAlign w:val="center"/>
                </w:tcPr>
                <w:p w14:paraId="35F716D9">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本项目措施</w:t>
                  </w:r>
                </w:p>
              </w:tc>
              <w:tc>
                <w:tcPr>
                  <w:tcW w:w="667" w:type="pct"/>
                  <w:shd w:val="clear" w:color="auto" w:fill="auto"/>
                  <w:vAlign w:val="center"/>
                </w:tcPr>
                <w:p w14:paraId="30EC5486">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相符性</w:t>
                  </w:r>
                </w:p>
              </w:tc>
            </w:tr>
            <w:tr w14:paraId="62F9F1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95" w:type="pct"/>
                  <w:shd w:val="clear" w:color="auto" w:fill="auto"/>
                  <w:vAlign w:val="center"/>
                </w:tcPr>
                <w:p w14:paraId="118DCA47">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w:t>
                  </w:r>
                </w:p>
              </w:tc>
              <w:tc>
                <w:tcPr>
                  <w:tcW w:w="1935" w:type="pct"/>
                  <w:shd w:val="clear" w:color="auto" w:fill="auto"/>
                  <w:vAlign w:val="center"/>
                </w:tcPr>
                <w:p w14:paraId="5251F546">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1902" w:type="pct"/>
                  <w:shd w:val="clear" w:color="auto" w:fill="auto"/>
                  <w:vAlign w:val="center"/>
                </w:tcPr>
                <w:p w14:paraId="438390E4">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本项目年加工自动售货机和智能分类垃圾箱10000台，企业不属于印染、制革、化工、电镀、酿造等污染严重的小型企业。项目已取得淮南市八公山区发展改革局项目备案</w:t>
                  </w:r>
                </w:p>
              </w:tc>
              <w:tc>
                <w:tcPr>
                  <w:tcW w:w="667" w:type="pct"/>
                  <w:shd w:val="clear" w:color="auto" w:fill="auto"/>
                  <w:vAlign w:val="center"/>
                </w:tcPr>
                <w:p w14:paraId="3B1F569F">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符合</w:t>
                  </w:r>
                </w:p>
              </w:tc>
            </w:tr>
            <w:tr w14:paraId="42BA4B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95" w:type="pct"/>
                  <w:shd w:val="clear" w:color="auto" w:fill="auto"/>
                  <w:vAlign w:val="center"/>
                </w:tcPr>
                <w:p w14:paraId="3E75B391">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w:t>
                  </w:r>
                </w:p>
              </w:tc>
              <w:tc>
                <w:tcPr>
                  <w:tcW w:w="1935" w:type="pct"/>
                  <w:shd w:val="clear" w:color="auto" w:fill="auto"/>
                  <w:vAlign w:val="center"/>
                </w:tcPr>
                <w:p w14:paraId="405E3F37">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第十四条新建、改建、改建直接或者间接向水体排放污染物的建设项目和其他水上设施，应当依法进行环境影响评价。建设项目的水污染防治设施，应当符合经批准或者备案的环境影响评价文件的要求，并与主体工程同时设计、同时施工、同时投入使用。</w:t>
                  </w:r>
                </w:p>
              </w:tc>
              <w:tc>
                <w:tcPr>
                  <w:tcW w:w="1902" w:type="pct"/>
                  <w:shd w:val="clear" w:color="auto" w:fill="auto"/>
                  <w:vAlign w:val="center"/>
                </w:tcPr>
                <w:p w14:paraId="050D16AA">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项目实行雨污分流制。</w:t>
                  </w:r>
                </w:p>
                <w:p w14:paraId="70B3CB3D">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无生产废水产生。</w:t>
                  </w:r>
                </w:p>
              </w:tc>
              <w:tc>
                <w:tcPr>
                  <w:tcW w:w="667" w:type="pct"/>
                  <w:shd w:val="clear" w:color="auto" w:fill="auto"/>
                  <w:vAlign w:val="center"/>
                </w:tcPr>
                <w:p w14:paraId="647982C4">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符合</w:t>
                  </w:r>
                </w:p>
              </w:tc>
            </w:tr>
          </w:tbl>
          <w:p w14:paraId="7E8DFC09">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根据上表可知，本项目与</w:t>
            </w:r>
            <w:r>
              <w:rPr>
                <w:rFonts w:hint="eastAsia" w:ascii="Times New Roman" w:hAnsi="Times New Roman" w:eastAsia="宋体" w:cs="Times New Roman"/>
                <w:color w:val="auto"/>
                <w:kern w:val="0"/>
                <w:sz w:val="24"/>
                <w:szCs w:val="24"/>
                <w:highlight w:val="none"/>
              </w:rPr>
              <w:t>安徽省人大常委会公告第八号</w:t>
            </w:r>
            <w:r>
              <w:rPr>
                <w:rFonts w:ascii="Times New Roman" w:hAnsi="Times New Roman" w:eastAsia="宋体" w:cs="Times New Roman"/>
                <w:color w:val="auto"/>
                <w:kern w:val="0"/>
                <w:sz w:val="24"/>
                <w:szCs w:val="24"/>
                <w:highlight w:val="none"/>
              </w:rPr>
              <w:t>《安徽省淮河流域水污染防治条例》中的规定相符。</w:t>
            </w:r>
          </w:p>
          <w:p w14:paraId="438F3C7B">
            <w:pPr>
              <w:spacing w:line="360" w:lineRule="auto"/>
              <w:ind w:firstLine="480" w:firstLineChars="200"/>
              <w:rPr>
                <w:rFonts w:ascii="Times New Roman" w:hAnsi="Times New Roman" w:eastAsia="宋体" w:cs="Times New Roman"/>
                <w:color w:val="auto"/>
                <w:kern w:val="0"/>
                <w:sz w:val="24"/>
                <w:szCs w:val="24"/>
                <w:highlight w:val="none"/>
              </w:rPr>
            </w:pPr>
          </w:p>
          <w:p w14:paraId="04E4ADA9">
            <w:pPr>
              <w:spacing w:line="360" w:lineRule="auto"/>
              <w:ind w:firstLine="480" w:firstLineChars="200"/>
              <w:rPr>
                <w:rFonts w:ascii="Times New Roman" w:hAnsi="Times New Roman" w:eastAsia="宋体" w:cs="Times New Roman"/>
                <w:color w:val="auto"/>
                <w:kern w:val="0"/>
                <w:sz w:val="24"/>
                <w:szCs w:val="24"/>
                <w:highlight w:val="none"/>
              </w:rPr>
            </w:pPr>
          </w:p>
          <w:p w14:paraId="4ED439B1">
            <w:pPr>
              <w:numPr>
                <w:ilvl w:val="0"/>
                <w:numId w:val="2"/>
              </w:numPr>
              <w:spacing w:line="360" w:lineRule="auto"/>
              <w:ind w:firstLine="482" w:firstLineChars="200"/>
              <w:rPr>
                <w:rFonts w:hint="eastAsia" w:ascii="Times New Roman" w:hAnsi="Times New Roman" w:eastAsia="宋体" w:cs="Times New Roman"/>
                <w:b/>
                <w:bCs/>
                <w:color w:val="auto"/>
                <w:kern w:val="0"/>
                <w:sz w:val="24"/>
                <w:szCs w:val="24"/>
                <w:highlight w:val="none"/>
                <w:lang w:val="en-US" w:eastAsia="zh-CN"/>
              </w:rPr>
            </w:pPr>
            <w:r>
              <w:rPr>
                <w:rFonts w:hint="eastAsia" w:ascii="Times New Roman" w:hAnsi="Times New Roman" w:eastAsia="宋体" w:cs="Times New Roman"/>
                <w:b/>
                <w:bCs/>
                <w:color w:val="auto"/>
                <w:kern w:val="0"/>
                <w:sz w:val="24"/>
                <w:szCs w:val="24"/>
                <w:highlight w:val="none"/>
                <w:lang w:val="en-US" w:eastAsia="zh-CN"/>
              </w:rPr>
              <w:t>与安徽省相关政策分析</w:t>
            </w:r>
          </w:p>
          <w:p w14:paraId="577DD1DD">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表1-</w:t>
            </w:r>
            <w:r>
              <w:rPr>
                <w:rFonts w:hint="eastAsia" w:ascii="Times New Roman" w:hAnsi="Times New Roman" w:eastAsia="黑体" w:cs="Times New Roman"/>
                <w:color w:val="auto"/>
                <w:sz w:val="24"/>
                <w:highlight w:val="none"/>
                <w:lang w:val="en-US" w:eastAsia="zh-CN"/>
              </w:rPr>
              <w:t>7</w:t>
            </w:r>
            <w:r>
              <w:rPr>
                <w:rFonts w:ascii="Times New Roman" w:hAnsi="Times New Roman" w:eastAsia="黑体" w:cs="Times New Roman"/>
                <w:color w:val="auto"/>
                <w:sz w:val="24"/>
                <w:highlight w:val="none"/>
              </w:rPr>
              <w:t xml:space="preserve"> 与</w:t>
            </w:r>
            <w:r>
              <w:rPr>
                <w:rFonts w:hint="eastAsia" w:ascii="Times New Roman" w:hAnsi="Times New Roman" w:eastAsia="黑体" w:cs="Times New Roman"/>
                <w:color w:val="auto"/>
                <w:sz w:val="24"/>
                <w:highlight w:val="none"/>
              </w:rPr>
              <w:t>安徽省</w:t>
            </w:r>
            <w:r>
              <w:rPr>
                <w:rFonts w:hint="eastAsia" w:ascii="Times New Roman" w:hAnsi="Times New Roman" w:eastAsia="黑体" w:cs="Times New Roman"/>
                <w:color w:val="auto"/>
                <w:sz w:val="24"/>
                <w:highlight w:val="none"/>
                <w:lang w:val="en-US" w:eastAsia="zh-CN"/>
              </w:rPr>
              <w:t>相关政策</w:t>
            </w:r>
            <w:r>
              <w:rPr>
                <w:rFonts w:ascii="Times New Roman" w:hAnsi="Times New Roman" w:eastAsia="黑体" w:cs="Times New Roman"/>
                <w:color w:val="auto"/>
                <w:sz w:val="24"/>
                <w:highlight w:val="none"/>
              </w:rPr>
              <w:t>相符性分析</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41"/>
              <w:gridCol w:w="3860"/>
              <w:gridCol w:w="2114"/>
              <w:gridCol w:w="1005"/>
            </w:tblGrid>
            <w:tr w14:paraId="05B53E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94" w:type="pct"/>
                  <w:tcBorders>
                    <w:top w:val="single" w:color="auto" w:sz="8" w:space="0"/>
                    <w:bottom w:val="single" w:color="auto" w:sz="4" w:space="0"/>
                    <w:right w:val="single" w:color="auto" w:sz="4" w:space="0"/>
                  </w:tcBorders>
                  <w:shd w:val="clear" w:color="auto" w:fill="auto"/>
                  <w:vAlign w:val="center"/>
                </w:tcPr>
                <w:p w14:paraId="0548CC8F">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序号</w:t>
                  </w:r>
                </w:p>
              </w:tc>
              <w:tc>
                <w:tcPr>
                  <w:tcW w:w="2436" w:type="pct"/>
                  <w:tcBorders>
                    <w:top w:val="single" w:color="auto" w:sz="8" w:space="0"/>
                    <w:left w:val="single" w:color="auto" w:sz="4" w:space="0"/>
                    <w:bottom w:val="single" w:color="auto" w:sz="4" w:space="0"/>
                    <w:right w:val="single" w:color="auto" w:sz="4" w:space="0"/>
                  </w:tcBorders>
                  <w:shd w:val="clear" w:color="auto" w:fill="auto"/>
                  <w:vAlign w:val="center"/>
                </w:tcPr>
                <w:p w14:paraId="3FD56342">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措施内容</w:t>
                  </w:r>
                </w:p>
              </w:tc>
              <w:tc>
                <w:tcPr>
                  <w:tcW w:w="1334" w:type="pct"/>
                  <w:tcBorders>
                    <w:top w:val="single" w:color="auto" w:sz="8" w:space="0"/>
                    <w:left w:val="single" w:color="auto" w:sz="4" w:space="0"/>
                    <w:bottom w:val="single" w:color="auto" w:sz="4" w:space="0"/>
                    <w:right w:val="single" w:color="auto" w:sz="4" w:space="0"/>
                  </w:tcBorders>
                  <w:shd w:val="clear" w:color="auto" w:fill="auto"/>
                  <w:vAlign w:val="center"/>
                </w:tcPr>
                <w:p w14:paraId="0DDE1E6D">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本项目措施</w:t>
                  </w:r>
                </w:p>
              </w:tc>
              <w:tc>
                <w:tcPr>
                  <w:tcW w:w="634" w:type="pct"/>
                  <w:tcBorders>
                    <w:top w:val="single" w:color="auto" w:sz="8" w:space="0"/>
                    <w:left w:val="single" w:color="auto" w:sz="4" w:space="0"/>
                    <w:bottom w:val="single" w:color="auto" w:sz="4" w:space="0"/>
                  </w:tcBorders>
                  <w:shd w:val="clear" w:color="auto" w:fill="auto"/>
                  <w:vAlign w:val="center"/>
                </w:tcPr>
                <w:p w14:paraId="27174E27">
                  <w:pPr>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相符性</w:t>
                  </w:r>
                </w:p>
              </w:tc>
            </w:tr>
            <w:tr w14:paraId="518926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94" w:type="pct"/>
                  <w:tcBorders>
                    <w:top w:val="single" w:color="auto" w:sz="4" w:space="0"/>
                    <w:bottom w:val="single" w:color="auto" w:sz="4" w:space="0"/>
                    <w:right w:val="single" w:color="auto" w:sz="4" w:space="0"/>
                  </w:tcBorders>
                  <w:shd w:val="clear" w:color="auto" w:fill="auto"/>
                  <w:vAlign w:val="center"/>
                </w:tcPr>
                <w:p w14:paraId="06670F90">
                  <w:pPr>
                    <w:jc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安徽省低挥发性有机物含量原辅材料替代工作方案</w:t>
                  </w:r>
                  <w:r>
                    <w:rPr>
                      <w:rFonts w:hint="eastAsia" w:ascii="Times New Roman" w:hAnsi="Times New Roman" w:eastAsia="宋体" w:cs="Times New Roman"/>
                      <w:color w:val="auto"/>
                      <w:sz w:val="18"/>
                      <w:szCs w:val="18"/>
                      <w:highlight w:val="none"/>
                      <w:lang w:eastAsia="zh-CN"/>
                    </w:rPr>
                    <w:t>》</w:t>
                  </w:r>
                </w:p>
                <w:p w14:paraId="7141E9C2">
                  <w:pPr>
                    <w:jc w:val="center"/>
                    <w:rPr>
                      <w:rFonts w:ascii="Times New Roman" w:hAnsi="Times New Roman" w:eastAsia="宋体" w:cs="Times New Roman"/>
                      <w:color w:val="auto"/>
                      <w:sz w:val="18"/>
                      <w:szCs w:val="18"/>
                      <w:highlight w:val="none"/>
                    </w:rPr>
                  </w:pPr>
                </w:p>
              </w:tc>
              <w:tc>
                <w:tcPr>
                  <w:tcW w:w="2436" w:type="pct"/>
                  <w:tcBorders>
                    <w:top w:val="single" w:color="auto" w:sz="4" w:space="0"/>
                    <w:left w:val="single" w:color="auto" w:sz="4" w:space="0"/>
                    <w:bottom w:val="single" w:color="auto" w:sz="4" w:space="0"/>
                    <w:right w:val="single" w:color="auto" w:sz="4" w:space="0"/>
                  </w:tcBorders>
                  <w:shd w:val="clear" w:color="auto" w:fill="auto"/>
                  <w:vAlign w:val="center"/>
                </w:tcPr>
                <w:p w14:paraId="3E78FCF7">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（二）严格项目准入。根据《低挥发性有机化合物含量涂料产品技术要求》（GB/T 38597-2020）要求，进一步完善VOCs排放管控地方标准建设，细化相关行业涂料种类及各项污染物指标限值，编制实施固定源挥发性有机物综合排放标准和制鞋、汽修、木材等行业大气污染物排放标准。禁止建设生产和使用高VOCs含量的溶剂型涂料、油墨、胶黏剂等项目，全省工业涂装、包装印刷等重点行业和涂料、油墨等生产企业的新（改、扩）建项目需满足低（无）VOCs含量限值要求。省内市场上流通的水性涂料等低VOCs含量涂料产品，执行《低挥发性有机化合物含量涂料产品技术要求》，应在包装标志或产品说明上标明符合标准的分类、产品类别及产品类型（或施涂方式）。</w:t>
                  </w:r>
                </w:p>
              </w:tc>
              <w:tc>
                <w:tcPr>
                  <w:tcW w:w="133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D9B8193">
                  <w:pPr>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本项目喷塑使用的塑粉为低</w:t>
                  </w:r>
                  <w:r>
                    <w:rPr>
                      <w:rFonts w:hint="eastAsia" w:ascii="Times New Roman" w:hAnsi="Times New Roman" w:eastAsia="宋体" w:cs="Times New Roman"/>
                      <w:color w:val="auto"/>
                      <w:sz w:val="18"/>
                      <w:szCs w:val="18"/>
                      <w:highlight w:val="none"/>
                    </w:rPr>
                    <w:t>VOCs含量原辅材料</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且在封闭的喷塑固化间内进行，并对产生的废气进行收集处理后达标排放</w:t>
                  </w:r>
                </w:p>
              </w:tc>
              <w:tc>
                <w:tcPr>
                  <w:tcW w:w="634" w:type="pct"/>
                  <w:tcBorders>
                    <w:top w:val="single" w:color="auto" w:sz="4" w:space="0"/>
                    <w:left w:val="single" w:color="auto" w:sz="4" w:space="0"/>
                    <w:bottom w:val="single" w:color="auto" w:sz="4" w:space="0"/>
                  </w:tcBorders>
                  <w:shd w:val="clear" w:color="auto" w:fill="auto"/>
                  <w:vAlign w:val="center"/>
                </w:tcPr>
                <w:p w14:paraId="2B1303B2">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符合</w:t>
                  </w:r>
                </w:p>
              </w:tc>
            </w:tr>
            <w:tr w14:paraId="5DC97E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94" w:type="pct"/>
                  <w:tcBorders>
                    <w:top w:val="single" w:color="auto" w:sz="4" w:space="0"/>
                    <w:bottom w:val="single" w:color="auto" w:sz="8" w:space="0"/>
                    <w:right w:val="single" w:color="auto" w:sz="4" w:space="0"/>
                  </w:tcBorders>
                  <w:shd w:val="clear" w:color="auto" w:fill="auto"/>
                  <w:vAlign w:val="center"/>
                </w:tcPr>
                <w:p w14:paraId="4C4F7781">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《关于深入开展挥发性有机物污染治理工作的通知》（皖大气办〔2021〕4号）</w:t>
                  </w:r>
                </w:p>
              </w:tc>
              <w:tc>
                <w:tcPr>
                  <w:tcW w:w="2436" w:type="pct"/>
                  <w:tcBorders>
                    <w:top w:val="single" w:color="auto" w:sz="4" w:space="0"/>
                    <w:left w:val="single" w:color="auto" w:sz="4" w:space="0"/>
                    <w:bottom w:val="single" w:color="auto" w:sz="8" w:space="0"/>
                    <w:right w:val="single" w:color="auto" w:sz="4" w:space="0"/>
                  </w:tcBorders>
                  <w:shd w:val="clear" w:color="auto" w:fill="auto"/>
                  <w:vAlign w:val="center"/>
                </w:tcPr>
                <w:p w14:paraId="653977B3">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见附件5），重点在工业涂装、包装印刷、鞋革箱包制造、竹木制品胶合、电子等重点领域，推广VOCs含量低于10%原辅材料的源头替代，并纳入年度源头削减项目管理，实现“可替尽替、应代尽代”，源头削减年度完成项目占30%以上。</w:t>
                  </w:r>
                </w:p>
              </w:tc>
              <w:tc>
                <w:tcPr>
                  <w:tcW w:w="1334" w:type="pct"/>
                  <w:vMerge w:val="continue"/>
                  <w:tcBorders>
                    <w:top w:val="single" w:color="auto" w:sz="4" w:space="0"/>
                    <w:left w:val="single" w:color="auto" w:sz="4" w:space="0"/>
                    <w:bottom w:val="single" w:color="auto" w:sz="8" w:space="0"/>
                    <w:right w:val="single" w:color="auto" w:sz="4" w:space="0"/>
                  </w:tcBorders>
                  <w:shd w:val="clear" w:color="auto" w:fill="auto"/>
                  <w:vAlign w:val="center"/>
                </w:tcPr>
                <w:p w14:paraId="4874D7AB">
                  <w:pPr>
                    <w:jc w:val="center"/>
                    <w:rPr>
                      <w:rFonts w:hint="default" w:ascii="Times New Roman" w:hAnsi="Times New Roman" w:eastAsia="宋体" w:cs="Times New Roman"/>
                      <w:color w:val="auto"/>
                      <w:sz w:val="18"/>
                      <w:szCs w:val="18"/>
                      <w:highlight w:val="none"/>
                      <w:lang w:val="en-US" w:eastAsia="zh-CN"/>
                    </w:rPr>
                  </w:pPr>
                </w:p>
              </w:tc>
              <w:tc>
                <w:tcPr>
                  <w:tcW w:w="634" w:type="pct"/>
                  <w:tcBorders>
                    <w:top w:val="single" w:color="auto" w:sz="4" w:space="0"/>
                    <w:left w:val="single" w:color="auto" w:sz="4" w:space="0"/>
                    <w:bottom w:val="single" w:color="auto" w:sz="8" w:space="0"/>
                  </w:tcBorders>
                  <w:shd w:val="clear" w:color="auto" w:fill="auto"/>
                  <w:vAlign w:val="center"/>
                </w:tcPr>
                <w:p w14:paraId="00514C40">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符合</w:t>
                  </w:r>
                </w:p>
              </w:tc>
            </w:tr>
          </w:tbl>
          <w:p w14:paraId="3442F56A">
            <w:pPr>
              <w:spacing w:line="348" w:lineRule="auto"/>
              <w:ind w:firstLine="482" w:firstLineChars="200"/>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lang w:val="en-US" w:eastAsia="zh-CN"/>
              </w:rPr>
              <w:t>6</w:t>
            </w:r>
            <w:r>
              <w:rPr>
                <w:rFonts w:ascii="Times New Roman" w:hAnsi="Times New Roman" w:eastAsia="宋体" w:cs="Times New Roman"/>
                <w:b/>
                <w:color w:val="auto"/>
                <w:sz w:val="24"/>
                <w:szCs w:val="24"/>
                <w:highlight w:val="none"/>
              </w:rPr>
              <w:t>、与排污许可证衔接</w:t>
            </w:r>
          </w:p>
          <w:p w14:paraId="4FFFB192">
            <w:pPr>
              <w:spacing w:line="360" w:lineRule="auto"/>
              <w:ind w:firstLine="480" w:firstLineChars="200"/>
              <w:rPr>
                <w:rFonts w:ascii="Times New Roman" w:hAnsi="Times New Roman" w:eastAsia="宋体" w:cs="Times New Roman"/>
                <w:color w:val="auto"/>
                <w:spacing w:val="-2"/>
                <w:sz w:val="24"/>
                <w:szCs w:val="24"/>
                <w:highlight w:val="none"/>
              </w:rPr>
            </w:pPr>
            <w:r>
              <w:rPr>
                <w:rFonts w:ascii="Times New Roman" w:hAnsi="Times New Roman" w:eastAsia="宋体" w:cs="Times New Roman"/>
                <w:color w:val="auto"/>
                <w:sz w:val="24"/>
                <w:szCs w:val="24"/>
                <w:highlight w:val="none"/>
              </w:rPr>
              <w:t>本项目建设内容</w:t>
            </w:r>
            <w:r>
              <w:rPr>
                <w:rFonts w:hint="eastAsia" w:ascii="Times New Roman" w:hAnsi="Times New Roman" w:eastAsia="宋体" w:cs="Times New Roman"/>
                <w:color w:val="auto"/>
                <w:sz w:val="24"/>
                <w:szCs w:val="24"/>
                <w:highlight w:val="none"/>
              </w:rPr>
              <w:t>为自动售货机和智能垃圾分类箱加工</w:t>
            </w:r>
            <w:r>
              <w:rPr>
                <w:rFonts w:ascii="Times New Roman" w:hAnsi="Times New Roman" w:eastAsia="宋体" w:cs="Times New Roman"/>
                <w:color w:val="auto"/>
                <w:sz w:val="24"/>
                <w:highlight w:val="none"/>
              </w:rPr>
              <w:t>，对照</w:t>
            </w:r>
            <w:r>
              <w:rPr>
                <w:rFonts w:ascii="Times New Roman" w:hAnsi="Times New Roman" w:eastAsia="宋体" w:cs="Times New Roman"/>
                <w:color w:val="auto"/>
                <w:sz w:val="24"/>
                <w:szCs w:val="24"/>
                <w:highlight w:val="none"/>
              </w:rPr>
              <w:t>《固定污染源排污许可分类管理名录》（2019年版），</w:t>
            </w:r>
            <w:r>
              <w:rPr>
                <w:rFonts w:hint="eastAsia"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喷塑和固化工序</w:t>
            </w:r>
            <w:r>
              <w:rPr>
                <w:rFonts w:hint="eastAsia" w:ascii="Times New Roman" w:hAnsi="Times New Roman" w:eastAsia="宋体" w:cs="Times New Roman"/>
                <w:color w:val="auto"/>
                <w:sz w:val="24"/>
                <w:szCs w:val="24"/>
                <w:highlight w:val="none"/>
              </w:rPr>
              <w:t>涉及通用工序</w:t>
            </w:r>
            <w:r>
              <w:rPr>
                <w:rFonts w:hint="eastAsia" w:ascii="Times New Roman" w:hAnsi="Times New Roman" w:eastAsia="宋体" w:cs="Times New Roman"/>
                <w:color w:val="auto"/>
                <w:sz w:val="24"/>
                <w:szCs w:val="24"/>
                <w:highlight w:val="none"/>
                <w:lang w:val="en-US" w:eastAsia="zh-CN"/>
              </w:rPr>
              <w:t>表面处理和工业炉窑</w:t>
            </w:r>
            <w:r>
              <w:rPr>
                <w:rFonts w:hint="eastAsia" w:ascii="Times New Roman" w:hAnsi="Times New Roman" w:eastAsia="宋体" w:cs="Times New Roman"/>
                <w:color w:val="auto"/>
                <w:sz w:val="24"/>
                <w:szCs w:val="24"/>
                <w:highlight w:val="none"/>
              </w:rPr>
              <w:t>，</w:t>
            </w:r>
            <w:r>
              <w:rPr>
                <w:rFonts w:ascii="Times New Roman" w:hAnsi="Times New Roman" w:eastAsia="宋体" w:cs="Times New Roman"/>
                <w:color w:val="auto"/>
                <w:sz w:val="24"/>
                <w:szCs w:val="24"/>
                <w:highlight w:val="none"/>
              </w:rPr>
              <w:t>属于登记管理</w:t>
            </w:r>
            <w:r>
              <w:rPr>
                <w:rFonts w:ascii="Times New Roman" w:hAnsi="Times New Roman" w:eastAsia="宋体" w:cs="Times New Roman"/>
                <w:color w:val="auto"/>
                <w:spacing w:val="-2"/>
                <w:sz w:val="24"/>
                <w:szCs w:val="24"/>
                <w:highlight w:val="none"/>
              </w:rPr>
              <w:t>。</w:t>
            </w:r>
          </w:p>
          <w:p w14:paraId="78513EF2">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表1-</w:t>
            </w:r>
            <w:r>
              <w:rPr>
                <w:rFonts w:hint="eastAsia" w:ascii="Times New Roman" w:hAnsi="Times New Roman" w:eastAsia="黑体" w:cs="Times New Roman"/>
                <w:color w:val="auto"/>
                <w:sz w:val="24"/>
                <w:highlight w:val="none"/>
                <w:lang w:val="en-US" w:eastAsia="zh-CN"/>
              </w:rPr>
              <w:t>8</w:t>
            </w:r>
            <w:r>
              <w:rPr>
                <w:rFonts w:ascii="Times New Roman" w:hAnsi="Times New Roman" w:eastAsia="黑体" w:cs="Times New Roman"/>
                <w:color w:val="auto"/>
                <w:sz w:val="24"/>
                <w:highlight w:val="none"/>
              </w:rPr>
              <w:t xml:space="preserve">  排污许可证申领类别一览表</w:t>
            </w:r>
          </w:p>
          <w:tbl>
            <w:tblPr>
              <w:tblStyle w:val="19"/>
              <w:tblW w:w="4998" w:type="pct"/>
              <w:tblInd w:w="0" w:type="dxa"/>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80"/>
              <w:gridCol w:w="3495"/>
              <w:gridCol w:w="1218"/>
              <w:gridCol w:w="1454"/>
              <w:gridCol w:w="1270"/>
            </w:tblGrid>
            <w:tr w14:paraId="1EF3058E">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2511" w:type="pct"/>
                  <w:gridSpan w:val="2"/>
                  <w:tcBorders>
                    <w:tl2br w:val="nil"/>
                    <w:tr2bl w:val="nil"/>
                  </w:tcBorders>
                  <w:vAlign w:val="center"/>
                </w:tcPr>
                <w:p w14:paraId="488DFA3F">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行业类别</w:t>
                  </w:r>
                </w:p>
              </w:tc>
              <w:tc>
                <w:tcPr>
                  <w:tcW w:w="769" w:type="pct"/>
                  <w:tcBorders>
                    <w:tl2br w:val="nil"/>
                    <w:tr2bl w:val="nil"/>
                  </w:tcBorders>
                  <w:vAlign w:val="center"/>
                </w:tcPr>
                <w:p w14:paraId="3FB86A6D">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重点管理</w:t>
                  </w:r>
                </w:p>
              </w:tc>
              <w:tc>
                <w:tcPr>
                  <w:tcW w:w="918" w:type="pct"/>
                  <w:tcBorders>
                    <w:tl2br w:val="nil"/>
                    <w:tr2bl w:val="nil"/>
                  </w:tcBorders>
                  <w:vAlign w:val="center"/>
                </w:tcPr>
                <w:p w14:paraId="68B392BE">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简化管理</w:t>
                  </w:r>
                </w:p>
              </w:tc>
              <w:tc>
                <w:tcPr>
                  <w:tcW w:w="800" w:type="pct"/>
                  <w:tcBorders>
                    <w:tl2br w:val="nil"/>
                    <w:tr2bl w:val="nil"/>
                  </w:tcBorders>
                  <w:vAlign w:val="center"/>
                </w:tcPr>
                <w:p w14:paraId="5E1F478F">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登记管理</w:t>
                  </w:r>
                </w:p>
              </w:tc>
            </w:tr>
            <w:tr w14:paraId="230EBBED">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27" w:hRule="atLeast"/>
              </w:trPr>
              <w:tc>
                <w:tcPr>
                  <w:tcW w:w="5000" w:type="pct"/>
                  <w:gridSpan w:val="5"/>
                  <w:tcBorders>
                    <w:tl2br w:val="nil"/>
                    <w:tr2bl w:val="nil"/>
                  </w:tcBorders>
                  <w:vAlign w:val="center"/>
                </w:tcPr>
                <w:p w14:paraId="1EB60548">
                  <w:pPr>
                    <w:snapToGrid w:val="0"/>
                    <w:spacing w:line="276" w:lineRule="auto"/>
                    <w:jc w:val="left"/>
                    <w:rPr>
                      <w:rFonts w:ascii="Times New Roman" w:hAnsi="Times New Roman" w:eastAsia="宋体" w:cs="Times New Roman"/>
                      <w:color w:val="auto"/>
                      <w:sz w:val="18"/>
                      <w:szCs w:val="18"/>
                      <w:highlight w:val="none"/>
                    </w:rPr>
                  </w:pPr>
                  <w:r>
                    <w:rPr>
                      <w:rFonts w:ascii="Times New Roman" w:hAnsi="Times New Roman" w:eastAsia="宋体" w:cs="Times New Roman"/>
                      <w:b/>
                      <w:bCs/>
                      <w:color w:val="auto"/>
                      <w:sz w:val="18"/>
                      <w:szCs w:val="18"/>
                      <w:highlight w:val="none"/>
                    </w:rPr>
                    <w:t>三十、专用设备制造业 35</w:t>
                  </w:r>
                </w:p>
              </w:tc>
            </w:tr>
            <w:tr w14:paraId="0B873479">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03" w:type="pct"/>
                  <w:tcBorders>
                    <w:right w:val="single" w:color="auto" w:sz="4" w:space="0"/>
                    <w:tl2br w:val="nil"/>
                    <w:tr2bl w:val="nil"/>
                  </w:tcBorders>
                  <w:vAlign w:val="center"/>
                </w:tcPr>
                <w:p w14:paraId="0F6C9A06">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84</w:t>
                  </w:r>
                </w:p>
              </w:tc>
              <w:tc>
                <w:tcPr>
                  <w:tcW w:w="2207" w:type="pct"/>
                  <w:tcBorders>
                    <w:left w:val="single" w:color="auto" w:sz="4" w:space="0"/>
                    <w:tl2br w:val="nil"/>
                    <w:tr2bl w:val="nil"/>
                  </w:tcBorders>
                  <w:vAlign w:val="center"/>
                </w:tcPr>
                <w:p w14:paraId="72DAAC4B">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采矿、冶金、建筑专用设备制造 351，化工、木材、非金属加工专用设备制造 352，食品、饮料、烟草及饲料生产专用设备制造 353，印刷、制药、日化及日用品生产专用设备制造 354，纺织、服装和皮革加工专用设备制造355，电子和电工机械专用设备制造356，农、林、牧、渔专用机械制造357，医疗仪器设备及器械制造 358，</w:t>
                  </w:r>
                  <w:r>
                    <w:rPr>
                      <w:rFonts w:ascii="Times New Roman" w:hAnsi="Times New Roman" w:eastAsia="宋体" w:cs="Times New Roman"/>
                      <w:b/>
                      <w:bCs/>
                      <w:color w:val="auto"/>
                      <w:sz w:val="18"/>
                      <w:szCs w:val="18"/>
                      <w:highlight w:val="none"/>
                    </w:rPr>
                    <w:t>环保、邮政、社会公共服务及其他专用设备制造 359</w:t>
                  </w:r>
                </w:p>
              </w:tc>
              <w:tc>
                <w:tcPr>
                  <w:tcW w:w="769" w:type="pct"/>
                  <w:tcBorders>
                    <w:tl2br w:val="nil"/>
                    <w:tr2bl w:val="nil"/>
                  </w:tcBorders>
                  <w:vAlign w:val="center"/>
                </w:tcPr>
                <w:p w14:paraId="142F615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涉及通用工序重点管理的</w:t>
                  </w:r>
                </w:p>
              </w:tc>
              <w:tc>
                <w:tcPr>
                  <w:tcW w:w="918" w:type="pct"/>
                  <w:tcBorders>
                    <w:tl2br w:val="nil"/>
                    <w:tr2bl w:val="nil"/>
                  </w:tcBorders>
                  <w:vAlign w:val="center"/>
                </w:tcPr>
                <w:p w14:paraId="3696CE60">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涉及通用工序简化管理的</w:t>
                  </w:r>
                </w:p>
              </w:tc>
              <w:tc>
                <w:tcPr>
                  <w:tcW w:w="800" w:type="pct"/>
                  <w:tcBorders>
                    <w:tl2br w:val="nil"/>
                    <w:tr2bl w:val="nil"/>
                  </w:tcBorders>
                  <w:vAlign w:val="center"/>
                </w:tcPr>
                <w:p w14:paraId="4080432D">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b/>
                      <w:bCs/>
                      <w:color w:val="auto"/>
                      <w:sz w:val="18"/>
                      <w:szCs w:val="18"/>
                      <w:highlight w:val="none"/>
                    </w:rPr>
                    <w:t>其他</w:t>
                  </w:r>
                </w:p>
              </w:tc>
            </w:tr>
            <w:tr w14:paraId="74A5728E">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14:paraId="5CC0586E">
                  <w:pPr>
                    <w:snapToGrid w:val="0"/>
                    <w:spacing w:line="276" w:lineRule="auto"/>
                    <w:jc w:val="both"/>
                    <w:rPr>
                      <w:rFonts w:hint="default"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五十一、通用工序</w:t>
                  </w:r>
                </w:p>
              </w:tc>
            </w:tr>
            <w:tr w14:paraId="2B432D3D">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03" w:type="pct"/>
                  <w:tcBorders>
                    <w:right w:val="single" w:color="auto" w:sz="4" w:space="0"/>
                    <w:tl2br w:val="nil"/>
                    <w:tr2bl w:val="nil"/>
                  </w:tcBorders>
                  <w:vAlign w:val="center"/>
                </w:tcPr>
                <w:p w14:paraId="7C7CFA31">
                  <w:pPr>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110</w:t>
                  </w:r>
                </w:p>
              </w:tc>
              <w:tc>
                <w:tcPr>
                  <w:tcW w:w="2207" w:type="pct"/>
                  <w:tcBorders>
                    <w:left w:val="single" w:color="auto" w:sz="4" w:space="0"/>
                    <w:tl2br w:val="nil"/>
                    <w:tr2bl w:val="nil"/>
                  </w:tcBorders>
                  <w:vAlign w:val="center"/>
                </w:tcPr>
                <w:p w14:paraId="1768C5C8">
                  <w:pPr>
                    <w:snapToGrid w:val="0"/>
                    <w:spacing w:line="276" w:lineRule="auto"/>
                    <w:jc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工业炉窑</w:t>
                  </w:r>
                </w:p>
              </w:tc>
              <w:tc>
                <w:tcPr>
                  <w:tcW w:w="769" w:type="pct"/>
                  <w:tcBorders>
                    <w:tl2br w:val="nil"/>
                    <w:tr2bl w:val="nil"/>
                  </w:tcBorders>
                  <w:vAlign w:val="center"/>
                </w:tcPr>
                <w:p w14:paraId="24B80655">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纳入重点排污单位名录的</w:t>
                  </w:r>
                </w:p>
              </w:tc>
              <w:tc>
                <w:tcPr>
                  <w:tcW w:w="918" w:type="pct"/>
                  <w:tcBorders>
                    <w:tl2br w:val="nil"/>
                    <w:tr2bl w:val="nil"/>
                  </w:tcBorders>
                  <w:vAlign w:val="center"/>
                </w:tcPr>
                <w:p w14:paraId="4283D1A9">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除纳入重点排污单位名录的，除以天然气或者电为能源的加热炉、热处理炉、干燥炉</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窑</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以外的其他工业炉窑</w:t>
                  </w:r>
                </w:p>
              </w:tc>
              <w:tc>
                <w:tcPr>
                  <w:tcW w:w="800" w:type="pct"/>
                  <w:tcBorders>
                    <w:tl2br w:val="nil"/>
                    <w:tr2bl w:val="nil"/>
                  </w:tcBorders>
                  <w:vAlign w:val="center"/>
                </w:tcPr>
                <w:p w14:paraId="60CFAD96">
                  <w:pPr>
                    <w:snapToGrid w:val="0"/>
                    <w:spacing w:line="276" w:lineRule="auto"/>
                    <w:jc w:val="center"/>
                    <w:rPr>
                      <w:rFonts w:ascii="Times New Roman" w:hAnsi="Times New Roman" w:eastAsia="宋体" w:cs="Times New Roman"/>
                      <w:b w:val="0"/>
                      <w:bCs w:val="0"/>
                      <w:color w:val="auto"/>
                      <w:sz w:val="18"/>
                      <w:szCs w:val="18"/>
                      <w:highlight w:val="none"/>
                    </w:rPr>
                  </w:pPr>
                  <w:r>
                    <w:rPr>
                      <w:rFonts w:hint="eastAsia" w:ascii="Times New Roman" w:hAnsi="Times New Roman" w:eastAsia="宋体" w:cs="Times New Roman"/>
                      <w:b/>
                      <w:bCs/>
                      <w:color w:val="auto"/>
                      <w:sz w:val="18"/>
                      <w:szCs w:val="18"/>
                      <w:highlight w:val="none"/>
                    </w:rPr>
                    <w:t>除纳入重点排污单位名录的，以天</w:t>
                  </w:r>
                  <w:r>
                    <w:rPr>
                      <w:rFonts w:hint="eastAsia" w:ascii="Times New Roman" w:hAnsi="Times New Roman" w:eastAsia="宋体" w:cs="Times New Roman"/>
                      <w:b/>
                      <w:bCs/>
                      <w:color w:val="auto"/>
                      <w:sz w:val="18"/>
                      <w:szCs w:val="18"/>
                      <w:highlight w:val="none"/>
                      <w:lang w:eastAsia="zh-CN"/>
                    </w:rPr>
                    <w:t>然气</w:t>
                  </w:r>
                  <w:r>
                    <w:rPr>
                      <w:rFonts w:hint="eastAsia" w:ascii="Times New Roman" w:hAnsi="Times New Roman" w:eastAsia="宋体" w:cs="Times New Roman"/>
                      <w:b/>
                      <w:bCs/>
                      <w:color w:val="auto"/>
                      <w:sz w:val="18"/>
                      <w:szCs w:val="18"/>
                      <w:highlight w:val="none"/>
                    </w:rPr>
                    <w:t>”或者电为能源的</w:t>
                  </w:r>
                  <w:r>
                    <w:rPr>
                      <w:rFonts w:hint="eastAsia" w:ascii="Times New Roman" w:hAnsi="Times New Roman" w:eastAsia="宋体" w:cs="Times New Roman"/>
                      <w:b/>
                      <w:bCs/>
                      <w:color w:val="auto"/>
                      <w:sz w:val="18"/>
                      <w:szCs w:val="18"/>
                      <w:highlight w:val="none"/>
                      <w:lang w:eastAsia="zh-CN"/>
                    </w:rPr>
                    <w:t>加热炉</w:t>
                  </w:r>
                  <w:r>
                    <w:rPr>
                      <w:rFonts w:hint="eastAsia" w:ascii="Times New Roman" w:hAnsi="Times New Roman" w:eastAsia="宋体" w:cs="Times New Roman"/>
                      <w:b/>
                      <w:bCs/>
                      <w:color w:val="auto"/>
                      <w:sz w:val="18"/>
                      <w:szCs w:val="18"/>
                      <w:highlight w:val="none"/>
                    </w:rPr>
                    <w:t>、热处理炉或者干燥炉</w:t>
                  </w:r>
                  <w:r>
                    <w:rPr>
                      <w:rFonts w:hint="eastAsia" w:ascii="Times New Roman" w:hAnsi="Times New Roman" w:eastAsia="宋体" w:cs="Times New Roman"/>
                      <w:b/>
                      <w:bCs/>
                      <w:color w:val="auto"/>
                      <w:sz w:val="18"/>
                      <w:szCs w:val="18"/>
                      <w:highlight w:val="none"/>
                      <w:lang w:eastAsia="zh-CN"/>
                    </w:rPr>
                    <w:t>（</w:t>
                  </w:r>
                  <w:r>
                    <w:rPr>
                      <w:rFonts w:hint="eastAsia" w:ascii="Times New Roman" w:hAnsi="Times New Roman" w:eastAsia="宋体" w:cs="Times New Roman"/>
                      <w:b/>
                      <w:bCs/>
                      <w:color w:val="auto"/>
                      <w:sz w:val="18"/>
                      <w:szCs w:val="18"/>
                      <w:highlight w:val="none"/>
                    </w:rPr>
                    <w:t>窑</w:t>
                  </w:r>
                  <w:r>
                    <w:rPr>
                      <w:rFonts w:hint="eastAsia" w:ascii="Times New Roman" w:hAnsi="Times New Roman" w:eastAsia="宋体" w:cs="Times New Roman"/>
                      <w:b/>
                      <w:bCs/>
                      <w:color w:val="auto"/>
                      <w:sz w:val="18"/>
                      <w:szCs w:val="18"/>
                      <w:highlight w:val="none"/>
                      <w:lang w:eastAsia="zh-CN"/>
                    </w:rPr>
                    <w:t>）</w:t>
                  </w:r>
                </w:p>
              </w:tc>
            </w:tr>
            <w:tr w14:paraId="1D95115E">
              <w:tblPrEx>
                <w:tblBorders>
                  <w:top w:val="single" w:color="000000" w:themeColor="text1" w:sz="8" w:space="0"/>
                  <w:left w:val="none" w:color="auto" w:sz="0" w:space="0"/>
                  <w:bottom w:val="single" w:color="000000" w:themeColor="text1" w:sz="8" w:space="0"/>
                  <w:right w:val="none" w:color="auto" w:sz="0"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40" w:hRule="atLeast"/>
              </w:trPr>
              <w:tc>
                <w:tcPr>
                  <w:tcW w:w="303" w:type="pct"/>
                  <w:tcBorders>
                    <w:right w:val="single" w:color="auto" w:sz="4" w:space="0"/>
                    <w:tl2br w:val="nil"/>
                    <w:tr2bl w:val="nil"/>
                  </w:tcBorders>
                  <w:vAlign w:val="center"/>
                </w:tcPr>
                <w:p w14:paraId="23777760">
                  <w:pPr>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111</w:t>
                  </w:r>
                </w:p>
              </w:tc>
              <w:tc>
                <w:tcPr>
                  <w:tcW w:w="2207" w:type="pct"/>
                  <w:tcBorders>
                    <w:left w:val="single" w:color="auto" w:sz="4" w:space="0"/>
                    <w:tl2br w:val="nil"/>
                    <w:tr2bl w:val="nil"/>
                  </w:tcBorders>
                  <w:vAlign w:val="center"/>
                </w:tcPr>
                <w:p w14:paraId="2E6AEDDB">
                  <w:pPr>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表面处理</w:t>
                  </w:r>
                </w:p>
              </w:tc>
              <w:tc>
                <w:tcPr>
                  <w:tcW w:w="769" w:type="pct"/>
                  <w:tcBorders>
                    <w:tl2br w:val="nil"/>
                    <w:tr2bl w:val="nil"/>
                  </w:tcBorders>
                  <w:vAlign w:val="center"/>
                </w:tcPr>
                <w:p w14:paraId="177C78BB">
                  <w:pPr>
                    <w:snapToGrid w:val="0"/>
                    <w:spacing w:line="276"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纳入重点排污单位名录的</w:t>
                  </w:r>
                </w:p>
              </w:tc>
              <w:tc>
                <w:tcPr>
                  <w:tcW w:w="918" w:type="pct"/>
                  <w:tcBorders>
                    <w:tl2br w:val="nil"/>
                    <w:tr2bl w:val="nil"/>
                  </w:tcBorders>
                  <w:vAlign w:val="center"/>
                </w:tcPr>
                <w:p w14:paraId="4F71413B">
                  <w:pPr>
                    <w:snapToGrid w:val="0"/>
                    <w:spacing w:line="276" w:lineRule="auto"/>
                    <w:jc w:val="center"/>
                    <w:rPr>
                      <w:rFonts w:hint="eastAsia"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除纳入重点排污单位名录的</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有电镀工序、酸洗、抛光</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电解抛光和化学抛光</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、热浸镀</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溶剂法</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rPr>
                    <w:t>、火或者钝化等工序的、年使用10吨及以上有机溶剂的</w:t>
                  </w:r>
                </w:p>
              </w:tc>
              <w:tc>
                <w:tcPr>
                  <w:tcW w:w="800" w:type="pct"/>
                  <w:tcBorders>
                    <w:tl2br w:val="nil"/>
                    <w:tr2bl w:val="nil"/>
                  </w:tcBorders>
                  <w:vAlign w:val="center"/>
                </w:tcPr>
                <w:p w14:paraId="00376B3B">
                  <w:pPr>
                    <w:snapToGrid w:val="0"/>
                    <w:spacing w:line="276" w:lineRule="auto"/>
                    <w:jc w:val="center"/>
                    <w:rPr>
                      <w:rFonts w:hint="eastAsia" w:ascii="Times New Roman" w:hAnsi="Times New Roman" w:eastAsia="宋体" w:cs="Times New Roman"/>
                      <w:b/>
                      <w:bCs/>
                      <w:color w:val="auto"/>
                      <w:sz w:val="18"/>
                      <w:szCs w:val="18"/>
                      <w:highlight w:val="none"/>
                      <w:lang w:val="en-US" w:eastAsia="zh-CN"/>
                    </w:rPr>
                  </w:pPr>
                  <w:r>
                    <w:rPr>
                      <w:rFonts w:hint="eastAsia" w:ascii="Times New Roman" w:hAnsi="Times New Roman" w:eastAsia="宋体" w:cs="Times New Roman"/>
                      <w:b/>
                      <w:bCs/>
                      <w:color w:val="auto"/>
                      <w:sz w:val="18"/>
                      <w:szCs w:val="18"/>
                      <w:highlight w:val="none"/>
                      <w:lang w:val="en-US" w:eastAsia="zh-CN"/>
                    </w:rPr>
                    <w:t>其它</w:t>
                  </w:r>
                </w:p>
              </w:tc>
            </w:tr>
          </w:tbl>
          <w:p w14:paraId="760602D1">
            <w:pPr>
              <w:spacing w:line="360" w:lineRule="auto"/>
              <w:rPr>
                <w:rFonts w:ascii="Times New Roman" w:hAnsi="Times New Roman" w:eastAsia="宋体" w:cs="Times New Roman"/>
                <w:color w:val="auto"/>
                <w:kern w:val="0"/>
                <w:sz w:val="24"/>
                <w:szCs w:val="24"/>
                <w:highlight w:val="none"/>
              </w:rPr>
            </w:pPr>
          </w:p>
        </w:tc>
      </w:tr>
    </w:tbl>
    <w:p w14:paraId="114AE290">
      <w:pPr>
        <w:rPr>
          <w:rFonts w:ascii="Times New Roman" w:hAnsi="Times New Roman" w:eastAsia="宋体" w:cs="Times New Roman"/>
          <w:color w:val="auto"/>
          <w:highlight w:val="none"/>
        </w:rPr>
        <w:sectPr>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12" w:charSpace="0"/>
        </w:sectPr>
      </w:pPr>
    </w:p>
    <w:p w14:paraId="2B4345CC">
      <w:pPr>
        <w:widowControl/>
        <w:jc w:val="center"/>
        <w:outlineLvl w:val="0"/>
        <w:rPr>
          <w:rFonts w:ascii="Times New Roman" w:hAnsi="Times New Roman" w:eastAsia="宋体" w:cs="Times New Roman"/>
          <w:snapToGrid w:val="0"/>
          <w:color w:val="auto"/>
          <w:kern w:val="0"/>
          <w:sz w:val="32"/>
          <w:szCs w:val="32"/>
          <w:highlight w:val="none"/>
        </w:rPr>
      </w:pPr>
      <w:r>
        <w:rPr>
          <w:rFonts w:ascii="Times New Roman" w:hAnsi="Times New Roman" w:eastAsia="宋体" w:cs="Times New Roman"/>
          <w:snapToGrid w:val="0"/>
          <w:color w:val="auto"/>
          <w:kern w:val="0"/>
          <w:sz w:val="32"/>
          <w:szCs w:val="32"/>
          <w:highlight w:val="none"/>
        </w:rPr>
        <w:t>二、建设项目工程分析</w:t>
      </w:r>
    </w:p>
    <w:tbl>
      <w:tblPr>
        <w:tblStyle w:val="18"/>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6"/>
        <w:gridCol w:w="8544"/>
      </w:tblGrid>
      <w:tr w14:paraId="79F0D3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49" w:hRule="atLeast"/>
          <w:jc w:val="center"/>
        </w:trPr>
        <w:tc>
          <w:tcPr>
            <w:tcW w:w="516" w:type="dxa"/>
            <w:vAlign w:val="center"/>
          </w:tcPr>
          <w:p w14:paraId="21017722">
            <w:pPr>
              <w:widowControl/>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建设内容</w:t>
            </w:r>
          </w:p>
        </w:tc>
        <w:tc>
          <w:tcPr>
            <w:tcW w:w="8544" w:type="dxa"/>
          </w:tcPr>
          <w:p w14:paraId="7A169115">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1、项目背景</w:t>
            </w:r>
          </w:p>
          <w:p w14:paraId="22CDF989">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安徽福斯特智能科技有限公司拟投资6000万元，租赁淮南中兴实业有限责任公司位于</w:t>
            </w:r>
            <w:r>
              <w:rPr>
                <w:rFonts w:ascii="Times New Roman" w:hAnsi="Times New Roman" w:eastAsia="宋体" w:cs="Times New Roman"/>
                <w:color w:val="auto"/>
                <w:sz w:val="24"/>
                <w:highlight w:val="none"/>
              </w:rPr>
              <w:t>八公山区</w:t>
            </w:r>
            <w:r>
              <w:rPr>
                <w:rFonts w:ascii="Times New Roman" w:hAnsi="Times New Roman" w:eastAsia="宋体" w:cs="Times New Roman"/>
                <w:color w:val="auto"/>
                <w:kern w:val="0"/>
                <w:sz w:val="24"/>
                <w:szCs w:val="24"/>
                <w:highlight w:val="none"/>
              </w:rPr>
              <w:t>毕家岗街道新建社区</w:t>
            </w:r>
            <w:r>
              <w:rPr>
                <w:rFonts w:ascii="Times New Roman" w:hAnsi="Times New Roman" w:eastAsia="宋体" w:cs="Times New Roman"/>
                <w:color w:val="auto"/>
                <w:sz w:val="24"/>
                <w:highlight w:val="none"/>
              </w:rPr>
              <w:t>的现有厂房</w:t>
            </w:r>
            <w:r>
              <w:rPr>
                <w:rFonts w:ascii="Times New Roman" w:hAnsi="Times New Roman" w:eastAsia="宋体" w:cs="Times New Roman"/>
                <w:color w:val="auto"/>
                <w:kern w:val="0"/>
                <w:sz w:val="24"/>
                <w:szCs w:val="24"/>
                <w:highlight w:val="none"/>
              </w:rPr>
              <w:t>，用地面积</w:t>
            </w:r>
            <w:r>
              <w:rPr>
                <w:rFonts w:ascii="Times New Roman" w:hAnsi="Times New Roman" w:eastAsia="宋体" w:cs="Times New Roman"/>
                <w:color w:val="auto"/>
                <w:sz w:val="24"/>
                <w:szCs w:val="24"/>
                <w:highlight w:val="none"/>
              </w:rPr>
              <w:t>8390</w:t>
            </w:r>
            <w:r>
              <w:rPr>
                <w:rFonts w:ascii="Times New Roman" w:hAnsi="Times New Roman" w:eastAsia="宋体" w:cs="Times New Roman"/>
                <w:color w:val="auto"/>
                <w:kern w:val="0"/>
                <w:sz w:val="24"/>
                <w:szCs w:val="24"/>
                <w:highlight w:val="none"/>
              </w:rPr>
              <w:t>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，在淮南市八公山区毕家岗街道新建社区新建“安徽福斯特智能科技有限公司智能装备产业园项目”，建设自动售货机和分类垃圾箱生产线，形成</w:t>
            </w:r>
            <w:r>
              <w:rPr>
                <w:rFonts w:ascii="Times New Roman" w:hAnsi="Times New Roman" w:eastAsia="宋体" w:cs="Times New Roman"/>
                <w:bCs/>
                <w:color w:val="auto"/>
                <w:sz w:val="24"/>
                <w:highlight w:val="none"/>
              </w:rPr>
              <w:t>年加工10000台自动售货机及智能垃圾分类箱</w:t>
            </w:r>
            <w:r>
              <w:rPr>
                <w:rFonts w:ascii="Times New Roman" w:hAnsi="Times New Roman" w:eastAsia="宋体" w:cs="Times New Roman"/>
                <w:color w:val="auto"/>
                <w:kern w:val="0"/>
                <w:sz w:val="24"/>
                <w:szCs w:val="24"/>
                <w:highlight w:val="none"/>
              </w:rPr>
              <w:t>的生产规模。该项目于</w:t>
            </w:r>
            <w:r>
              <w:rPr>
                <w:rFonts w:hint="eastAsia" w:ascii="Times New Roman" w:hAnsi="Times New Roman" w:eastAsia="宋体" w:cs="Times New Roman"/>
                <w:color w:val="auto"/>
                <w:kern w:val="0"/>
                <w:sz w:val="24"/>
                <w:szCs w:val="24"/>
                <w:highlight w:val="none"/>
                <w:lang w:eastAsia="zh-CN"/>
              </w:rPr>
              <w:t>2023年9月19日</w:t>
            </w:r>
            <w:r>
              <w:rPr>
                <w:rFonts w:hint="eastAsia" w:ascii="Times New Roman" w:hAnsi="Times New Roman" w:eastAsia="宋体" w:cs="Times New Roman"/>
                <w:color w:val="auto"/>
                <w:kern w:val="0"/>
                <w:sz w:val="24"/>
                <w:szCs w:val="24"/>
                <w:highlight w:val="none"/>
              </w:rPr>
              <w:t>首次备案，</w:t>
            </w:r>
            <w:r>
              <w:rPr>
                <w:rFonts w:ascii="Times New Roman" w:hAnsi="Times New Roman" w:eastAsia="宋体" w:cs="Times New Roman"/>
                <w:color w:val="auto"/>
                <w:kern w:val="0"/>
                <w:sz w:val="24"/>
                <w:szCs w:val="24"/>
                <w:highlight w:val="none"/>
              </w:rPr>
              <w:t>2024年4月15日经淮南市八公山区发展改革局通过备案，项目编码为</w:t>
            </w:r>
            <w:r>
              <w:rPr>
                <w:rFonts w:ascii="Times New Roman" w:hAnsi="Times New Roman" w:eastAsia="宋体" w:cs="Times New Roman"/>
                <w:color w:val="auto"/>
                <w:sz w:val="24"/>
                <w:szCs w:val="24"/>
                <w:highlight w:val="none"/>
              </w:rPr>
              <w:t>2309-340405-04-01-228143</w:t>
            </w:r>
            <w:r>
              <w:rPr>
                <w:rFonts w:ascii="Times New Roman" w:hAnsi="Times New Roman" w:eastAsia="宋体" w:cs="Times New Roman"/>
                <w:color w:val="auto"/>
                <w:kern w:val="0"/>
                <w:sz w:val="24"/>
                <w:szCs w:val="24"/>
                <w:highlight w:val="none"/>
              </w:rPr>
              <w:t>。</w:t>
            </w:r>
          </w:p>
          <w:p w14:paraId="469AC727">
            <w:pPr>
              <w:spacing w:line="360" w:lineRule="auto"/>
              <w:ind w:firstLine="480" w:firstLineChars="200"/>
              <w:rPr>
                <w:rFonts w:ascii="Times New Roman" w:hAnsi="Times New Roman" w:eastAsia="宋体" w:cs="Times New Roman"/>
                <w:iCs/>
                <w:color w:val="auto"/>
                <w:spacing w:val="4"/>
                <w:sz w:val="24"/>
                <w:szCs w:val="20"/>
                <w:highlight w:val="none"/>
              </w:rPr>
            </w:pPr>
            <w:r>
              <w:rPr>
                <w:rFonts w:ascii="Times New Roman" w:hAnsi="Times New Roman" w:eastAsia="宋体" w:cs="Times New Roman"/>
                <w:color w:val="auto"/>
                <w:sz w:val="24"/>
                <w:highlight w:val="none"/>
              </w:rPr>
              <w:t>根据《中华人民共和国环境保护法》（主席令2014年第9号）、《中华人民共和国环境影响评价法》（2018年12月29日修订）、《建设项目环境保护管理条例》（2017年10月1日施行）及《建设项目环境影响评价分类管理名录》（2021年版）中要求，本项目属于</w:t>
            </w:r>
            <w:r>
              <w:rPr>
                <w:rFonts w:ascii="Times New Roman" w:hAnsi="Times New Roman" w:eastAsia="宋体" w:cs="Times New Roman"/>
                <w:color w:val="auto"/>
                <w:kern w:val="0"/>
                <w:sz w:val="24"/>
                <w:szCs w:val="20"/>
                <w:highlight w:val="none"/>
              </w:rPr>
              <w:t>“三十二、专用设备制造业”的“环保、邮政、社会公共服务及其他专用设备制造”中的“其他”，</w:t>
            </w:r>
            <w:r>
              <w:rPr>
                <w:rFonts w:ascii="Times New Roman" w:hAnsi="Times New Roman" w:eastAsia="宋体" w:cs="Times New Roman"/>
                <w:iCs/>
                <w:color w:val="auto"/>
                <w:spacing w:val="4"/>
                <w:sz w:val="24"/>
                <w:szCs w:val="20"/>
                <w:highlight w:val="none"/>
              </w:rPr>
              <w:t>需要编制环境影响报告表，</w:t>
            </w:r>
            <w:r>
              <w:rPr>
                <w:rFonts w:hint="eastAsia" w:ascii="Times New Roman" w:hAnsi="Times New Roman" w:eastAsia="宋体" w:cs="Times New Roman"/>
                <w:iCs/>
                <w:color w:val="auto"/>
                <w:spacing w:val="4"/>
                <w:sz w:val="24"/>
                <w:szCs w:val="20"/>
                <w:highlight w:val="none"/>
                <w:lang w:eastAsia="zh-CN"/>
              </w:rPr>
              <w:t>详</w:t>
            </w:r>
            <w:r>
              <w:rPr>
                <w:rFonts w:ascii="Times New Roman" w:hAnsi="Times New Roman" w:eastAsia="宋体" w:cs="Times New Roman"/>
                <w:iCs/>
                <w:color w:val="auto"/>
                <w:spacing w:val="4"/>
                <w:sz w:val="24"/>
                <w:szCs w:val="20"/>
                <w:highlight w:val="none"/>
              </w:rPr>
              <w:t>见下表。</w:t>
            </w:r>
          </w:p>
          <w:p w14:paraId="5604E3E5">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表2-1  环境影响评价报告类别</w:t>
            </w:r>
          </w:p>
          <w:tbl>
            <w:tblPr>
              <w:tblStyle w:val="18"/>
              <w:tblW w:w="8328"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5"/>
              <w:gridCol w:w="3330"/>
              <w:gridCol w:w="1731"/>
              <w:gridCol w:w="1733"/>
              <w:gridCol w:w="989"/>
            </w:tblGrid>
            <w:tr w14:paraId="009B2E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3875" w:type="dxa"/>
                  <w:gridSpan w:val="2"/>
                  <w:tcBorders>
                    <w:tl2br w:val="nil"/>
                    <w:tr2bl w:val="nil"/>
                  </w:tcBorders>
                  <w:vAlign w:val="center"/>
                </w:tcPr>
                <w:p w14:paraId="45891893">
                  <w:pPr>
                    <w:snapToGrid w:val="0"/>
                    <w:spacing w:line="276" w:lineRule="auto"/>
                    <w:jc w:val="right"/>
                    <w:rPr>
                      <w:rFonts w:ascii="Times New Roman" w:hAnsi="Times New Roman" w:eastAsia="宋体" w:cs="Times New Roman"/>
                      <w:b/>
                      <w:color w:val="auto"/>
                      <w:sz w:val="18"/>
                      <w:szCs w:val="18"/>
                      <w:highlight w:val="none"/>
                    </w:rPr>
                  </w:pPr>
                </w:p>
                <w:p w14:paraId="1B586EE1">
                  <w:pPr>
                    <w:snapToGrid w:val="0"/>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项目类别</w:t>
                  </w:r>
                </w:p>
                <w:p w14:paraId="6DFDF1BB">
                  <w:pPr>
                    <w:snapToGrid w:val="0"/>
                    <w:spacing w:line="276" w:lineRule="auto"/>
                    <w:jc w:val="right"/>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环评类别</w:t>
                  </w:r>
                </w:p>
              </w:tc>
              <w:tc>
                <w:tcPr>
                  <w:tcW w:w="1731" w:type="dxa"/>
                  <w:tcBorders>
                    <w:tl2br w:val="nil"/>
                    <w:tr2bl w:val="nil"/>
                  </w:tcBorders>
                  <w:vAlign w:val="center"/>
                </w:tcPr>
                <w:p w14:paraId="54236829">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报告书</w:t>
                  </w:r>
                </w:p>
              </w:tc>
              <w:tc>
                <w:tcPr>
                  <w:tcW w:w="1733" w:type="dxa"/>
                  <w:tcBorders>
                    <w:tl2br w:val="nil"/>
                    <w:tr2bl w:val="nil"/>
                  </w:tcBorders>
                  <w:shd w:val="clear" w:color="auto" w:fill="D8D8D8" w:themeFill="background1" w:themeFillShade="D9"/>
                  <w:vAlign w:val="center"/>
                </w:tcPr>
                <w:p w14:paraId="57A09B12">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报告表</w:t>
                  </w:r>
                </w:p>
              </w:tc>
              <w:tc>
                <w:tcPr>
                  <w:tcW w:w="989" w:type="dxa"/>
                  <w:tcBorders>
                    <w:tl2br w:val="nil"/>
                    <w:tr2bl w:val="nil"/>
                  </w:tcBorders>
                  <w:vAlign w:val="center"/>
                </w:tcPr>
                <w:p w14:paraId="46572146">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登记表</w:t>
                  </w:r>
                </w:p>
              </w:tc>
            </w:tr>
            <w:tr w14:paraId="7C8E68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8" w:type="dxa"/>
                  <w:gridSpan w:val="5"/>
                  <w:tcBorders>
                    <w:tl2br w:val="nil"/>
                    <w:tr2bl w:val="nil"/>
                  </w:tcBorders>
                  <w:vAlign w:val="center"/>
                </w:tcPr>
                <w:p w14:paraId="63ECC396">
                  <w:pPr>
                    <w:snapToGrid w:val="0"/>
                    <w:spacing w:line="276" w:lineRule="auto"/>
                    <w:jc w:val="left"/>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三十二、专用设备制造业 35</w:t>
                  </w:r>
                </w:p>
              </w:tc>
            </w:tr>
            <w:tr w14:paraId="6095B0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5" w:type="dxa"/>
                  <w:tcBorders>
                    <w:tl2br w:val="nil"/>
                    <w:tr2bl w:val="nil"/>
                  </w:tcBorders>
                  <w:vAlign w:val="center"/>
                </w:tcPr>
                <w:p w14:paraId="00E73615">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70</w:t>
                  </w:r>
                </w:p>
              </w:tc>
              <w:tc>
                <w:tcPr>
                  <w:tcW w:w="3330" w:type="dxa"/>
                  <w:tcBorders>
                    <w:tl2br w:val="nil"/>
                    <w:tr2bl w:val="nil"/>
                  </w:tcBorders>
                  <w:vAlign w:val="center"/>
                </w:tcPr>
                <w:p w14:paraId="17368374">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采矿、冶金、建筑专用设备制造 351，化工、木材、非金属加工专用设备制造 352，食品、饮料、烟草及饲料生产专用设备制造 353，印刷、制药、日化及日用品生产专用设备制造 354，纺织、服装和皮革加工专用设备制造355，电子和电工机械专用设备制造356，农、林、牧、渔专用机械制造357，医疗仪器设备及器械制造 358，</w:t>
                  </w:r>
                  <w:r>
                    <w:rPr>
                      <w:rFonts w:ascii="Times New Roman" w:hAnsi="Times New Roman" w:eastAsia="宋体" w:cs="Times New Roman"/>
                      <w:b/>
                      <w:bCs/>
                      <w:color w:val="auto"/>
                      <w:sz w:val="18"/>
                      <w:szCs w:val="18"/>
                      <w:highlight w:val="none"/>
                    </w:rPr>
                    <w:t>环保、邮政、社会公共服务及其他专用设备制造 359</w:t>
                  </w:r>
                </w:p>
              </w:tc>
              <w:tc>
                <w:tcPr>
                  <w:tcW w:w="1731" w:type="dxa"/>
                  <w:tcBorders>
                    <w:tl2br w:val="nil"/>
                    <w:tr2bl w:val="nil"/>
                  </w:tcBorders>
                  <w:vAlign w:val="center"/>
                </w:tcPr>
                <w:p w14:paraId="6B52AB65">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有电镀工艺的；年用溶剂型涂料</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含稀释剂</w:t>
                  </w:r>
                  <w:r>
                    <w:rPr>
                      <w:rFonts w:hint="eastAsia" w:ascii="Times New Roman" w:hAnsi="Times New Roman" w:eastAsia="宋体" w:cs="Times New Roman"/>
                      <w:color w:val="auto"/>
                      <w:sz w:val="18"/>
                      <w:szCs w:val="18"/>
                      <w:highlight w:val="none"/>
                      <w:lang w:eastAsia="zh-CN"/>
                    </w:rPr>
                    <w:t>）</w:t>
                  </w:r>
                  <w:r>
                    <w:rPr>
                      <w:rFonts w:ascii="Times New Roman" w:hAnsi="Times New Roman" w:eastAsia="宋体" w:cs="Times New Roman"/>
                      <w:color w:val="auto"/>
                      <w:sz w:val="18"/>
                      <w:szCs w:val="18"/>
                      <w:highlight w:val="none"/>
                    </w:rPr>
                    <w:t>10吨及以上的</w:t>
                  </w:r>
                </w:p>
              </w:tc>
              <w:tc>
                <w:tcPr>
                  <w:tcW w:w="1733" w:type="dxa"/>
                  <w:tcBorders>
                    <w:tl2br w:val="nil"/>
                    <w:tr2bl w:val="nil"/>
                  </w:tcBorders>
                  <w:shd w:val="clear" w:color="auto" w:fill="D8D8D8" w:themeFill="background1" w:themeFillShade="D9"/>
                  <w:vAlign w:val="center"/>
                </w:tcPr>
                <w:p w14:paraId="35BF7411">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其他（仅分割、焊接、组装的</w:t>
                  </w:r>
                  <w:r>
                    <w:rPr>
                      <w:rFonts w:hint="eastAsia" w:ascii="Times New Roman" w:hAnsi="Times New Roman" w:eastAsia="宋体" w:cs="Times New Roman"/>
                      <w:b/>
                      <w:color w:val="auto"/>
                      <w:kern w:val="0"/>
                      <w:sz w:val="18"/>
                      <w:szCs w:val="18"/>
                      <w:highlight w:val="none"/>
                      <w:lang w:eastAsia="zh-CN"/>
                    </w:rPr>
                    <w:t>以外</w:t>
                  </w:r>
                  <w:r>
                    <w:rPr>
                      <w:rFonts w:ascii="Times New Roman" w:hAnsi="Times New Roman" w:eastAsia="宋体" w:cs="Times New Roman"/>
                      <w:b/>
                      <w:color w:val="auto"/>
                      <w:kern w:val="0"/>
                      <w:sz w:val="18"/>
                      <w:szCs w:val="18"/>
                      <w:highlight w:val="none"/>
                    </w:rPr>
                    <w:t>；年用非溶剂型低VOCa含量涂料10吨以下的除外）</w:t>
                  </w:r>
                </w:p>
              </w:tc>
              <w:tc>
                <w:tcPr>
                  <w:tcW w:w="989" w:type="dxa"/>
                  <w:tcBorders>
                    <w:tl2br w:val="nil"/>
                    <w:tr2bl w:val="nil"/>
                  </w:tcBorders>
                  <w:vAlign w:val="center"/>
                </w:tcPr>
                <w:p w14:paraId="2420D144">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r>
          </w:tbl>
          <w:p w14:paraId="45B62BB9">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kern w:val="0"/>
                <w:sz w:val="24"/>
                <w:szCs w:val="24"/>
                <w:highlight w:val="none"/>
              </w:rPr>
              <w:t>安徽福斯特智能科技有限公司</w:t>
            </w:r>
            <w:r>
              <w:rPr>
                <w:rFonts w:ascii="Times New Roman" w:hAnsi="Times New Roman" w:eastAsia="宋体" w:cs="Times New Roman"/>
                <w:color w:val="auto"/>
                <w:sz w:val="24"/>
                <w:highlight w:val="none"/>
              </w:rPr>
              <w:t>委托我公司为该项目进行环境影响评价。我公司在接受委托后，立即到现场踏勘，认真了解项目所在区域的周边环境情况，收集了有关资料，编写完成本项目的环境影响报告表，现呈报生态环境主管部门审批。</w:t>
            </w:r>
          </w:p>
          <w:p w14:paraId="2046BF8B">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2、建设规模及内容</w:t>
            </w:r>
          </w:p>
          <w:p w14:paraId="2FD7FA51">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sz w:val="24"/>
                <w:highlight w:val="none"/>
              </w:rPr>
              <w:t>项目名称：</w:t>
            </w:r>
            <w:r>
              <w:rPr>
                <w:rFonts w:ascii="Times New Roman" w:hAnsi="Times New Roman" w:eastAsia="宋体" w:cs="Times New Roman"/>
                <w:color w:val="auto"/>
                <w:kern w:val="0"/>
                <w:sz w:val="24"/>
                <w:szCs w:val="24"/>
                <w:highlight w:val="none"/>
              </w:rPr>
              <w:t>安徽福斯特智能科技有限公司智能装备产业园项目</w:t>
            </w:r>
          </w:p>
          <w:p w14:paraId="42AAEC9D">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bCs/>
                <w:color w:val="auto"/>
                <w:sz w:val="24"/>
                <w:highlight w:val="none"/>
              </w:rPr>
              <w:t>建设单位：</w:t>
            </w:r>
            <w:r>
              <w:rPr>
                <w:rFonts w:ascii="Times New Roman" w:hAnsi="Times New Roman" w:eastAsia="宋体" w:cs="Times New Roman"/>
                <w:color w:val="auto"/>
                <w:kern w:val="0"/>
                <w:sz w:val="24"/>
                <w:szCs w:val="24"/>
                <w:highlight w:val="none"/>
              </w:rPr>
              <w:t>安徽福斯特智能科技有限公司</w:t>
            </w:r>
          </w:p>
          <w:p w14:paraId="0AAE6CD8">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项目性质：新建</w:t>
            </w:r>
          </w:p>
          <w:p w14:paraId="754ACFB7">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投资总额：6000万元</w:t>
            </w:r>
          </w:p>
          <w:p w14:paraId="53EF765F">
            <w:pPr>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建设地点：淮南市八公山区毕家岗街道新建社区，项目区域地块中心地理坐标为经度：</w:t>
            </w:r>
            <w:r>
              <w:rPr>
                <w:rFonts w:ascii="Times New Roman" w:hAnsi="Times New Roman" w:eastAsia="宋体" w:cs="Times New Roman"/>
                <w:color w:val="auto"/>
                <w:sz w:val="24"/>
                <w:highlight w:val="none"/>
                <w:u w:val="single"/>
              </w:rPr>
              <w:t>116</w:t>
            </w:r>
            <w:r>
              <w:rPr>
                <w:rFonts w:ascii="Times New Roman" w:hAnsi="Times New Roman" w:eastAsia="宋体" w:cs="Times New Roman"/>
                <w:color w:val="auto"/>
                <w:sz w:val="24"/>
                <w:highlight w:val="none"/>
              </w:rPr>
              <w:t>度</w:t>
            </w:r>
            <w:r>
              <w:rPr>
                <w:rFonts w:ascii="Times New Roman" w:hAnsi="Times New Roman" w:eastAsia="宋体" w:cs="Times New Roman"/>
                <w:color w:val="auto"/>
                <w:sz w:val="24"/>
                <w:highlight w:val="none"/>
                <w:u w:val="single"/>
              </w:rPr>
              <w:t>50</w:t>
            </w:r>
            <w:r>
              <w:rPr>
                <w:rFonts w:ascii="Times New Roman" w:hAnsi="Times New Roman" w:eastAsia="宋体" w:cs="Times New Roman"/>
                <w:color w:val="auto"/>
                <w:sz w:val="24"/>
                <w:highlight w:val="none"/>
              </w:rPr>
              <w:t>分</w:t>
            </w:r>
            <w:r>
              <w:rPr>
                <w:rFonts w:ascii="Times New Roman" w:hAnsi="Times New Roman" w:eastAsia="宋体" w:cs="Times New Roman"/>
                <w:color w:val="auto"/>
                <w:sz w:val="24"/>
                <w:highlight w:val="none"/>
                <w:u w:val="single"/>
              </w:rPr>
              <w:t>15.348</w:t>
            </w:r>
            <w:r>
              <w:rPr>
                <w:rFonts w:ascii="Times New Roman" w:hAnsi="Times New Roman" w:eastAsia="宋体" w:cs="Times New Roman"/>
                <w:color w:val="auto"/>
                <w:sz w:val="24"/>
                <w:highlight w:val="none"/>
              </w:rPr>
              <w:t>秒，纬度：</w:t>
            </w:r>
            <w:r>
              <w:rPr>
                <w:rFonts w:ascii="Times New Roman" w:hAnsi="Times New Roman" w:eastAsia="宋体" w:cs="Times New Roman"/>
                <w:color w:val="auto"/>
                <w:sz w:val="24"/>
                <w:highlight w:val="none"/>
                <w:u w:val="single"/>
              </w:rPr>
              <w:t>32</w:t>
            </w:r>
            <w:r>
              <w:rPr>
                <w:rFonts w:ascii="Times New Roman" w:hAnsi="Times New Roman" w:eastAsia="宋体" w:cs="Times New Roman"/>
                <w:color w:val="auto"/>
                <w:sz w:val="24"/>
                <w:highlight w:val="none"/>
              </w:rPr>
              <w:t>度</w:t>
            </w:r>
            <w:r>
              <w:rPr>
                <w:rFonts w:ascii="Times New Roman" w:hAnsi="Times New Roman" w:eastAsia="宋体" w:cs="Times New Roman"/>
                <w:color w:val="auto"/>
                <w:sz w:val="24"/>
                <w:highlight w:val="none"/>
                <w:u w:val="single"/>
              </w:rPr>
              <w:t>39</w:t>
            </w:r>
            <w:r>
              <w:rPr>
                <w:rFonts w:ascii="Times New Roman" w:hAnsi="Times New Roman" w:eastAsia="宋体" w:cs="Times New Roman"/>
                <w:color w:val="auto"/>
                <w:sz w:val="24"/>
                <w:highlight w:val="none"/>
              </w:rPr>
              <w:t>分</w:t>
            </w:r>
            <w:r>
              <w:rPr>
                <w:rFonts w:ascii="Times New Roman" w:hAnsi="Times New Roman" w:eastAsia="宋体" w:cs="Times New Roman"/>
                <w:color w:val="auto"/>
                <w:sz w:val="24"/>
                <w:highlight w:val="none"/>
                <w:u w:val="single"/>
              </w:rPr>
              <w:t>14.232</w:t>
            </w:r>
            <w:r>
              <w:rPr>
                <w:rFonts w:ascii="Times New Roman" w:hAnsi="Times New Roman" w:eastAsia="宋体" w:cs="Times New Roman"/>
                <w:color w:val="auto"/>
                <w:sz w:val="24"/>
                <w:highlight w:val="none"/>
              </w:rPr>
              <w:t>秒</w:t>
            </w:r>
            <w:r>
              <w:rPr>
                <w:rFonts w:ascii="Times New Roman" w:hAnsi="Times New Roman" w:eastAsia="宋体" w:cs="Times New Roman"/>
                <w:bCs/>
                <w:color w:val="auto"/>
                <w:sz w:val="24"/>
                <w:highlight w:val="none"/>
              </w:rPr>
              <w:t>。</w:t>
            </w:r>
          </w:p>
          <w:p w14:paraId="7FA57F37">
            <w:pPr>
              <w:spacing w:line="360" w:lineRule="auto"/>
              <w:ind w:firstLine="480"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color w:val="auto"/>
                <w:sz w:val="24"/>
                <w:highlight w:val="none"/>
              </w:rPr>
              <w:t>本项目租赁</w:t>
            </w:r>
            <w:r>
              <w:rPr>
                <w:rFonts w:ascii="Times New Roman" w:hAnsi="Times New Roman" w:eastAsia="宋体" w:cs="Times New Roman"/>
                <w:color w:val="auto"/>
                <w:kern w:val="0"/>
                <w:sz w:val="24"/>
                <w:szCs w:val="24"/>
                <w:highlight w:val="none"/>
              </w:rPr>
              <w:t>淮南中兴实业有限责任公司位于</w:t>
            </w:r>
            <w:r>
              <w:rPr>
                <w:rFonts w:ascii="Times New Roman" w:hAnsi="Times New Roman" w:eastAsia="宋体" w:cs="Times New Roman"/>
                <w:color w:val="auto"/>
                <w:sz w:val="24"/>
                <w:highlight w:val="none"/>
              </w:rPr>
              <w:t>八公山区</w:t>
            </w:r>
            <w:r>
              <w:rPr>
                <w:rFonts w:ascii="Times New Roman" w:hAnsi="Times New Roman" w:eastAsia="宋体" w:cs="Times New Roman"/>
                <w:color w:val="auto"/>
                <w:kern w:val="0"/>
                <w:sz w:val="24"/>
                <w:szCs w:val="24"/>
                <w:highlight w:val="none"/>
              </w:rPr>
              <w:t>毕家岗街道新建社区</w:t>
            </w:r>
            <w:r>
              <w:rPr>
                <w:rFonts w:ascii="Times New Roman" w:hAnsi="Times New Roman" w:eastAsia="宋体" w:cs="Times New Roman"/>
                <w:color w:val="auto"/>
                <w:sz w:val="24"/>
                <w:highlight w:val="none"/>
              </w:rPr>
              <w:t>的现有厂房，建设</w:t>
            </w:r>
            <w:r>
              <w:rPr>
                <w:rFonts w:ascii="Times New Roman" w:hAnsi="Times New Roman" w:eastAsia="宋体" w:cs="Times New Roman"/>
                <w:color w:val="auto"/>
                <w:kern w:val="0"/>
                <w:sz w:val="24"/>
                <w:szCs w:val="24"/>
                <w:highlight w:val="none"/>
              </w:rPr>
              <w:t>安徽福斯特智能科技有限公司智能装备产业园项目</w:t>
            </w:r>
            <w:r>
              <w:rPr>
                <w:rFonts w:ascii="Times New Roman" w:hAnsi="Times New Roman" w:eastAsia="宋体" w:cs="Times New Roman"/>
                <w:color w:val="auto"/>
                <w:sz w:val="24"/>
                <w:highlight w:val="none"/>
              </w:rPr>
              <w:t>，项目主要工程内容详见下表。总平面布置图见附图3。</w:t>
            </w:r>
          </w:p>
          <w:p w14:paraId="6EF6CC93">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表2-2  本项目组成一览表</w:t>
            </w:r>
          </w:p>
          <w:tbl>
            <w:tblPr>
              <w:tblStyle w:val="18"/>
              <w:tblW w:w="832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0"/>
              <w:gridCol w:w="971"/>
              <w:gridCol w:w="1150"/>
              <w:gridCol w:w="2965"/>
              <w:gridCol w:w="1298"/>
              <w:gridCol w:w="1001"/>
            </w:tblGrid>
            <w:tr w14:paraId="7F4709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940" w:type="dxa"/>
                  <w:tcBorders>
                    <w:top w:val="single" w:color="auto" w:sz="8" w:space="0"/>
                  </w:tcBorders>
                  <w:vAlign w:val="center"/>
                </w:tcPr>
                <w:p w14:paraId="09A66537">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工程类别</w:t>
                  </w:r>
                </w:p>
              </w:tc>
              <w:tc>
                <w:tcPr>
                  <w:tcW w:w="971" w:type="dxa"/>
                  <w:tcBorders>
                    <w:top w:val="single" w:color="auto" w:sz="8" w:space="0"/>
                  </w:tcBorders>
                  <w:vAlign w:val="center"/>
                </w:tcPr>
                <w:p w14:paraId="09C074BF">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单项工程</w:t>
                  </w:r>
                </w:p>
                <w:p w14:paraId="6BFABBAB">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名称</w:t>
                  </w:r>
                </w:p>
              </w:tc>
              <w:tc>
                <w:tcPr>
                  <w:tcW w:w="4115" w:type="dxa"/>
                  <w:gridSpan w:val="2"/>
                  <w:tcBorders>
                    <w:top w:val="single" w:color="auto" w:sz="8" w:space="0"/>
                  </w:tcBorders>
                  <w:vAlign w:val="center"/>
                </w:tcPr>
                <w:p w14:paraId="67883E01">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工程内容</w:t>
                  </w:r>
                </w:p>
              </w:tc>
              <w:tc>
                <w:tcPr>
                  <w:tcW w:w="1298" w:type="dxa"/>
                  <w:tcBorders>
                    <w:top w:val="single" w:color="auto" w:sz="8" w:space="0"/>
                  </w:tcBorders>
                  <w:vAlign w:val="center"/>
                </w:tcPr>
                <w:p w14:paraId="416E066B">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工程规模</w:t>
                  </w:r>
                </w:p>
              </w:tc>
              <w:tc>
                <w:tcPr>
                  <w:tcW w:w="1001" w:type="dxa"/>
                  <w:tcBorders>
                    <w:top w:val="single" w:color="auto" w:sz="8" w:space="0"/>
                  </w:tcBorders>
                  <w:vAlign w:val="center"/>
                </w:tcPr>
                <w:p w14:paraId="2C198A05">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备注</w:t>
                  </w:r>
                </w:p>
              </w:tc>
            </w:tr>
            <w:tr w14:paraId="328EB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restart"/>
                  <w:vAlign w:val="center"/>
                </w:tcPr>
                <w:p w14:paraId="70A6B88B">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Cs/>
                      <w:color w:val="auto"/>
                      <w:sz w:val="18"/>
                      <w:szCs w:val="18"/>
                      <w:highlight w:val="none"/>
                    </w:rPr>
                    <w:t>主体工程</w:t>
                  </w:r>
                </w:p>
              </w:tc>
              <w:tc>
                <w:tcPr>
                  <w:tcW w:w="971" w:type="dxa"/>
                  <w:vMerge w:val="restart"/>
                  <w:vAlign w:val="center"/>
                </w:tcPr>
                <w:p w14:paraId="66820D62">
                  <w:pPr>
                    <w:snapToGrid w:val="0"/>
                    <w:spacing w:line="276" w:lineRule="auto"/>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Cs/>
                      <w:color w:val="auto"/>
                      <w:sz w:val="18"/>
                      <w:szCs w:val="18"/>
                      <w:highlight w:val="none"/>
                    </w:rPr>
                    <w:t>生产车间</w:t>
                  </w:r>
                </w:p>
              </w:tc>
              <w:tc>
                <w:tcPr>
                  <w:tcW w:w="1150" w:type="dxa"/>
                  <w:vAlign w:val="center"/>
                </w:tcPr>
                <w:p w14:paraId="1C5D5E4B">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机加工区</w:t>
                  </w:r>
                </w:p>
              </w:tc>
              <w:tc>
                <w:tcPr>
                  <w:tcW w:w="2965" w:type="dxa"/>
                  <w:vAlign w:val="center"/>
                </w:tcPr>
                <w:p w14:paraId="1CE155A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在厂房1层北部，购置切割机、折弯机、焊机等机加工设备</w:t>
                  </w:r>
                </w:p>
              </w:tc>
              <w:tc>
                <w:tcPr>
                  <w:tcW w:w="1298" w:type="dxa"/>
                  <w:vMerge w:val="restart"/>
                  <w:vAlign w:val="center"/>
                </w:tcPr>
                <w:p w14:paraId="5EC8D133">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厂房高8m，</w:t>
                  </w:r>
                  <w:r>
                    <w:rPr>
                      <w:rFonts w:ascii="Times New Roman" w:hAnsi="Times New Roman" w:eastAsia="宋体" w:cs="Times New Roman"/>
                      <w:bCs/>
                      <w:color w:val="auto"/>
                      <w:sz w:val="18"/>
                      <w:szCs w:val="18"/>
                      <w:highlight w:val="none"/>
                    </w:rPr>
                    <w:t>占地面积8390㎡</w:t>
                  </w:r>
                  <w:r>
                    <w:rPr>
                      <w:rFonts w:hint="eastAsia" w:ascii="Times New Roman" w:hAnsi="Times New Roman" w:eastAsia="宋体" w:cs="Times New Roman"/>
                      <w:bCs/>
                      <w:color w:val="auto"/>
                      <w:sz w:val="18"/>
                      <w:szCs w:val="18"/>
                      <w:highlight w:val="none"/>
                    </w:rPr>
                    <w:t>，项目建成后形成年加工10000台自动售货机及智能垃圾分类箱的生产规模</w:t>
                  </w:r>
                </w:p>
              </w:tc>
              <w:tc>
                <w:tcPr>
                  <w:tcW w:w="1001" w:type="dxa"/>
                  <w:vMerge w:val="restart"/>
                  <w:vAlign w:val="center"/>
                </w:tcPr>
                <w:p w14:paraId="72B77C32">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依托现有厂房</w:t>
                  </w:r>
                </w:p>
              </w:tc>
            </w:tr>
            <w:tr w14:paraId="1E2086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77E01C8B">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6EB8956B">
                  <w:pPr>
                    <w:snapToGrid w:val="0"/>
                    <w:spacing w:line="276" w:lineRule="auto"/>
                    <w:jc w:val="center"/>
                    <w:rPr>
                      <w:rFonts w:ascii="Times New Roman" w:hAnsi="Times New Roman" w:eastAsia="宋体" w:cs="Times New Roman"/>
                      <w:bCs/>
                      <w:color w:val="auto"/>
                      <w:sz w:val="18"/>
                      <w:szCs w:val="18"/>
                      <w:highlight w:val="none"/>
                    </w:rPr>
                  </w:pPr>
                </w:p>
              </w:tc>
              <w:tc>
                <w:tcPr>
                  <w:tcW w:w="1150" w:type="dxa"/>
                  <w:vAlign w:val="center"/>
                </w:tcPr>
                <w:p w14:paraId="4B74A269">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打磨区</w:t>
                  </w:r>
                </w:p>
              </w:tc>
              <w:tc>
                <w:tcPr>
                  <w:tcW w:w="2965" w:type="dxa"/>
                  <w:vAlign w:val="center"/>
                </w:tcPr>
                <w:p w14:paraId="4C2645DC">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在厂房1层</w:t>
                  </w:r>
                  <w:r>
                    <w:rPr>
                      <w:rFonts w:hint="eastAsia" w:ascii="Times New Roman" w:hAnsi="Times New Roman" w:eastAsia="宋体" w:cs="Times New Roman"/>
                      <w:bCs/>
                      <w:color w:val="auto"/>
                      <w:sz w:val="18"/>
                      <w:szCs w:val="18"/>
                      <w:highlight w:val="none"/>
                    </w:rPr>
                    <w:t>中</w:t>
                  </w:r>
                  <w:r>
                    <w:rPr>
                      <w:rFonts w:ascii="Times New Roman" w:hAnsi="Times New Roman" w:eastAsia="宋体" w:cs="Times New Roman"/>
                      <w:bCs/>
                      <w:color w:val="auto"/>
                      <w:sz w:val="18"/>
                      <w:szCs w:val="18"/>
                      <w:highlight w:val="none"/>
                    </w:rPr>
                    <w:t>部，</w:t>
                  </w:r>
                  <w:r>
                    <w:rPr>
                      <w:rFonts w:hint="eastAsia" w:ascii="Times New Roman" w:hAnsi="Times New Roman" w:eastAsia="宋体" w:cs="Times New Roman"/>
                      <w:bCs/>
                      <w:color w:val="auto"/>
                      <w:sz w:val="18"/>
                      <w:szCs w:val="18"/>
                      <w:highlight w:val="none"/>
                    </w:rPr>
                    <w:t>设置打磨区用于人工打磨</w:t>
                  </w:r>
                </w:p>
              </w:tc>
              <w:tc>
                <w:tcPr>
                  <w:tcW w:w="1298" w:type="dxa"/>
                  <w:vMerge w:val="continue"/>
                  <w:vAlign w:val="center"/>
                </w:tcPr>
                <w:p w14:paraId="1C504C51">
                  <w:pPr>
                    <w:snapToGrid w:val="0"/>
                    <w:spacing w:line="276" w:lineRule="auto"/>
                    <w:jc w:val="center"/>
                    <w:rPr>
                      <w:rFonts w:ascii="Times New Roman" w:hAnsi="Times New Roman" w:eastAsia="宋体" w:cs="Times New Roman"/>
                      <w:bCs/>
                      <w:color w:val="auto"/>
                      <w:sz w:val="18"/>
                      <w:szCs w:val="18"/>
                      <w:highlight w:val="none"/>
                    </w:rPr>
                  </w:pPr>
                </w:p>
              </w:tc>
              <w:tc>
                <w:tcPr>
                  <w:tcW w:w="1001" w:type="dxa"/>
                  <w:vMerge w:val="continue"/>
                  <w:vAlign w:val="center"/>
                </w:tcPr>
                <w:p w14:paraId="70CDDDB9">
                  <w:pPr>
                    <w:snapToGrid w:val="0"/>
                    <w:spacing w:line="276" w:lineRule="auto"/>
                    <w:jc w:val="center"/>
                    <w:rPr>
                      <w:rFonts w:ascii="Times New Roman" w:hAnsi="Times New Roman" w:eastAsia="宋体" w:cs="Times New Roman"/>
                      <w:bCs/>
                      <w:color w:val="auto"/>
                      <w:sz w:val="18"/>
                      <w:szCs w:val="18"/>
                      <w:highlight w:val="none"/>
                    </w:rPr>
                  </w:pPr>
                </w:p>
              </w:tc>
            </w:tr>
            <w:tr w14:paraId="3D75B4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1689C2FA">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10041394">
                  <w:pPr>
                    <w:snapToGrid w:val="0"/>
                    <w:spacing w:line="276" w:lineRule="auto"/>
                    <w:jc w:val="center"/>
                    <w:rPr>
                      <w:rFonts w:ascii="Times New Roman" w:hAnsi="Times New Roman" w:eastAsia="宋体" w:cs="Times New Roman"/>
                      <w:bCs/>
                      <w:color w:val="auto"/>
                      <w:sz w:val="18"/>
                      <w:szCs w:val="18"/>
                      <w:highlight w:val="none"/>
                    </w:rPr>
                  </w:pPr>
                </w:p>
              </w:tc>
              <w:tc>
                <w:tcPr>
                  <w:tcW w:w="1150" w:type="dxa"/>
                  <w:vAlign w:val="center"/>
                </w:tcPr>
                <w:p w14:paraId="1466FF55">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组装区</w:t>
                  </w:r>
                </w:p>
              </w:tc>
              <w:tc>
                <w:tcPr>
                  <w:tcW w:w="2965" w:type="dxa"/>
                  <w:vAlign w:val="center"/>
                </w:tcPr>
                <w:p w14:paraId="28524086">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在厂房1层</w:t>
                  </w:r>
                  <w:r>
                    <w:rPr>
                      <w:rFonts w:hint="eastAsia" w:ascii="Times New Roman" w:hAnsi="Times New Roman" w:eastAsia="宋体" w:cs="Times New Roman"/>
                      <w:bCs/>
                      <w:color w:val="auto"/>
                      <w:sz w:val="18"/>
                      <w:szCs w:val="18"/>
                      <w:highlight w:val="none"/>
                    </w:rPr>
                    <w:t>中</w:t>
                  </w:r>
                  <w:r>
                    <w:rPr>
                      <w:rFonts w:ascii="Times New Roman" w:hAnsi="Times New Roman" w:eastAsia="宋体" w:cs="Times New Roman"/>
                      <w:bCs/>
                      <w:color w:val="auto"/>
                      <w:sz w:val="18"/>
                      <w:szCs w:val="18"/>
                      <w:highlight w:val="none"/>
                    </w:rPr>
                    <w:t>部，</w:t>
                  </w:r>
                  <w:r>
                    <w:rPr>
                      <w:rFonts w:hint="eastAsia" w:ascii="Times New Roman" w:hAnsi="Times New Roman" w:eastAsia="宋体" w:cs="Times New Roman"/>
                      <w:bCs/>
                      <w:color w:val="auto"/>
                      <w:sz w:val="18"/>
                      <w:szCs w:val="18"/>
                      <w:highlight w:val="none"/>
                    </w:rPr>
                    <w:t>设置组装区用于设备组装</w:t>
                  </w:r>
                </w:p>
              </w:tc>
              <w:tc>
                <w:tcPr>
                  <w:tcW w:w="1298" w:type="dxa"/>
                  <w:vMerge w:val="continue"/>
                  <w:vAlign w:val="center"/>
                </w:tcPr>
                <w:p w14:paraId="5A277C39">
                  <w:pPr>
                    <w:snapToGrid w:val="0"/>
                    <w:spacing w:line="276" w:lineRule="auto"/>
                    <w:jc w:val="center"/>
                    <w:rPr>
                      <w:rFonts w:ascii="Times New Roman" w:hAnsi="Times New Roman" w:eastAsia="宋体" w:cs="Times New Roman"/>
                      <w:bCs/>
                      <w:color w:val="auto"/>
                      <w:sz w:val="18"/>
                      <w:szCs w:val="18"/>
                      <w:highlight w:val="none"/>
                    </w:rPr>
                  </w:pPr>
                </w:p>
              </w:tc>
              <w:tc>
                <w:tcPr>
                  <w:tcW w:w="1001" w:type="dxa"/>
                  <w:vMerge w:val="continue"/>
                  <w:vAlign w:val="center"/>
                </w:tcPr>
                <w:p w14:paraId="0951BB60">
                  <w:pPr>
                    <w:snapToGrid w:val="0"/>
                    <w:spacing w:line="276" w:lineRule="auto"/>
                    <w:jc w:val="center"/>
                    <w:rPr>
                      <w:rFonts w:ascii="Times New Roman" w:hAnsi="Times New Roman" w:eastAsia="宋体" w:cs="Times New Roman"/>
                      <w:bCs/>
                      <w:color w:val="auto"/>
                      <w:sz w:val="18"/>
                      <w:szCs w:val="18"/>
                      <w:highlight w:val="none"/>
                    </w:rPr>
                  </w:pPr>
                </w:p>
              </w:tc>
            </w:tr>
            <w:tr w14:paraId="001F2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656314F9">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3885588A">
                  <w:pPr>
                    <w:snapToGrid w:val="0"/>
                    <w:spacing w:line="276" w:lineRule="auto"/>
                    <w:jc w:val="center"/>
                    <w:rPr>
                      <w:rFonts w:ascii="Times New Roman" w:hAnsi="Times New Roman" w:eastAsia="宋体" w:cs="Times New Roman"/>
                      <w:bCs/>
                      <w:color w:val="auto"/>
                      <w:sz w:val="18"/>
                      <w:szCs w:val="18"/>
                      <w:highlight w:val="none"/>
                    </w:rPr>
                  </w:pPr>
                </w:p>
              </w:tc>
              <w:tc>
                <w:tcPr>
                  <w:tcW w:w="1150" w:type="dxa"/>
                  <w:vAlign w:val="center"/>
                </w:tcPr>
                <w:p w14:paraId="682795A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喷塑</w:t>
                  </w:r>
                  <w:r>
                    <w:rPr>
                      <w:rFonts w:hint="eastAsia" w:ascii="Times New Roman" w:hAnsi="Times New Roman" w:eastAsia="宋体" w:cs="Times New Roman"/>
                      <w:bCs/>
                      <w:color w:val="auto"/>
                      <w:sz w:val="18"/>
                      <w:szCs w:val="18"/>
                      <w:highlight w:val="none"/>
                    </w:rPr>
                    <w:t>固化</w:t>
                  </w:r>
                  <w:r>
                    <w:rPr>
                      <w:rFonts w:ascii="Times New Roman" w:hAnsi="Times New Roman" w:eastAsia="宋体" w:cs="Times New Roman"/>
                      <w:bCs/>
                      <w:color w:val="auto"/>
                      <w:sz w:val="18"/>
                      <w:szCs w:val="18"/>
                      <w:highlight w:val="none"/>
                    </w:rPr>
                    <w:t>区</w:t>
                  </w:r>
                </w:p>
              </w:tc>
              <w:tc>
                <w:tcPr>
                  <w:tcW w:w="2965" w:type="dxa"/>
                  <w:vAlign w:val="center"/>
                </w:tcPr>
                <w:p w14:paraId="3345CFE9">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在厂房1层</w:t>
                  </w:r>
                  <w:r>
                    <w:rPr>
                      <w:rFonts w:hint="eastAsia" w:ascii="Times New Roman" w:hAnsi="Times New Roman" w:eastAsia="宋体" w:cs="Times New Roman"/>
                      <w:bCs/>
                      <w:color w:val="auto"/>
                      <w:sz w:val="18"/>
                      <w:szCs w:val="18"/>
                      <w:highlight w:val="none"/>
                    </w:rPr>
                    <w:t>东</w:t>
                  </w:r>
                  <w:r>
                    <w:rPr>
                      <w:rFonts w:ascii="Times New Roman" w:hAnsi="Times New Roman" w:eastAsia="宋体" w:cs="Times New Roman"/>
                      <w:bCs/>
                      <w:color w:val="auto"/>
                      <w:sz w:val="18"/>
                      <w:szCs w:val="18"/>
                      <w:highlight w:val="none"/>
                    </w:rPr>
                    <w:t>南部，购置</w:t>
                  </w:r>
                  <w:r>
                    <w:rPr>
                      <w:rFonts w:hint="eastAsia" w:ascii="Times New Roman" w:hAnsi="Times New Roman" w:eastAsia="宋体" w:cs="Times New Roman"/>
                      <w:bCs/>
                      <w:color w:val="auto"/>
                      <w:sz w:val="18"/>
                      <w:szCs w:val="18"/>
                      <w:highlight w:val="none"/>
                    </w:rPr>
                    <w:t>喷塑固化</w:t>
                  </w:r>
                  <w:r>
                    <w:rPr>
                      <w:rFonts w:ascii="Times New Roman" w:hAnsi="Times New Roman" w:eastAsia="宋体" w:cs="Times New Roman"/>
                      <w:bCs/>
                      <w:color w:val="auto"/>
                      <w:sz w:val="18"/>
                      <w:szCs w:val="18"/>
                      <w:highlight w:val="none"/>
                    </w:rPr>
                    <w:t>设备</w:t>
                  </w:r>
                </w:p>
              </w:tc>
              <w:tc>
                <w:tcPr>
                  <w:tcW w:w="1298" w:type="dxa"/>
                  <w:vMerge w:val="continue"/>
                  <w:vAlign w:val="center"/>
                </w:tcPr>
                <w:p w14:paraId="0A4AADD0">
                  <w:pPr>
                    <w:snapToGrid w:val="0"/>
                    <w:spacing w:line="276" w:lineRule="auto"/>
                    <w:jc w:val="center"/>
                    <w:rPr>
                      <w:rFonts w:ascii="Times New Roman" w:hAnsi="Times New Roman" w:eastAsia="宋体" w:cs="Times New Roman"/>
                      <w:bCs/>
                      <w:color w:val="auto"/>
                      <w:sz w:val="18"/>
                      <w:szCs w:val="18"/>
                      <w:highlight w:val="none"/>
                    </w:rPr>
                  </w:pPr>
                </w:p>
              </w:tc>
              <w:tc>
                <w:tcPr>
                  <w:tcW w:w="1001" w:type="dxa"/>
                  <w:vMerge w:val="continue"/>
                  <w:vAlign w:val="center"/>
                </w:tcPr>
                <w:p w14:paraId="28E01CCB">
                  <w:pPr>
                    <w:snapToGrid w:val="0"/>
                    <w:spacing w:line="276" w:lineRule="auto"/>
                    <w:jc w:val="center"/>
                    <w:rPr>
                      <w:rFonts w:ascii="Times New Roman" w:hAnsi="Times New Roman" w:eastAsia="宋体" w:cs="Times New Roman"/>
                      <w:bCs/>
                      <w:color w:val="auto"/>
                      <w:sz w:val="18"/>
                      <w:szCs w:val="18"/>
                      <w:highlight w:val="none"/>
                    </w:rPr>
                  </w:pPr>
                </w:p>
              </w:tc>
            </w:tr>
            <w:tr w14:paraId="0F2D5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Align w:val="center"/>
                </w:tcPr>
                <w:p w14:paraId="06168167">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辅助工程</w:t>
                  </w:r>
                </w:p>
              </w:tc>
              <w:tc>
                <w:tcPr>
                  <w:tcW w:w="971" w:type="dxa"/>
                  <w:vAlign w:val="center"/>
                </w:tcPr>
                <w:p w14:paraId="1826BE50">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办公楼</w:t>
                  </w:r>
                </w:p>
              </w:tc>
              <w:tc>
                <w:tcPr>
                  <w:tcW w:w="4115" w:type="dxa"/>
                  <w:gridSpan w:val="2"/>
                  <w:vAlign w:val="center"/>
                </w:tcPr>
                <w:p w14:paraId="09C7487B">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设位于厂房2层</w:t>
                  </w:r>
                  <w:r>
                    <w:rPr>
                      <w:rFonts w:hint="eastAsia" w:ascii="Times New Roman" w:hAnsi="Times New Roman" w:eastAsia="宋体" w:cs="Times New Roman"/>
                      <w:bCs/>
                      <w:color w:val="auto"/>
                      <w:sz w:val="18"/>
                      <w:szCs w:val="18"/>
                      <w:highlight w:val="none"/>
                    </w:rPr>
                    <w:t>南</w:t>
                  </w:r>
                  <w:r>
                    <w:rPr>
                      <w:rFonts w:ascii="Times New Roman" w:hAnsi="Times New Roman" w:eastAsia="宋体" w:cs="Times New Roman"/>
                      <w:bCs/>
                      <w:color w:val="auto"/>
                      <w:sz w:val="18"/>
                      <w:szCs w:val="18"/>
                      <w:highlight w:val="none"/>
                    </w:rPr>
                    <w:t>部，用于办公</w:t>
                  </w:r>
                </w:p>
              </w:tc>
              <w:tc>
                <w:tcPr>
                  <w:tcW w:w="1298" w:type="dxa"/>
                  <w:vAlign w:val="center"/>
                </w:tcPr>
                <w:p w14:paraId="1F93BB91">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占地面积</w:t>
                  </w:r>
                  <w:r>
                    <w:rPr>
                      <w:rFonts w:hint="eastAsia" w:ascii="Times New Roman" w:hAnsi="Times New Roman" w:eastAsia="宋体" w:cs="Times New Roman"/>
                      <w:bCs/>
                      <w:color w:val="auto"/>
                      <w:sz w:val="18"/>
                      <w:szCs w:val="18"/>
                      <w:highlight w:val="none"/>
                    </w:rPr>
                    <w:t>400</w:t>
                  </w:r>
                  <w:r>
                    <w:rPr>
                      <w:rFonts w:ascii="Times New Roman" w:hAnsi="Times New Roman" w:eastAsia="宋体" w:cs="Times New Roman"/>
                      <w:bCs/>
                      <w:color w:val="auto"/>
                      <w:sz w:val="18"/>
                      <w:szCs w:val="18"/>
                      <w:highlight w:val="none"/>
                    </w:rPr>
                    <w:t>m</w:t>
                  </w:r>
                  <w:r>
                    <w:rPr>
                      <w:rFonts w:ascii="Times New Roman" w:hAnsi="Times New Roman" w:eastAsia="宋体" w:cs="Times New Roman"/>
                      <w:bCs/>
                      <w:color w:val="auto"/>
                      <w:sz w:val="18"/>
                      <w:szCs w:val="18"/>
                      <w:highlight w:val="none"/>
                      <w:vertAlign w:val="superscript"/>
                    </w:rPr>
                    <w:t>2</w:t>
                  </w:r>
                </w:p>
              </w:tc>
              <w:tc>
                <w:tcPr>
                  <w:tcW w:w="1001" w:type="dxa"/>
                  <w:vAlign w:val="center"/>
                </w:tcPr>
                <w:p w14:paraId="672FA20E">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依托现有厂房</w:t>
                  </w:r>
                </w:p>
              </w:tc>
            </w:tr>
            <w:tr w14:paraId="20ECA6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restart"/>
                  <w:vAlign w:val="center"/>
                </w:tcPr>
                <w:p w14:paraId="3B9F2B85">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储运工程</w:t>
                  </w:r>
                </w:p>
              </w:tc>
              <w:tc>
                <w:tcPr>
                  <w:tcW w:w="971" w:type="dxa"/>
                  <w:vAlign w:val="center"/>
                </w:tcPr>
                <w:p w14:paraId="275FA862">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成品区</w:t>
                  </w:r>
                </w:p>
              </w:tc>
              <w:tc>
                <w:tcPr>
                  <w:tcW w:w="4115" w:type="dxa"/>
                  <w:gridSpan w:val="2"/>
                  <w:vAlign w:val="center"/>
                </w:tcPr>
                <w:p w14:paraId="4A5C13B7">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设置</w:t>
                  </w:r>
                  <w:r>
                    <w:rPr>
                      <w:rFonts w:ascii="Times New Roman" w:hAnsi="Times New Roman" w:eastAsia="宋体" w:cs="Times New Roman"/>
                      <w:bCs/>
                      <w:color w:val="auto"/>
                      <w:sz w:val="18"/>
                      <w:szCs w:val="18"/>
                      <w:highlight w:val="none"/>
                    </w:rPr>
                    <w:t>在厂房1层西部，主要用于自动售货机及智能垃圾分类箱成品的存放</w:t>
                  </w:r>
                </w:p>
              </w:tc>
              <w:tc>
                <w:tcPr>
                  <w:tcW w:w="1298" w:type="dxa"/>
                  <w:vAlign w:val="center"/>
                </w:tcPr>
                <w:p w14:paraId="6F10F452">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占地面积400m</w:t>
                  </w:r>
                  <w:r>
                    <w:rPr>
                      <w:rFonts w:ascii="Times New Roman" w:hAnsi="Times New Roman" w:eastAsia="宋体" w:cs="Times New Roman"/>
                      <w:bCs/>
                      <w:color w:val="auto"/>
                      <w:sz w:val="18"/>
                      <w:szCs w:val="18"/>
                      <w:highlight w:val="none"/>
                      <w:vertAlign w:val="superscript"/>
                    </w:rPr>
                    <w:t>2</w:t>
                  </w:r>
                </w:p>
              </w:tc>
              <w:tc>
                <w:tcPr>
                  <w:tcW w:w="1001" w:type="dxa"/>
                  <w:vAlign w:val="center"/>
                </w:tcPr>
                <w:p w14:paraId="50CC39D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依托现有厂房</w:t>
                  </w:r>
                </w:p>
              </w:tc>
            </w:tr>
            <w:tr w14:paraId="21CA53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7C5885FA">
                  <w:pPr>
                    <w:snapToGrid w:val="0"/>
                    <w:spacing w:line="276" w:lineRule="auto"/>
                    <w:jc w:val="center"/>
                    <w:rPr>
                      <w:rFonts w:ascii="Times New Roman" w:hAnsi="Times New Roman" w:eastAsia="宋体" w:cs="Times New Roman"/>
                      <w:bCs/>
                      <w:color w:val="auto"/>
                      <w:sz w:val="18"/>
                      <w:szCs w:val="18"/>
                      <w:highlight w:val="none"/>
                    </w:rPr>
                  </w:pPr>
                </w:p>
              </w:tc>
              <w:tc>
                <w:tcPr>
                  <w:tcW w:w="971" w:type="dxa"/>
                  <w:vAlign w:val="center"/>
                </w:tcPr>
                <w:p w14:paraId="4B402669">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原料区</w:t>
                  </w:r>
                </w:p>
              </w:tc>
              <w:tc>
                <w:tcPr>
                  <w:tcW w:w="4115" w:type="dxa"/>
                  <w:gridSpan w:val="2"/>
                  <w:vAlign w:val="center"/>
                </w:tcPr>
                <w:p w14:paraId="740EEC0F">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设置</w:t>
                  </w:r>
                  <w:r>
                    <w:rPr>
                      <w:rFonts w:ascii="Times New Roman" w:hAnsi="Times New Roman" w:eastAsia="宋体" w:cs="Times New Roman"/>
                      <w:bCs/>
                      <w:color w:val="auto"/>
                      <w:sz w:val="18"/>
                      <w:szCs w:val="18"/>
                      <w:highlight w:val="none"/>
                    </w:rPr>
                    <w:t>在厂房1层中部，主要用于钢板、塑粉等原料的存放</w:t>
                  </w:r>
                </w:p>
              </w:tc>
              <w:tc>
                <w:tcPr>
                  <w:tcW w:w="1298" w:type="dxa"/>
                  <w:vAlign w:val="center"/>
                </w:tcPr>
                <w:p w14:paraId="42447170">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占地面积</w:t>
                  </w:r>
                  <w:r>
                    <w:rPr>
                      <w:rFonts w:hint="eastAsia" w:ascii="Times New Roman" w:hAnsi="Times New Roman" w:eastAsia="宋体" w:cs="Times New Roman"/>
                      <w:bCs/>
                      <w:color w:val="auto"/>
                      <w:sz w:val="18"/>
                      <w:szCs w:val="18"/>
                      <w:highlight w:val="none"/>
                    </w:rPr>
                    <w:t>6</w:t>
                  </w:r>
                  <w:r>
                    <w:rPr>
                      <w:rFonts w:ascii="Times New Roman" w:hAnsi="Times New Roman" w:eastAsia="宋体" w:cs="Times New Roman"/>
                      <w:bCs/>
                      <w:color w:val="auto"/>
                      <w:sz w:val="18"/>
                      <w:szCs w:val="18"/>
                      <w:highlight w:val="none"/>
                    </w:rPr>
                    <w:t>00m</w:t>
                  </w:r>
                  <w:r>
                    <w:rPr>
                      <w:rFonts w:ascii="Times New Roman" w:hAnsi="Times New Roman" w:eastAsia="宋体" w:cs="Times New Roman"/>
                      <w:bCs/>
                      <w:color w:val="auto"/>
                      <w:sz w:val="18"/>
                      <w:szCs w:val="18"/>
                      <w:highlight w:val="none"/>
                      <w:vertAlign w:val="superscript"/>
                    </w:rPr>
                    <w:t>2</w:t>
                  </w:r>
                </w:p>
              </w:tc>
              <w:tc>
                <w:tcPr>
                  <w:tcW w:w="1001" w:type="dxa"/>
                  <w:vAlign w:val="center"/>
                </w:tcPr>
                <w:p w14:paraId="1F7B7560">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依托现有厂房</w:t>
                  </w:r>
                </w:p>
              </w:tc>
            </w:tr>
            <w:tr w14:paraId="612542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69373464">
                  <w:pPr>
                    <w:snapToGrid w:val="0"/>
                    <w:spacing w:line="276" w:lineRule="auto"/>
                    <w:jc w:val="center"/>
                    <w:rPr>
                      <w:rFonts w:ascii="Times New Roman" w:hAnsi="Times New Roman" w:eastAsia="宋体" w:cs="Times New Roman"/>
                      <w:bCs/>
                      <w:color w:val="auto"/>
                      <w:sz w:val="18"/>
                      <w:szCs w:val="18"/>
                      <w:highlight w:val="none"/>
                    </w:rPr>
                  </w:pPr>
                </w:p>
              </w:tc>
              <w:tc>
                <w:tcPr>
                  <w:tcW w:w="971" w:type="dxa"/>
                  <w:vAlign w:val="center"/>
                </w:tcPr>
                <w:p w14:paraId="27A0C6C4">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仓库</w:t>
                  </w:r>
                </w:p>
              </w:tc>
              <w:tc>
                <w:tcPr>
                  <w:tcW w:w="4115" w:type="dxa"/>
                  <w:gridSpan w:val="2"/>
                  <w:vAlign w:val="center"/>
                </w:tcPr>
                <w:p w14:paraId="551C271C">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设置</w:t>
                  </w:r>
                  <w:r>
                    <w:rPr>
                      <w:rFonts w:ascii="Times New Roman" w:hAnsi="Times New Roman" w:eastAsia="宋体" w:cs="Times New Roman"/>
                      <w:bCs/>
                      <w:color w:val="auto"/>
                      <w:sz w:val="18"/>
                      <w:szCs w:val="18"/>
                      <w:highlight w:val="none"/>
                    </w:rPr>
                    <w:t>在厂房</w:t>
                  </w:r>
                  <w:r>
                    <w:rPr>
                      <w:rFonts w:hint="eastAsia" w:ascii="Times New Roman" w:hAnsi="Times New Roman" w:eastAsia="宋体" w:cs="Times New Roman"/>
                      <w:bCs/>
                      <w:color w:val="auto"/>
                      <w:sz w:val="18"/>
                      <w:szCs w:val="18"/>
                      <w:highlight w:val="none"/>
                    </w:rPr>
                    <w:t>2</w:t>
                  </w:r>
                  <w:r>
                    <w:rPr>
                      <w:rFonts w:ascii="Times New Roman" w:hAnsi="Times New Roman" w:eastAsia="宋体" w:cs="Times New Roman"/>
                      <w:bCs/>
                      <w:color w:val="auto"/>
                      <w:sz w:val="18"/>
                      <w:szCs w:val="18"/>
                      <w:highlight w:val="none"/>
                    </w:rPr>
                    <w:t>层</w:t>
                  </w:r>
                  <w:r>
                    <w:rPr>
                      <w:rFonts w:hint="eastAsia" w:ascii="Times New Roman" w:hAnsi="Times New Roman" w:eastAsia="宋体" w:cs="Times New Roman"/>
                      <w:bCs/>
                      <w:color w:val="auto"/>
                      <w:sz w:val="18"/>
                      <w:szCs w:val="18"/>
                      <w:highlight w:val="none"/>
                    </w:rPr>
                    <w:t>北</w:t>
                  </w:r>
                  <w:r>
                    <w:rPr>
                      <w:rFonts w:ascii="Times New Roman" w:hAnsi="Times New Roman" w:eastAsia="宋体" w:cs="Times New Roman"/>
                      <w:bCs/>
                      <w:color w:val="auto"/>
                      <w:sz w:val="18"/>
                      <w:szCs w:val="18"/>
                      <w:highlight w:val="none"/>
                    </w:rPr>
                    <w:t>部，主要用于</w:t>
                  </w:r>
                  <w:r>
                    <w:rPr>
                      <w:rFonts w:hint="eastAsia" w:ascii="Times New Roman" w:hAnsi="Times New Roman" w:eastAsia="宋体" w:cs="Times New Roman"/>
                      <w:bCs/>
                      <w:color w:val="auto"/>
                      <w:sz w:val="18"/>
                      <w:szCs w:val="18"/>
                      <w:highlight w:val="none"/>
                    </w:rPr>
                    <w:t>包装材料</w:t>
                  </w:r>
                  <w:r>
                    <w:rPr>
                      <w:rFonts w:ascii="Times New Roman" w:hAnsi="Times New Roman" w:eastAsia="宋体" w:cs="Times New Roman"/>
                      <w:bCs/>
                      <w:color w:val="auto"/>
                      <w:sz w:val="18"/>
                      <w:szCs w:val="18"/>
                      <w:highlight w:val="none"/>
                    </w:rPr>
                    <w:t>的存放</w:t>
                  </w:r>
                </w:p>
              </w:tc>
              <w:tc>
                <w:tcPr>
                  <w:tcW w:w="1298" w:type="dxa"/>
                  <w:vAlign w:val="center"/>
                </w:tcPr>
                <w:p w14:paraId="191A91A1">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占地面积</w:t>
                  </w:r>
                  <w:r>
                    <w:rPr>
                      <w:rFonts w:hint="eastAsia" w:ascii="Times New Roman" w:hAnsi="Times New Roman" w:eastAsia="宋体" w:cs="Times New Roman"/>
                      <w:bCs/>
                      <w:color w:val="auto"/>
                      <w:sz w:val="18"/>
                      <w:szCs w:val="18"/>
                      <w:highlight w:val="none"/>
                    </w:rPr>
                    <w:t>4</w:t>
                  </w:r>
                  <w:r>
                    <w:rPr>
                      <w:rFonts w:ascii="Times New Roman" w:hAnsi="Times New Roman" w:eastAsia="宋体" w:cs="Times New Roman"/>
                      <w:bCs/>
                      <w:color w:val="auto"/>
                      <w:sz w:val="18"/>
                      <w:szCs w:val="18"/>
                      <w:highlight w:val="none"/>
                    </w:rPr>
                    <w:t>00m</w:t>
                  </w:r>
                  <w:r>
                    <w:rPr>
                      <w:rFonts w:ascii="Times New Roman" w:hAnsi="Times New Roman" w:eastAsia="宋体" w:cs="Times New Roman"/>
                      <w:bCs/>
                      <w:color w:val="auto"/>
                      <w:sz w:val="18"/>
                      <w:szCs w:val="18"/>
                      <w:highlight w:val="none"/>
                      <w:vertAlign w:val="superscript"/>
                    </w:rPr>
                    <w:t>2</w:t>
                  </w:r>
                </w:p>
              </w:tc>
              <w:tc>
                <w:tcPr>
                  <w:tcW w:w="1001" w:type="dxa"/>
                  <w:vAlign w:val="center"/>
                </w:tcPr>
                <w:p w14:paraId="268F0CF1">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依托现有厂房</w:t>
                  </w:r>
                </w:p>
              </w:tc>
            </w:tr>
            <w:tr w14:paraId="1377EA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restart"/>
                  <w:vAlign w:val="center"/>
                </w:tcPr>
                <w:p w14:paraId="4418DC4F">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公用工程</w:t>
                  </w:r>
                </w:p>
              </w:tc>
              <w:tc>
                <w:tcPr>
                  <w:tcW w:w="971" w:type="dxa"/>
                  <w:vAlign w:val="center"/>
                </w:tcPr>
                <w:p w14:paraId="512F1C07">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供电</w:t>
                  </w:r>
                </w:p>
              </w:tc>
              <w:tc>
                <w:tcPr>
                  <w:tcW w:w="4115" w:type="dxa"/>
                  <w:gridSpan w:val="2"/>
                  <w:vAlign w:val="center"/>
                </w:tcPr>
                <w:p w14:paraId="367DD223">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sz w:val="18"/>
                      <w:szCs w:val="18"/>
                      <w:highlight w:val="none"/>
                    </w:rPr>
                    <w:t>市政电网供电</w:t>
                  </w:r>
                </w:p>
              </w:tc>
              <w:tc>
                <w:tcPr>
                  <w:tcW w:w="1298" w:type="dxa"/>
                  <w:vAlign w:val="center"/>
                </w:tcPr>
                <w:p w14:paraId="732C9103">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用电量</w:t>
                  </w:r>
                  <w:r>
                    <w:rPr>
                      <w:rFonts w:ascii="Times New Roman" w:hAnsi="Times New Roman" w:eastAsia="宋体" w:cs="Times New Roman"/>
                      <w:color w:val="auto"/>
                      <w:sz w:val="18"/>
                      <w:szCs w:val="18"/>
                      <w:highlight w:val="none"/>
                    </w:rPr>
                    <w:t>50万</w:t>
                  </w:r>
                  <w:r>
                    <w:rPr>
                      <w:rFonts w:hint="eastAsia" w:ascii="Times New Roman" w:hAnsi="Times New Roman" w:eastAsia="宋体" w:cs="Times New Roman"/>
                      <w:color w:val="auto"/>
                      <w:sz w:val="18"/>
                      <w:szCs w:val="18"/>
                      <w:highlight w:val="none"/>
                      <w:lang w:eastAsia="zh-CN"/>
                    </w:rPr>
                    <w:t>kW</w:t>
                  </w:r>
                  <w:r>
                    <w:rPr>
                      <w:rFonts w:ascii="Times New Roman" w:hAnsi="Times New Roman" w:eastAsia="宋体" w:cs="Times New Roman"/>
                      <w:bCs/>
                      <w:color w:val="auto"/>
                      <w:sz w:val="18"/>
                      <w:szCs w:val="18"/>
                      <w:highlight w:val="none"/>
                    </w:rPr>
                    <w:t>·h/a</w:t>
                  </w:r>
                </w:p>
              </w:tc>
              <w:tc>
                <w:tcPr>
                  <w:tcW w:w="1001" w:type="dxa"/>
                  <w:vAlign w:val="center"/>
                </w:tcPr>
                <w:p w14:paraId="1E3BDE3A">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r>
            <w:tr w14:paraId="4A60E0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59E4E329">
                  <w:pPr>
                    <w:snapToGrid w:val="0"/>
                    <w:spacing w:line="276" w:lineRule="auto"/>
                    <w:jc w:val="center"/>
                    <w:rPr>
                      <w:rFonts w:ascii="Times New Roman" w:hAnsi="Times New Roman" w:eastAsia="宋体" w:cs="Times New Roman"/>
                      <w:bCs/>
                      <w:color w:val="auto"/>
                      <w:sz w:val="18"/>
                      <w:szCs w:val="18"/>
                      <w:highlight w:val="none"/>
                    </w:rPr>
                  </w:pPr>
                </w:p>
              </w:tc>
              <w:tc>
                <w:tcPr>
                  <w:tcW w:w="971" w:type="dxa"/>
                  <w:vAlign w:val="center"/>
                </w:tcPr>
                <w:p w14:paraId="50BF5460">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给水</w:t>
                  </w:r>
                </w:p>
              </w:tc>
              <w:tc>
                <w:tcPr>
                  <w:tcW w:w="4115" w:type="dxa"/>
                  <w:gridSpan w:val="2"/>
                  <w:vAlign w:val="center"/>
                </w:tcPr>
                <w:p w14:paraId="564C970E">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sz w:val="18"/>
                      <w:szCs w:val="18"/>
                      <w:highlight w:val="none"/>
                    </w:rPr>
                    <w:t>市政管网供水</w:t>
                  </w:r>
                </w:p>
              </w:tc>
              <w:tc>
                <w:tcPr>
                  <w:tcW w:w="1298" w:type="dxa"/>
                  <w:vAlign w:val="center"/>
                </w:tcPr>
                <w:p w14:paraId="1F8B6DBA">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用水量2.25m</w:t>
                  </w:r>
                  <w:r>
                    <w:rPr>
                      <w:rFonts w:ascii="Times New Roman" w:hAnsi="Times New Roman" w:eastAsia="宋体" w:cs="Times New Roman"/>
                      <w:bCs/>
                      <w:color w:val="auto"/>
                      <w:sz w:val="18"/>
                      <w:szCs w:val="18"/>
                      <w:highlight w:val="none"/>
                      <w:vertAlign w:val="superscript"/>
                    </w:rPr>
                    <w:t>3</w:t>
                  </w:r>
                  <w:r>
                    <w:rPr>
                      <w:rFonts w:ascii="Times New Roman" w:hAnsi="Times New Roman" w:eastAsia="宋体" w:cs="Times New Roman"/>
                      <w:bCs/>
                      <w:color w:val="auto"/>
                      <w:sz w:val="18"/>
                      <w:szCs w:val="18"/>
                      <w:highlight w:val="none"/>
                    </w:rPr>
                    <w:t>/d</w:t>
                  </w:r>
                </w:p>
              </w:tc>
              <w:tc>
                <w:tcPr>
                  <w:tcW w:w="1001" w:type="dxa"/>
                  <w:vAlign w:val="center"/>
                </w:tcPr>
                <w:p w14:paraId="4B8C392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r>
            <w:tr w14:paraId="194B3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64318865">
                  <w:pPr>
                    <w:snapToGrid w:val="0"/>
                    <w:spacing w:line="276" w:lineRule="auto"/>
                    <w:jc w:val="center"/>
                    <w:rPr>
                      <w:rFonts w:ascii="Times New Roman" w:hAnsi="Times New Roman" w:eastAsia="宋体" w:cs="Times New Roman"/>
                      <w:bCs/>
                      <w:color w:val="auto"/>
                      <w:sz w:val="18"/>
                      <w:szCs w:val="18"/>
                      <w:highlight w:val="none"/>
                    </w:rPr>
                  </w:pPr>
                </w:p>
              </w:tc>
              <w:tc>
                <w:tcPr>
                  <w:tcW w:w="971" w:type="dxa"/>
                  <w:vAlign w:val="center"/>
                </w:tcPr>
                <w:p w14:paraId="3B24DF2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排水</w:t>
                  </w:r>
                </w:p>
              </w:tc>
              <w:tc>
                <w:tcPr>
                  <w:tcW w:w="5413" w:type="dxa"/>
                  <w:gridSpan w:val="3"/>
                  <w:vAlign w:val="center"/>
                </w:tcPr>
                <w:p w14:paraId="1D39468E">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雨污分流。本项</w:t>
                  </w:r>
                  <w:r>
                    <w:rPr>
                      <w:rFonts w:ascii="Times New Roman" w:hAnsi="Times New Roman" w:eastAsia="宋体" w:cs="Times New Roman"/>
                      <w:bCs/>
                      <w:color w:val="auto"/>
                      <w:sz w:val="18"/>
                      <w:szCs w:val="18"/>
                      <w:highlight w:val="none"/>
                      <w:lang w:val="en-GB"/>
                    </w:rPr>
                    <w:t>目雨水</w:t>
                  </w:r>
                  <w:r>
                    <w:rPr>
                      <w:rFonts w:ascii="Times New Roman" w:hAnsi="Times New Roman" w:eastAsia="宋体" w:cs="Times New Roman"/>
                      <w:bCs/>
                      <w:color w:val="auto"/>
                      <w:sz w:val="18"/>
                      <w:szCs w:val="18"/>
                      <w:highlight w:val="none"/>
                    </w:rPr>
                    <w:t>排入市政雨水管网</w:t>
                  </w:r>
                  <w:r>
                    <w:rPr>
                      <w:rFonts w:ascii="Times New Roman" w:hAnsi="Times New Roman" w:eastAsia="宋体" w:cs="Times New Roman"/>
                      <w:bCs/>
                      <w:color w:val="auto"/>
                      <w:sz w:val="18"/>
                      <w:szCs w:val="18"/>
                      <w:highlight w:val="none"/>
                      <w:lang w:val="en-GB"/>
                    </w:rPr>
                    <w:t>；生活污水排入化粪池后，</w:t>
                  </w:r>
                  <w:r>
                    <w:rPr>
                      <w:rFonts w:ascii="Times New Roman" w:hAnsi="Times New Roman" w:eastAsia="宋体" w:cs="Times New Roman"/>
                      <w:bCs/>
                      <w:color w:val="auto"/>
                      <w:sz w:val="18"/>
                      <w:szCs w:val="18"/>
                      <w:highlight w:val="none"/>
                    </w:rPr>
                    <w:t>接管至市政污水管网，</w:t>
                  </w:r>
                  <w:r>
                    <w:rPr>
                      <w:rFonts w:ascii="Times New Roman" w:hAnsi="Times New Roman" w:eastAsia="宋体" w:cs="Times New Roman"/>
                      <w:color w:val="auto"/>
                      <w:sz w:val="18"/>
                      <w:szCs w:val="18"/>
                      <w:highlight w:val="none"/>
                    </w:rPr>
                    <w:t>送至八公山污水处理厂处理后排入淮河</w:t>
                  </w:r>
                </w:p>
              </w:tc>
              <w:tc>
                <w:tcPr>
                  <w:tcW w:w="1001" w:type="dxa"/>
                  <w:vAlign w:val="center"/>
                </w:tcPr>
                <w:p w14:paraId="4E5E43A4">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r>
            <w:tr w14:paraId="609BE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restart"/>
                  <w:vAlign w:val="center"/>
                </w:tcPr>
                <w:p w14:paraId="364B4925">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环保工程</w:t>
                  </w:r>
                </w:p>
              </w:tc>
              <w:tc>
                <w:tcPr>
                  <w:tcW w:w="971" w:type="dxa"/>
                  <w:vMerge w:val="restart"/>
                  <w:vAlign w:val="center"/>
                </w:tcPr>
                <w:p w14:paraId="353F8BA6">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废气</w:t>
                  </w:r>
                </w:p>
              </w:tc>
              <w:tc>
                <w:tcPr>
                  <w:tcW w:w="5413" w:type="dxa"/>
                  <w:gridSpan w:val="3"/>
                  <w:vAlign w:val="center"/>
                </w:tcPr>
                <w:p w14:paraId="29CEFBCC">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切割和焊接产生的切割粉尘和焊接烟尘由</w:t>
                  </w:r>
                  <w:r>
                    <w:rPr>
                      <w:rFonts w:ascii="Times New Roman" w:hAnsi="Times New Roman" w:eastAsia="宋体" w:cs="Times New Roman"/>
                      <w:color w:val="auto"/>
                      <w:kern w:val="0"/>
                      <w:sz w:val="18"/>
                      <w:szCs w:val="18"/>
                      <w:highlight w:val="none"/>
                    </w:rPr>
                    <w:t>集气罩分别收集，通过袋式除尘器处理后，经由15m高的</w:t>
                  </w:r>
                  <w:r>
                    <w:rPr>
                      <w:rFonts w:hint="eastAsia" w:ascii="Times New Roman" w:hAnsi="Times New Roman" w:eastAsia="宋体" w:cs="Times New Roman"/>
                      <w:color w:val="auto"/>
                      <w:kern w:val="0"/>
                      <w:sz w:val="18"/>
                      <w:szCs w:val="18"/>
                      <w:highlight w:val="none"/>
                    </w:rPr>
                    <w:t>DA001</w:t>
                  </w:r>
                  <w:r>
                    <w:rPr>
                      <w:rFonts w:ascii="Times New Roman" w:hAnsi="Times New Roman" w:eastAsia="宋体" w:cs="Times New Roman"/>
                      <w:color w:val="auto"/>
                      <w:kern w:val="0"/>
                      <w:sz w:val="18"/>
                      <w:szCs w:val="18"/>
                      <w:highlight w:val="none"/>
                    </w:rPr>
                    <w:t>排气筒排放（风量10000m³/h）</w:t>
                  </w:r>
                </w:p>
              </w:tc>
              <w:tc>
                <w:tcPr>
                  <w:tcW w:w="1001" w:type="dxa"/>
                  <w:vAlign w:val="center"/>
                </w:tcPr>
                <w:p w14:paraId="08B4AA7F">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0A29CB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1952C04B">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3AE38B6C">
                  <w:pPr>
                    <w:snapToGrid w:val="0"/>
                    <w:spacing w:line="276" w:lineRule="auto"/>
                    <w:jc w:val="center"/>
                    <w:rPr>
                      <w:rFonts w:ascii="Times New Roman" w:hAnsi="Times New Roman" w:eastAsia="宋体" w:cs="Times New Roman"/>
                      <w:bCs/>
                      <w:color w:val="auto"/>
                      <w:sz w:val="18"/>
                      <w:szCs w:val="18"/>
                      <w:highlight w:val="none"/>
                    </w:rPr>
                  </w:pPr>
                </w:p>
              </w:tc>
              <w:tc>
                <w:tcPr>
                  <w:tcW w:w="5413" w:type="dxa"/>
                  <w:gridSpan w:val="3"/>
                  <w:vAlign w:val="center"/>
                </w:tcPr>
                <w:p w14:paraId="37FD5D54">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喷塑产生的喷塑粉尘，</w:t>
                  </w:r>
                  <w:r>
                    <w:rPr>
                      <w:rFonts w:hint="eastAsia" w:ascii="Times New Roman" w:hAnsi="Times New Roman" w:eastAsia="宋体" w:cs="Times New Roman"/>
                      <w:bCs/>
                      <w:color w:val="auto"/>
                      <w:sz w:val="18"/>
                      <w:szCs w:val="18"/>
                      <w:highlight w:val="none"/>
                    </w:rPr>
                    <w:t>密闭管道收集后通过</w:t>
                  </w:r>
                  <w:r>
                    <w:rPr>
                      <w:rFonts w:ascii="Times New Roman" w:hAnsi="Times New Roman" w:eastAsia="宋体" w:cs="Times New Roman"/>
                      <w:bCs/>
                      <w:color w:val="auto"/>
                      <w:sz w:val="18"/>
                      <w:szCs w:val="18"/>
                      <w:highlight w:val="none"/>
                    </w:rPr>
                    <w:t>设置</w:t>
                  </w:r>
                  <w:r>
                    <w:rPr>
                      <w:rFonts w:hint="eastAsia" w:ascii="Times New Roman" w:hAnsi="Times New Roman" w:eastAsia="宋体" w:cs="Times New Roman"/>
                      <w:bCs/>
                      <w:color w:val="auto"/>
                      <w:sz w:val="18"/>
                      <w:szCs w:val="18"/>
                      <w:highlight w:val="none"/>
                      <w:lang w:eastAsia="zh-CN"/>
                    </w:rPr>
                    <w:t>大旋风+滤芯粉末回收+袋式除尘装置</w:t>
                  </w:r>
                  <w:r>
                    <w:rPr>
                      <w:rFonts w:ascii="Times New Roman" w:hAnsi="Times New Roman" w:eastAsia="宋体" w:cs="Times New Roman"/>
                      <w:bCs/>
                      <w:color w:val="auto"/>
                      <w:sz w:val="18"/>
                      <w:szCs w:val="18"/>
                      <w:highlight w:val="none"/>
                    </w:rPr>
                    <w:t>进行处理后</w:t>
                  </w:r>
                  <w:r>
                    <w:rPr>
                      <w:rFonts w:ascii="Times New Roman" w:hAnsi="Times New Roman" w:eastAsia="宋体" w:cs="Times New Roman"/>
                      <w:color w:val="auto"/>
                      <w:kern w:val="0"/>
                      <w:sz w:val="18"/>
                      <w:szCs w:val="18"/>
                      <w:highlight w:val="none"/>
                    </w:rPr>
                    <w:t>，经由15m高的</w:t>
                  </w:r>
                  <w:r>
                    <w:rPr>
                      <w:rFonts w:hint="eastAsia" w:ascii="Times New Roman" w:hAnsi="Times New Roman" w:eastAsia="宋体" w:cs="Times New Roman"/>
                      <w:color w:val="auto"/>
                      <w:kern w:val="0"/>
                      <w:sz w:val="18"/>
                      <w:szCs w:val="18"/>
                      <w:highlight w:val="none"/>
                    </w:rPr>
                    <w:t>DA002</w:t>
                  </w:r>
                  <w:r>
                    <w:rPr>
                      <w:rFonts w:ascii="Times New Roman" w:hAnsi="Times New Roman" w:eastAsia="宋体" w:cs="Times New Roman"/>
                      <w:color w:val="auto"/>
                      <w:kern w:val="0"/>
                      <w:sz w:val="18"/>
                      <w:szCs w:val="18"/>
                      <w:highlight w:val="none"/>
                    </w:rPr>
                    <w:t>排气筒排放（风量</w:t>
                  </w:r>
                  <w:r>
                    <w:rPr>
                      <w:rFonts w:hint="eastAsia" w:ascii="Times New Roman" w:hAnsi="Times New Roman" w:eastAsia="宋体" w:cs="Times New Roman"/>
                      <w:color w:val="auto"/>
                      <w:kern w:val="0"/>
                      <w:sz w:val="18"/>
                      <w:szCs w:val="18"/>
                      <w:highlight w:val="none"/>
                    </w:rPr>
                    <w:t>1</w:t>
                  </w:r>
                  <w:r>
                    <w:rPr>
                      <w:rFonts w:ascii="Times New Roman" w:hAnsi="Times New Roman" w:eastAsia="宋体" w:cs="Times New Roman"/>
                      <w:color w:val="auto"/>
                      <w:kern w:val="0"/>
                      <w:sz w:val="18"/>
                      <w:szCs w:val="18"/>
                      <w:highlight w:val="none"/>
                    </w:rPr>
                    <w:t>5000m³/h）</w:t>
                  </w:r>
                </w:p>
              </w:tc>
              <w:tc>
                <w:tcPr>
                  <w:tcW w:w="1001" w:type="dxa"/>
                  <w:vAlign w:val="center"/>
                </w:tcPr>
                <w:p w14:paraId="65FF0E7B">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3432D6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2EFDA46C">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5E4299E6">
                  <w:pPr>
                    <w:snapToGrid w:val="0"/>
                    <w:spacing w:line="276" w:lineRule="auto"/>
                    <w:jc w:val="center"/>
                    <w:rPr>
                      <w:rFonts w:ascii="Times New Roman" w:hAnsi="Times New Roman" w:eastAsia="宋体" w:cs="Times New Roman"/>
                      <w:bCs/>
                      <w:color w:val="auto"/>
                      <w:sz w:val="18"/>
                      <w:szCs w:val="18"/>
                      <w:highlight w:val="none"/>
                    </w:rPr>
                  </w:pPr>
                </w:p>
              </w:tc>
              <w:tc>
                <w:tcPr>
                  <w:tcW w:w="5413" w:type="dxa"/>
                  <w:gridSpan w:val="3"/>
                  <w:vAlign w:val="center"/>
                </w:tcPr>
                <w:p w14:paraId="18B51DBB">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固化产生的固化废气封闭管道</w:t>
                  </w:r>
                  <w:r>
                    <w:rPr>
                      <w:rFonts w:ascii="Times New Roman" w:hAnsi="Times New Roman" w:eastAsia="宋体" w:cs="Times New Roman"/>
                      <w:color w:val="auto"/>
                      <w:kern w:val="0"/>
                      <w:sz w:val="18"/>
                      <w:szCs w:val="18"/>
                      <w:highlight w:val="none"/>
                    </w:rPr>
                    <w:t>收集，通过二级活性炭吸附处理后，经由15m高的</w:t>
                  </w:r>
                  <w:r>
                    <w:rPr>
                      <w:rFonts w:hint="eastAsia" w:ascii="Times New Roman" w:hAnsi="Times New Roman" w:eastAsia="宋体" w:cs="Times New Roman"/>
                      <w:color w:val="auto"/>
                      <w:kern w:val="0"/>
                      <w:sz w:val="18"/>
                      <w:szCs w:val="18"/>
                      <w:highlight w:val="none"/>
                    </w:rPr>
                    <w:t>DA003</w:t>
                  </w:r>
                  <w:r>
                    <w:rPr>
                      <w:rFonts w:ascii="Times New Roman" w:hAnsi="Times New Roman" w:eastAsia="宋体" w:cs="Times New Roman"/>
                      <w:color w:val="auto"/>
                      <w:kern w:val="0"/>
                      <w:sz w:val="18"/>
                      <w:szCs w:val="18"/>
                      <w:highlight w:val="none"/>
                    </w:rPr>
                    <w:t>排气筒排放（风量</w:t>
                  </w:r>
                  <w:r>
                    <w:rPr>
                      <w:rFonts w:hint="eastAsia" w:ascii="Times New Roman" w:hAnsi="Times New Roman" w:eastAsia="宋体" w:cs="Times New Roman"/>
                      <w:color w:val="auto"/>
                      <w:kern w:val="0"/>
                      <w:sz w:val="18"/>
                      <w:szCs w:val="18"/>
                      <w:highlight w:val="none"/>
                    </w:rPr>
                    <w:t>10</w:t>
                  </w:r>
                  <w:r>
                    <w:rPr>
                      <w:rFonts w:ascii="Times New Roman" w:hAnsi="Times New Roman" w:eastAsia="宋体" w:cs="Times New Roman"/>
                      <w:color w:val="auto"/>
                      <w:kern w:val="0"/>
                      <w:sz w:val="18"/>
                      <w:szCs w:val="18"/>
                      <w:highlight w:val="none"/>
                    </w:rPr>
                    <w:t>000m³/h）</w:t>
                  </w:r>
                </w:p>
              </w:tc>
              <w:tc>
                <w:tcPr>
                  <w:tcW w:w="1001" w:type="dxa"/>
                  <w:vAlign w:val="center"/>
                </w:tcPr>
                <w:p w14:paraId="3C011E2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02CB10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4B43134F">
                  <w:pPr>
                    <w:snapToGrid w:val="0"/>
                    <w:spacing w:line="276" w:lineRule="auto"/>
                    <w:jc w:val="center"/>
                    <w:rPr>
                      <w:rFonts w:ascii="Times New Roman" w:hAnsi="Times New Roman" w:eastAsia="宋体" w:cs="Times New Roman"/>
                      <w:bCs/>
                      <w:color w:val="auto"/>
                      <w:sz w:val="18"/>
                      <w:szCs w:val="18"/>
                      <w:highlight w:val="none"/>
                    </w:rPr>
                  </w:pPr>
                </w:p>
              </w:tc>
              <w:tc>
                <w:tcPr>
                  <w:tcW w:w="971" w:type="dxa"/>
                  <w:vAlign w:val="center"/>
                </w:tcPr>
                <w:p w14:paraId="54BE79EE">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废水</w:t>
                  </w:r>
                </w:p>
              </w:tc>
              <w:tc>
                <w:tcPr>
                  <w:tcW w:w="5413" w:type="dxa"/>
                  <w:gridSpan w:val="3"/>
                  <w:vAlign w:val="center"/>
                </w:tcPr>
                <w:p w14:paraId="1F2B8A50">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雨污分流。</w:t>
                  </w:r>
                  <w:r>
                    <w:rPr>
                      <w:rFonts w:ascii="Times New Roman" w:hAnsi="Times New Roman" w:eastAsia="宋体" w:cs="Times New Roman"/>
                      <w:bCs/>
                      <w:color w:val="auto"/>
                      <w:sz w:val="18"/>
                      <w:szCs w:val="18"/>
                      <w:highlight w:val="none"/>
                      <w:lang w:val="en-GB"/>
                    </w:rPr>
                    <w:t>本项目雨水排入市政雨水管网；</w:t>
                  </w:r>
                  <w:r>
                    <w:rPr>
                      <w:rFonts w:ascii="Times New Roman" w:hAnsi="Times New Roman" w:eastAsia="宋体" w:cs="Times New Roman"/>
                      <w:bCs/>
                      <w:color w:val="auto"/>
                      <w:sz w:val="18"/>
                      <w:szCs w:val="18"/>
                      <w:highlight w:val="none"/>
                    </w:rPr>
                    <w:t>生活污水</w:t>
                  </w:r>
                  <w:r>
                    <w:rPr>
                      <w:rFonts w:ascii="Times New Roman" w:hAnsi="Times New Roman" w:eastAsia="宋体" w:cs="Times New Roman"/>
                      <w:color w:val="auto"/>
                      <w:sz w:val="18"/>
                      <w:szCs w:val="18"/>
                      <w:highlight w:val="none"/>
                    </w:rPr>
                    <w:t>经化粪池处理后接管至市政污水管网，送至八公山污水处理厂处理后排入淮河</w:t>
                  </w:r>
                </w:p>
              </w:tc>
              <w:tc>
                <w:tcPr>
                  <w:tcW w:w="1001" w:type="dxa"/>
                  <w:vAlign w:val="center"/>
                </w:tcPr>
                <w:p w14:paraId="49860259">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618E5D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746B6982">
                  <w:pPr>
                    <w:snapToGrid w:val="0"/>
                    <w:spacing w:line="276" w:lineRule="auto"/>
                    <w:jc w:val="center"/>
                    <w:rPr>
                      <w:rFonts w:ascii="Times New Roman" w:hAnsi="Times New Roman" w:eastAsia="宋体" w:cs="Times New Roman"/>
                      <w:bCs/>
                      <w:color w:val="auto"/>
                      <w:sz w:val="18"/>
                      <w:szCs w:val="18"/>
                      <w:highlight w:val="none"/>
                    </w:rPr>
                  </w:pPr>
                </w:p>
              </w:tc>
              <w:tc>
                <w:tcPr>
                  <w:tcW w:w="971" w:type="dxa"/>
                  <w:vAlign w:val="center"/>
                </w:tcPr>
                <w:p w14:paraId="2239F53C">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噪声</w:t>
                  </w:r>
                </w:p>
              </w:tc>
              <w:tc>
                <w:tcPr>
                  <w:tcW w:w="5413" w:type="dxa"/>
                  <w:gridSpan w:val="3"/>
                  <w:vAlign w:val="center"/>
                </w:tcPr>
                <w:p w14:paraId="36093474">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sz w:val="18"/>
                      <w:szCs w:val="18"/>
                      <w:highlight w:val="none"/>
                    </w:rPr>
                    <w:t>产噪设备采取消声、减振、隔声等措施</w:t>
                  </w:r>
                </w:p>
              </w:tc>
              <w:tc>
                <w:tcPr>
                  <w:tcW w:w="1001" w:type="dxa"/>
                  <w:vAlign w:val="center"/>
                </w:tcPr>
                <w:p w14:paraId="31F1E33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bCs/>
                      <w:color w:val="auto"/>
                      <w:sz w:val="18"/>
                      <w:szCs w:val="18"/>
                      <w:highlight w:val="none"/>
                    </w:rPr>
                    <w:t>/</w:t>
                  </w:r>
                </w:p>
              </w:tc>
            </w:tr>
            <w:tr w14:paraId="56FFA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2505F01B">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restart"/>
                  <w:vAlign w:val="center"/>
                </w:tcPr>
                <w:p w14:paraId="6D21199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固废</w:t>
                  </w:r>
                </w:p>
              </w:tc>
              <w:tc>
                <w:tcPr>
                  <w:tcW w:w="5413" w:type="dxa"/>
                  <w:gridSpan w:val="3"/>
                  <w:vAlign w:val="center"/>
                </w:tcPr>
                <w:p w14:paraId="5B5F2587">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危险废物：新建一座20m</w:t>
                  </w:r>
                  <w:r>
                    <w:rPr>
                      <w:rFonts w:ascii="Times New Roman" w:hAnsi="Times New Roman" w:eastAsia="宋体" w:cs="Times New Roman"/>
                      <w:bCs/>
                      <w:color w:val="auto"/>
                      <w:sz w:val="18"/>
                      <w:szCs w:val="18"/>
                      <w:highlight w:val="none"/>
                      <w:vertAlign w:val="superscript"/>
                    </w:rPr>
                    <w:t>2</w:t>
                  </w:r>
                  <w:r>
                    <w:rPr>
                      <w:rFonts w:ascii="Times New Roman" w:hAnsi="Times New Roman" w:eastAsia="宋体" w:cs="Times New Roman"/>
                      <w:bCs/>
                      <w:color w:val="auto"/>
                      <w:sz w:val="18"/>
                      <w:szCs w:val="18"/>
                      <w:highlight w:val="none"/>
                    </w:rPr>
                    <w:t>危废暂存库，废活性炭、废机油、机油桶暂存于危废暂存库，定期委托有资质的单位处置</w:t>
                  </w:r>
                </w:p>
              </w:tc>
              <w:tc>
                <w:tcPr>
                  <w:tcW w:w="1001" w:type="dxa"/>
                  <w:vAlign w:val="center"/>
                </w:tcPr>
                <w:p w14:paraId="47C87E89">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6CFA22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4F66752A">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22CD0B7D">
                  <w:pPr>
                    <w:snapToGrid w:val="0"/>
                    <w:spacing w:line="276" w:lineRule="auto"/>
                    <w:jc w:val="center"/>
                    <w:rPr>
                      <w:rFonts w:ascii="Times New Roman" w:hAnsi="Times New Roman" w:eastAsia="宋体" w:cs="Times New Roman"/>
                      <w:bCs/>
                      <w:color w:val="auto"/>
                      <w:sz w:val="18"/>
                      <w:szCs w:val="18"/>
                      <w:highlight w:val="none"/>
                    </w:rPr>
                  </w:pPr>
                </w:p>
              </w:tc>
              <w:tc>
                <w:tcPr>
                  <w:tcW w:w="5413" w:type="dxa"/>
                  <w:gridSpan w:val="3"/>
                  <w:vAlign w:val="center"/>
                </w:tcPr>
                <w:p w14:paraId="4A7CAB92">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一般工业固体废物：设一座20m</w:t>
                  </w:r>
                  <w:r>
                    <w:rPr>
                      <w:rFonts w:ascii="Times New Roman" w:hAnsi="Times New Roman" w:eastAsia="宋体" w:cs="Times New Roman"/>
                      <w:bCs/>
                      <w:color w:val="auto"/>
                      <w:sz w:val="18"/>
                      <w:szCs w:val="18"/>
                      <w:highlight w:val="none"/>
                      <w:vertAlign w:val="superscript"/>
                    </w:rPr>
                    <w:t>2</w:t>
                  </w:r>
                  <w:r>
                    <w:rPr>
                      <w:rFonts w:ascii="Times New Roman" w:hAnsi="Times New Roman" w:eastAsia="宋体" w:cs="Times New Roman"/>
                      <w:bCs/>
                      <w:color w:val="auto"/>
                      <w:sz w:val="18"/>
                      <w:szCs w:val="18"/>
                      <w:highlight w:val="none"/>
                    </w:rPr>
                    <w:t>一般固废暂存间，废包装物</w:t>
                  </w:r>
                  <w:r>
                    <w:rPr>
                      <w:rFonts w:hint="eastAsia" w:ascii="Times New Roman" w:hAnsi="Times New Roman" w:eastAsia="宋体" w:cs="Times New Roman"/>
                      <w:bCs/>
                      <w:color w:val="auto"/>
                      <w:sz w:val="18"/>
                      <w:szCs w:val="18"/>
                      <w:highlight w:val="none"/>
                    </w:rPr>
                    <w:t>、废塑粉</w:t>
                  </w:r>
                  <w:r>
                    <w:rPr>
                      <w:rFonts w:ascii="Times New Roman" w:hAnsi="Times New Roman" w:eastAsia="宋体" w:cs="Times New Roman"/>
                      <w:bCs/>
                      <w:color w:val="auto"/>
                      <w:sz w:val="18"/>
                      <w:szCs w:val="18"/>
                      <w:highlight w:val="none"/>
                    </w:rPr>
                    <w:t>、边角料和焊渣统一收集在一般固废暂存间，</w:t>
                  </w:r>
                  <w:r>
                    <w:rPr>
                      <w:rFonts w:hint="eastAsia" w:ascii="Times New Roman" w:hAnsi="Times New Roman" w:eastAsia="宋体" w:cs="Times New Roman"/>
                      <w:bCs/>
                      <w:color w:val="auto"/>
                      <w:sz w:val="18"/>
                      <w:szCs w:val="18"/>
                      <w:highlight w:val="none"/>
                    </w:rPr>
                    <w:t>废塑粉回用于生产，其他一般固废</w:t>
                  </w:r>
                  <w:r>
                    <w:rPr>
                      <w:rFonts w:ascii="Times New Roman" w:hAnsi="Times New Roman" w:eastAsia="宋体" w:cs="Times New Roman"/>
                      <w:bCs/>
                      <w:color w:val="auto"/>
                      <w:sz w:val="18"/>
                      <w:szCs w:val="18"/>
                      <w:highlight w:val="none"/>
                    </w:rPr>
                    <w:t>定期外售</w:t>
                  </w:r>
                </w:p>
              </w:tc>
              <w:tc>
                <w:tcPr>
                  <w:tcW w:w="1001" w:type="dxa"/>
                  <w:vAlign w:val="center"/>
                </w:tcPr>
                <w:p w14:paraId="12CF0B34">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74E03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6A054AA5">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vAlign w:val="center"/>
                </w:tcPr>
                <w:p w14:paraId="53B09327">
                  <w:pPr>
                    <w:snapToGrid w:val="0"/>
                    <w:spacing w:line="276" w:lineRule="auto"/>
                    <w:jc w:val="center"/>
                    <w:rPr>
                      <w:rFonts w:ascii="Times New Roman" w:hAnsi="Times New Roman" w:eastAsia="宋体" w:cs="Times New Roman"/>
                      <w:bCs/>
                      <w:color w:val="auto"/>
                      <w:sz w:val="18"/>
                      <w:szCs w:val="18"/>
                      <w:highlight w:val="none"/>
                    </w:rPr>
                  </w:pPr>
                </w:p>
              </w:tc>
              <w:tc>
                <w:tcPr>
                  <w:tcW w:w="5413" w:type="dxa"/>
                  <w:gridSpan w:val="3"/>
                  <w:vAlign w:val="center"/>
                </w:tcPr>
                <w:p w14:paraId="3359E971">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生活垃圾集中收集后由当地环卫部门统一清运</w:t>
                  </w:r>
                </w:p>
              </w:tc>
              <w:tc>
                <w:tcPr>
                  <w:tcW w:w="1001" w:type="dxa"/>
                  <w:vAlign w:val="center"/>
                </w:tcPr>
                <w:p w14:paraId="2E59249C">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r>
            <w:tr w14:paraId="22B7E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vAlign w:val="center"/>
                </w:tcPr>
                <w:p w14:paraId="48C6DD65">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restart"/>
                  <w:vAlign w:val="center"/>
                </w:tcPr>
                <w:p w14:paraId="49B3C965">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地下水防控</w:t>
                  </w:r>
                </w:p>
              </w:tc>
              <w:tc>
                <w:tcPr>
                  <w:tcW w:w="5413" w:type="dxa"/>
                  <w:gridSpan w:val="3"/>
                  <w:vAlign w:val="center"/>
                </w:tcPr>
                <w:p w14:paraId="709C77B5">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全厂按“分区防渗”要求，落实不同区域防渗措施。危险废物暂存间设置重点防渗，防渗技术要求等效黏土防渗层Mb≥6.0m，K≤10</w:t>
                  </w:r>
                  <w:r>
                    <w:rPr>
                      <w:rFonts w:hint="eastAsia" w:ascii="Times New Roman" w:hAnsi="Times New Roman" w:eastAsia="宋体" w:cs="Times New Roman"/>
                      <w:bCs/>
                      <w:color w:val="auto"/>
                      <w:sz w:val="18"/>
                      <w:szCs w:val="18"/>
                      <w:highlight w:val="none"/>
                      <w:vertAlign w:val="superscript"/>
                    </w:rPr>
                    <w:t>-7</w:t>
                  </w:r>
                  <w:r>
                    <w:rPr>
                      <w:rFonts w:hint="eastAsia" w:ascii="Times New Roman" w:hAnsi="Times New Roman" w:eastAsia="宋体" w:cs="Times New Roman"/>
                      <w:bCs/>
                      <w:color w:val="auto"/>
                      <w:sz w:val="18"/>
                      <w:szCs w:val="18"/>
                      <w:highlight w:val="none"/>
                    </w:rPr>
                    <w:t>cm/s</w:t>
                  </w:r>
                </w:p>
              </w:tc>
              <w:tc>
                <w:tcPr>
                  <w:tcW w:w="1001" w:type="dxa"/>
                  <w:vAlign w:val="center"/>
                </w:tcPr>
                <w:p w14:paraId="1654C1F4">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r w14:paraId="0EADE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0" w:type="dxa"/>
                  <w:vMerge w:val="continue"/>
                  <w:tcBorders>
                    <w:bottom w:val="single" w:color="auto" w:sz="8" w:space="0"/>
                  </w:tcBorders>
                  <w:vAlign w:val="center"/>
                </w:tcPr>
                <w:p w14:paraId="45060C0A">
                  <w:pPr>
                    <w:snapToGrid w:val="0"/>
                    <w:spacing w:line="276" w:lineRule="auto"/>
                    <w:jc w:val="center"/>
                    <w:rPr>
                      <w:rFonts w:ascii="Times New Roman" w:hAnsi="Times New Roman" w:eastAsia="宋体" w:cs="Times New Roman"/>
                      <w:bCs/>
                      <w:color w:val="auto"/>
                      <w:sz w:val="18"/>
                      <w:szCs w:val="18"/>
                      <w:highlight w:val="none"/>
                    </w:rPr>
                  </w:pPr>
                </w:p>
              </w:tc>
              <w:tc>
                <w:tcPr>
                  <w:tcW w:w="971" w:type="dxa"/>
                  <w:vMerge w:val="continue"/>
                  <w:tcBorders>
                    <w:bottom w:val="single" w:color="auto" w:sz="8" w:space="0"/>
                  </w:tcBorders>
                  <w:vAlign w:val="center"/>
                </w:tcPr>
                <w:p w14:paraId="46A1228F">
                  <w:pPr>
                    <w:snapToGrid w:val="0"/>
                    <w:spacing w:line="276" w:lineRule="auto"/>
                    <w:jc w:val="center"/>
                    <w:rPr>
                      <w:rFonts w:ascii="Times New Roman" w:hAnsi="Times New Roman" w:eastAsia="宋体" w:cs="Times New Roman"/>
                      <w:bCs/>
                      <w:color w:val="auto"/>
                      <w:sz w:val="18"/>
                      <w:szCs w:val="18"/>
                      <w:highlight w:val="none"/>
                    </w:rPr>
                  </w:pPr>
                </w:p>
              </w:tc>
              <w:tc>
                <w:tcPr>
                  <w:tcW w:w="5413" w:type="dxa"/>
                  <w:gridSpan w:val="3"/>
                  <w:tcBorders>
                    <w:bottom w:val="single" w:color="auto" w:sz="8" w:space="0"/>
                  </w:tcBorders>
                  <w:vAlign w:val="center"/>
                </w:tcPr>
                <w:p w14:paraId="1537D106">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生产区域、一般固废库、化粪池等设置一般防渗，防渗技术要求等效黏土防渗层Mb≥1.5m，K≤10</w:t>
                  </w:r>
                  <w:r>
                    <w:rPr>
                      <w:rFonts w:hint="eastAsia" w:ascii="Times New Roman" w:hAnsi="Times New Roman" w:eastAsia="宋体" w:cs="Times New Roman"/>
                      <w:bCs/>
                      <w:color w:val="auto"/>
                      <w:sz w:val="18"/>
                      <w:szCs w:val="18"/>
                      <w:highlight w:val="none"/>
                      <w:vertAlign w:val="superscript"/>
                    </w:rPr>
                    <w:t>-7</w:t>
                  </w:r>
                  <w:r>
                    <w:rPr>
                      <w:rFonts w:hint="eastAsia" w:ascii="Times New Roman" w:hAnsi="Times New Roman" w:eastAsia="宋体" w:cs="Times New Roman"/>
                      <w:bCs/>
                      <w:color w:val="auto"/>
                      <w:sz w:val="18"/>
                      <w:szCs w:val="18"/>
                      <w:highlight w:val="none"/>
                    </w:rPr>
                    <w:t>cm/s</w:t>
                  </w:r>
                </w:p>
              </w:tc>
              <w:tc>
                <w:tcPr>
                  <w:tcW w:w="1001" w:type="dxa"/>
                  <w:tcBorders>
                    <w:bottom w:val="single" w:color="auto" w:sz="8" w:space="0"/>
                  </w:tcBorders>
                  <w:vAlign w:val="center"/>
                </w:tcPr>
                <w:p w14:paraId="7F88D798">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新建</w:t>
                  </w:r>
                </w:p>
              </w:tc>
            </w:tr>
          </w:tbl>
          <w:p w14:paraId="403B61A1">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3、产品方案</w:t>
            </w:r>
          </w:p>
          <w:p w14:paraId="74A47B37">
            <w:pPr>
              <w:spacing w:line="360" w:lineRule="auto"/>
              <w:ind w:firstLine="480" w:firstLineChars="200"/>
              <w:jc w:val="left"/>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本项目产品方案见下表。</w:t>
            </w:r>
          </w:p>
          <w:p w14:paraId="51CDD6F1">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表2-3  项目产品方案一览表</w:t>
            </w:r>
          </w:p>
          <w:tbl>
            <w:tblPr>
              <w:tblStyle w:val="1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9"/>
              <w:gridCol w:w="1618"/>
              <w:gridCol w:w="2117"/>
              <w:gridCol w:w="1934"/>
              <w:gridCol w:w="1449"/>
              <w:gridCol w:w="598"/>
            </w:tblGrid>
            <w:tr w14:paraId="676757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65" w:type="pct"/>
                  <w:tcBorders>
                    <w:tl2br w:val="nil"/>
                    <w:tr2bl w:val="nil"/>
                  </w:tcBorders>
                  <w:vAlign w:val="center"/>
                </w:tcPr>
                <w:p w14:paraId="3E1FE627">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序号</w:t>
                  </w:r>
                </w:p>
              </w:tc>
              <w:tc>
                <w:tcPr>
                  <w:tcW w:w="971" w:type="pct"/>
                  <w:tcBorders>
                    <w:tl2br w:val="nil"/>
                    <w:tr2bl w:val="nil"/>
                  </w:tcBorders>
                  <w:vAlign w:val="center"/>
                </w:tcPr>
                <w:p w14:paraId="3BF447F6">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产品名称</w:t>
                  </w:r>
                </w:p>
              </w:tc>
              <w:tc>
                <w:tcPr>
                  <w:tcW w:w="1271" w:type="pct"/>
                  <w:tcBorders>
                    <w:tl2br w:val="nil"/>
                    <w:tr2bl w:val="nil"/>
                  </w:tcBorders>
                  <w:vAlign w:val="center"/>
                </w:tcPr>
                <w:p w14:paraId="51B5C7E6">
                  <w:pPr>
                    <w:widowControl/>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生产线名称</w:t>
                  </w:r>
                </w:p>
              </w:tc>
              <w:tc>
                <w:tcPr>
                  <w:tcW w:w="1161" w:type="pct"/>
                  <w:tcBorders>
                    <w:tl2br w:val="nil"/>
                    <w:tr2bl w:val="nil"/>
                  </w:tcBorders>
                  <w:vAlign w:val="center"/>
                </w:tcPr>
                <w:p w14:paraId="433AAA37">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规格</w:t>
                  </w:r>
                </w:p>
              </w:tc>
              <w:tc>
                <w:tcPr>
                  <w:tcW w:w="870" w:type="pct"/>
                  <w:tcBorders>
                    <w:tl2br w:val="nil"/>
                    <w:tr2bl w:val="nil"/>
                  </w:tcBorders>
                  <w:vAlign w:val="center"/>
                </w:tcPr>
                <w:p w14:paraId="480D6F83">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年产量（台/套）</w:t>
                  </w:r>
                </w:p>
              </w:tc>
              <w:tc>
                <w:tcPr>
                  <w:tcW w:w="359" w:type="pct"/>
                  <w:tcBorders>
                    <w:tl2br w:val="nil"/>
                    <w:tr2bl w:val="nil"/>
                  </w:tcBorders>
                  <w:vAlign w:val="center"/>
                </w:tcPr>
                <w:p w14:paraId="435A9F9B">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备注</w:t>
                  </w:r>
                </w:p>
              </w:tc>
            </w:tr>
            <w:tr w14:paraId="754CCF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65" w:type="pct"/>
                  <w:tcBorders>
                    <w:tl2br w:val="nil"/>
                    <w:tr2bl w:val="nil"/>
                  </w:tcBorders>
                  <w:vAlign w:val="center"/>
                </w:tcPr>
                <w:p w14:paraId="03434BE2">
                  <w:pPr>
                    <w:widowControl/>
                    <w:jc w:val="center"/>
                    <w:textAlignment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kern w:val="0"/>
                      <w:sz w:val="18"/>
                      <w:szCs w:val="18"/>
                      <w:highlight w:val="none"/>
                    </w:rPr>
                    <w:t>1</w:t>
                  </w:r>
                </w:p>
              </w:tc>
              <w:tc>
                <w:tcPr>
                  <w:tcW w:w="971" w:type="pct"/>
                  <w:tcBorders>
                    <w:tl2br w:val="nil"/>
                    <w:tr2bl w:val="nil"/>
                  </w:tcBorders>
                  <w:vAlign w:val="center"/>
                </w:tcPr>
                <w:p w14:paraId="7E2FE76B">
                  <w:pPr>
                    <w:widowControl/>
                    <w:jc w:val="center"/>
                    <w:textAlignment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kern w:val="0"/>
                      <w:sz w:val="18"/>
                      <w:szCs w:val="18"/>
                      <w:highlight w:val="none"/>
                    </w:rPr>
                    <w:t>自动售货机</w:t>
                  </w:r>
                </w:p>
              </w:tc>
              <w:tc>
                <w:tcPr>
                  <w:tcW w:w="1271" w:type="pct"/>
                  <w:tcBorders>
                    <w:tl2br w:val="nil"/>
                    <w:tr2bl w:val="nil"/>
                  </w:tcBorders>
                  <w:vAlign w:val="center"/>
                </w:tcPr>
                <w:p w14:paraId="730B6A28">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自动售货机生产线</w:t>
                  </w:r>
                </w:p>
              </w:tc>
              <w:tc>
                <w:tcPr>
                  <w:tcW w:w="1161" w:type="pct"/>
                  <w:tcBorders>
                    <w:tl2br w:val="nil"/>
                    <w:tr2bl w:val="nil"/>
                  </w:tcBorders>
                  <w:vAlign w:val="center"/>
                </w:tcPr>
                <w:p w14:paraId="239AB4B3">
                  <w:pPr>
                    <w:widowControl/>
                    <w:jc w:val="center"/>
                    <w:textAlignment w:val="center"/>
                    <w:rPr>
                      <w:rFonts w:hint="eastAsia" w:ascii="Times New Roman" w:hAnsi="Times New Roman" w:eastAsia="宋体" w:cs="Times New Roman"/>
                      <w:bCs/>
                      <w:color w:val="auto"/>
                      <w:sz w:val="18"/>
                      <w:szCs w:val="18"/>
                      <w:highlight w:val="none"/>
                      <w:lang w:val="en-US" w:eastAsia="zh-CN"/>
                    </w:rPr>
                  </w:pPr>
                  <w:r>
                    <w:rPr>
                      <w:rFonts w:ascii="Times New Roman" w:hAnsi="Times New Roman" w:eastAsia="宋体" w:cs="Times New Roman"/>
                      <w:bCs/>
                      <w:color w:val="auto"/>
                      <w:sz w:val="18"/>
                      <w:szCs w:val="18"/>
                      <w:highlight w:val="none"/>
                    </w:rPr>
                    <w:t>1900</w:t>
                  </w:r>
                  <w:r>
                    <w:rPr>
                      <w:rFonts w:hint="eastAsia" w:ascii="Times New Roman" w:hAnsi="Times New Roman" w:eastAsia="宋体" w:cs="Times New Roman"/>
                      <w:bCs/>
                      <w:color w:val="auto"/>
                      <w:sz w:val="18"/>
                      <w:szCs w:val="18"/>
                      <w:highlight w:val="none"/>
                      <w:lang w:val="en-US" w:eastAsia="zh-CN"/>
                    </w:rPr>
                    <w:t>×</w:t>
                  </w:r>
                  <w:r>
                    <w:rPr>
                      <w:rFonts w:ascii="Times New Roman" w:hAnsi="Times New Roman" w:eastAsia="宋体" w:cs="Times New Roman"/>
                      <w:bCs/>
                      <w:color w:val="auto"/>
                      <w:sz w:val="18"/>
                      <w:szCs w:val="18"/>
                      <w:highlight w:val="none"/>
                    </w:rPr>
                    <w:t>800</w:t>
                  </w:r>
                  <w:r>
                    <w:rPr>
                      <w:rFonts w:hint="eastAsia" w:ascii="Times New Roman" w:hAnsi="Times New Roman" w:eastAsia="宋体" w:cs="Times New Roman"/>
                      <w:bCs/>
                      <w:color w:val="auto"/>
                      <w:sz w:val="18"/>
                      <w:szCs w:val="18"/>
                      <w:highlight w:val="none"/>
                      <w:lang w:val="en-US" w:eastAsia="zh-CN"/>
                    </w:rPr>
                    <w:t>×</w:t>
                  </w:r>
                  <w:r>
                    <w:rPr>
                      <w:rFonts w:ascii="Times New Roman" w:hAnsi="Times New Roman" w:eastAsia="宋体" w:cs="Times New Roman"/>
                      <w:bCs/>
                      <w:color w:val="auto"/>
                      <w:sz w:val="18"/>
                      <w:szCs w:val="18"/>
                      <w:highlight w:val="none"/>
                    </w:rPr>
                    <w:t>810mm</w:t>
                  </w:r>
                  <w:r>
                    <w:rPr>
                      <w:rFonts w:hint="eastAsia" w:ascii="Times New Roman" w:hAnsi="Times New Roman" w:eastAsia="宋体" w:cs="Times New Roman"/>
                      <w:bCs/>
                      <w:color w:val="auto"/>
                      <w:sz w:val="18"/>
                      <w:szCs w:val="18"/>
                      <w:highlight w:val="none"/>
                      <w:lang w:val="en-US" w:eastAsia="zh-CN"/>
                    </w:rPr>
                    <w:t>~</w:t>
                  </w:r>
                </w:p>
                <w:p w14:paraId="0ADF5CF4">
                  <w:pPr>
                    <w:widowControl/>
                    <w:jc w:val="center"/>
                    <w:textAlignment w:val="center"/>
                    <w:rPr>
                      <w:rFonts w:hint="eastAsia"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1940×1375×850mm</w:t>
                  </w:r>
                </w:p>
              </w:tc>
              <w:tc>
                <w:tcPr>
                  <w:tcW w:w="870" w:type="pct"/>
                  <w:tcBorders>
                    <w:tl2br w:val="nil"/>
                    <w:tr2bl w:val="nil"/>
                  </w:tcBorders>
                  <w:vAlign w:val="center"/>
                </w:tcPr>
                <w:p w14:paraId="4B59A318">
                  <w:pPr>
                    <w:widowControl/>
                    <w:jc w:val="center"/>
                    <w:textAlignment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kern w:val="0"/>
                      <w:sz w:val="18"/>
                      <w:szCs w:val="18"/>
                      <w:highlight w:val="none"/>
                    </w:rPr>
                    <w:t>5000</w:t>
                  </w:r>
                </w:p>
              </w:tc>
              <w:tc>
                <w:tcPr>
                  <w:tcW w:w="359" w:type="pct"/>
                  <w:tcBorders>
                    <w:tl2br w:val="nil"/>
                    <w:tr2bl w:val="nil"/>
                  </w:tcBorders>
                  <w:vAlign w:val="center"/>
                </w:tcPr>
                <w:p w14:paraId="46BDCE93">
                  <w:pPr>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r>
            <w:tr w14:paraId="77B189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65" w:type="pct"/>
                  <w:tcBorders>
                    <w:tl2br w:val="nil"/>
                    <w:tr2bl w:val="nil"/>
                  </w:tcBorders>
                  <w:vAlign w:val="center"/>
                </w:tcPr>
                <w:p w14:paraId="0FE3B000">
                  <w:pPr>
                    <w:widowControl/>
                    <w:jc w:val="center"/>
                    <w:textAlignment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kern w:val="0"/>
                      <w:sz w:val="18"/>
                      <w:szCs w:val="18"/>
                      <w:highlight w:val="none"/>
                    </w:rPr>
                    <w:t>2</w:t>
                  </w:r>
                </w:p>
              </w:tc>
              <w:tc>
                <w:tcPr>
                  <w:tcW w:w="971" w:type="pct"/>
                  <w:tcBorders>
                    <w:tl2br w:val="nil"/>
                    <w:tr2bl w:val="nil"/>
                  </w:tcBorders>
                  <w:vAlign w:val="center"/>
                </w:tcPr>
                <w:p w14:paraId="66D4A946">
                  <w:pPr>
                    <w:widowControl/>
                    <w:jc w:val="center"/>
                    <w:textAlignment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kern w:val="0"/>
                      <w:sz w:val="18"/>
                      <w:szCs w:val="18"/>
                      <w:highlight w:val="none"/>
                    </w:rPr>
                    <w:t>智能垃圾分类箱</w:t>
                  </w:r>
                </w:p>
              </w:tc>
              <w:tc>
                <w:tcPr>
                  <w:tcW w:w="1271" w:type="pct"/>
                  <w:tcBorders>
                    <w:tl2br w:val="nil"/>
                    <w:tr2bl w:val="nil"/>
                  </w:tcBorders>
                  <w:vAlign w:val="center"/>
                </w:tcPr>
                <w:p w14:paraId="1E56E415">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智能垃圾分类箱生产线</w:t>
                  </w:r>
                </w:p>
              </w:tc>
              <w:tc>
                <w:tcPr>
                  <w:tcW w:w="1161" w:type="pct"/>
                  <w:tcBorders>
                    <w:tl2br w:val="nil"/>
                    <w:tr2bl w:val="nil"/>
                  </w:tcBorders>
                  <w:vAlign w:val="center"/>
                </w:tcPr>
                <w:p w14:paraId="3CBCF759">
                  <w:pPr>
                    <w:widowControl/>
                    <w:jc w:val="center"/>
                    <w:textAlignment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lang w:val="en-US" w:eastAsia="zh-CN"/>
                    </w:rPr>
                    <w:t>3500×900×1850mm</w:t>
                  </w:r>
                </w:p>
              </w:tc>
              <w:tc>
                <w:tcPr>
                  <w:tcW w:w="870" w:type="pct"/>
                  <w:tcBorders>
                    <w:tl2br w:val="nil"/>
                    <w:tr2bl w:val="nil"/>
                  </w:tcBorders>
                  <w:vAlign w:val="center"/>
                </w:tcPr>
                <w:p w14:paraId="35CF91AA">
                  <w:pPr>
                    <w:widowControl/>
                    <w:jc w:val="center"/>
                    <w:textAlignment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kern w:val="0"/>
                      <w:sz w:val="18"/>
                      <w:szCs w:val="18"/>
                      <w:highlight w:val="none"/>
                    </w:rPr>
                    <w:t>5000</w:t>
                  </w:r>
                </w:p>
              </w:tc>
              <w:tc>
                <w:tcPr>
                  <w:tcW w:w="359" w:type="pct"/>
                  <w:tcBorders>
                    <w:tl2br w:val="nil"/>
                    <w:tr2bl w:val="nil"/>
                  </w:tcBorders>
                  <w:vAlign w:val="center"/>
                </w:tcPr>
                <w:p w14:paraId="75E85167">
                  <w:pPr>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r>
          </w:tbl>
          <w:p w14:paraId="758423D0">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4、主要生产设备</w:t>
            </w:r>
          </w:p>
          <w:p w14:paraId="7FF0B330">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表2-4  项目生产设备一览表</w:t>
            </w:r>
          </w:p>
          <w:tbl>
            <w:tblPr>
              <w:tblStyle w:val="18"/>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2692"/>
              <w:gridCol w:w="2389"/>
              <w:gridCol w:w="1480"/>
              <w:gridCol w:w="932"/>
            </w:tblGrid>
            <w:tr w14:paraId="7EA3E52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9" w:type="pct"/>
                  <w:tcBorders>
                    <w:tl2br w:val="nil"/>
                    <w:tr2bl w:val="nil"/>
                  </w:tcBorders>
                  <w:shd w:val="clear" w:color="auto" w:fill="auto"/>
                  <w:vAlign w:val="center"/>
                </w:tcPr>
                <w:p w14:paraId="1533883E">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序号</w:t>
                  </w:r>
                </w:p>
              </w:tc>
              <w:tc>
                <w:tcPr>
                  <w:tcW w:w="1616" w:type="pct"/>
                  <w:tcBorders>
                    <w:tl2br w:val="nil"/>
                    <w:tr2bl w:val="nil"/>
                  </w:tcBorders>
                  <w:shd w:val="clear" w:color="auto" w:fill="auto"/>
                  <w:vAlign w:val="center"/>
                </w:tcPr>
                <w:p w14:paraId="1572B19D">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设备名称</w:t>
                  </w:r>
                </w:p>
              </w:tc>
              <w:tc>
                <w:tcPr>
                  <w:tcW w:w="1434" w:type="pct"/>
                  <w:tcBorders>
                    <w:tl2br w:val="nil"/>
                    <w:tr2bl w:val="nil"/>
                  </w:tcBorders>
                  <w:shd w:val="clear" w:color="auto" w:fill="auto"/>
                  <w:vAlign w:val="center"/>
                </w:tcPr>
                <w:p w14:paraId="5DF91D73">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型号</w:t>
                  </w:r>
                </w:p>
              </w:tc>
              <w:tc>
                <w:tcPr>
                  <w:tcW w:w="888" w:type="pct"/>
                  <w:tcBorders>
                    <w:tl2br w:val="nil"/>
                    <w:tr2bl w:val="nil"/>
                  </w:tcBorders>
                  <w:shd w:val="clear" w:color="auto" w:fill="auto"/>
                  <w:vAlign w:val="center"/>
                </w:tcPr>
                <w:p w14:paraId="42256CD6">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数量（台/套）</w:t>
                  </w:r>
                </w:p>
              </w:tc>
              <w:tc>
                <w:tcPr>
                  <w:tcW w:w="560" w:type="pct"/>
                  <w:tcBorders>
                    <w:tl2br w:val="nil"/>
                    <w:tr2bl w:val="nil"/>
                  </w:tcBorders>
                  <w:shd w:val="clear" w:color="auto" w:fill="auto"/>
                  <w:vAlign w:val="center"/>
                </w:tcPr>
                <w:p w14:paraId="69A5AE87">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备注</w:t>
                  </w:r>
                </w:p>
              </w:tc>
            </w:tr>
            <w:tr w14:paraId="17D4E78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9" w:type="pct"/>
                  <w:tcBorders>
                    <w:tl2br w:val="nil"/>
                    <w:tr2bl w:val="nil"/>
                  </w:tcBorders>
                  <w:shd w:val="clear" w:color="auto" w:fill="auto"/>
                  <w:vAlign w:val="center"/>
                </w:tcPr>
                <w:p w14:paraId="5550B79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p>
              </w:tc>
              <w:tc>
                <w:tcPr>
                  <w:tcW w:w="1616" w:type="pct"/>
                  <w:tcBorders>
                    <w:tl2br w:val="nil"/>
                    <w:tr2bl w:val="nil"/>
                  </w:tcBorders>
                  <w:shd w:val="clear" w:color="auto" w:fill="auto"/>
                  <w:vAlign w:val="center"/>
                </w:tcPr>
                <w:p w14:paraId="1657EB53">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激光切割机</w:t>
                  </w:r>
                </w:p>
              </w:tc>
              <w:tc>
                <w:tcPr>
                  <w:tcW w:w="1434" w:type="pct"/>
                  <w:tcBorders>
                    <w:tl2br w:val="nil"/>
                    <w:tr2bl w:val="nil"/>
                  </w:tcBorders>
                  <w:shd w:val="clear" w:color="auto" w:fill="auto"/>
                  <w:vAlign w:val="center"/>
                </w:tcPr>
                <w:p w14:paraId="2C9C9204">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3000瓦</w:t>
                  </w:r>
                </w:p>
              </w:tc>
              <w:tc>
                <w:tcPr>
                  <w:tcW w:w="888" w:type="pct"/>
                  <w:tcBorders>
                    <w:tl2br w:val="nil"/>
                    <w:tr2bl w:val="nil"/>
                  </w:tcBorders>
                  <w:shd w:val="clear" w:color="auto" w:fill="auto"/>
                  <w:vAlign w:val="center"/>
                </w:tcPr>
                <w:p w14:paraId="5AD7FEF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w:t>
                  </w:r>
                </w:p>
              </w:tc>
              <w:tc>
                <w:tcPr>
                  <w:tcW w:w="560" w:type="pct"/>
                  <w:tcBorders>
                    <w:tl2br w:val="nil"/>
                    <w:tr2bl w:val="nil"/>
                  </w:tcBorders>
                  <w:shd w:val="clear" w:color="auto" w:fill="auto"/>
                  <w:vAlign w:val="center"/>
                </w:tcPr>
                <w:p w14:paraId="14B4B4B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r>
            <w:tr w14:paraId="620F3C1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499" w:type="pct"/>
                  <w:tcBorders>
                    <w:bottom w:val="single" w:color="auto" w:sz="4" w:space="0"/>
                    <w:tl2br w:val="nil"/>
                    <w:tr2bl w:val="nil"/>
                  </w:tcBorders>
                  <w:shd w:val="clear" w:color="auto" w:fill="auto"/>
                  <w:vAlign w:val="center"/>
                </w:tcPr>
                <w:p w14:paraId="30B8AD94">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w:t>
                  </w:r>
                </w:p>
              </w:tc>
              <w:tc>
                <w:tcPr>
                  <w:tcW w:w="1616" w:type="pct"/>
                  <w:tcBorders>
                    <w:bottom w:val="single" w:color="auto" w:sz="4" w:space="0"/>
                    <w:tl2br w:val="nil"/>
                    <w:tr2bl w:val="nil"/>
                  </w:tcBorders>
                  <w:shd w:val="clear" w:color="auto" w:fill="auto"/>
                  <w:vAlign w:val="center"/>
                </w:tcPr>
                <w:p w14:paraId="0C93D8A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数控折弯机</w:t>
                  </w:r>
                </w:p>
              </w:tc>
              <w:tc>
                <w:tcPr>
                  <w:tcW w:w="1434" w:type="pct"/>
                  <w:tcBorders>
                    <w:bottom w:val="single" w:color="auto" w:sz="4" w:space="0"/>
                    <w:tl2br w:val="nil"/>
                    <w:tr2bl w:val="nil"/>
                  </w:tcBorders>
                  <w:shd w:val="clear" w:color="auto" w:fill="auto"/>
                  <w:vAlign w:val="center"/>
                </w:tcPr>
                <w:p w14:paraId="6E1DD63B">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70T，2.5m</w:t>
                  </w:r>
                </w:p>
              </w:tc>
              <w:tc>
                <w:tcPr>
                  <w:tcW w:w="888" w:type="pct"/>
                  <w:tcBorders>
                    <w:bottom w:val="single" w:color="auto" w:sz="4" w:space="0"/>
                    <w:tl2br w:val="nil"/>
                    <w:tr2bl w:val="nil"/>
                  </w:tcBorders>
                  <w:shd w:val="clear" w:color="auto" w:fill="auto"/>
                  <w:vAlign w:val="center"/>
                </w:tcPr>
                <w:p w14:paraId="142AAC9F">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10</w:t>
                  </w:r>
                </w:p>
              </w:tc>
              <w:tc>
                <w:tcPr>
                  <w:tcW w:w="560" w:type="pct"/>
                  <w:tcBorders>
                    <w:bottom w:val="single" w:color="auto" w:sz="4" w:space="0"/>
                    <w:tl2br w:val="nil"/>
                    <w:tr2bl w:val="nil"/>
                  </w:tcBorders>
                  <w:shd w:val="clear" w:color="auto" w:fill="auto"/>
                  <w:vAlign w:val="center"/>
                </w:tcPr>
                <w:p w14:paraId="219E061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r>
            <w:tr w14:paraId="5018DE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9" w:type="pct"/>
                  <w:tcBorders>
                    <w:top w:val="single" w:color="auto" w:sz="4" w:space="0"/>
                    <w:tl2br w:val="nil"/>
                    <w:tr2bl w:val="nil"/>
                  </w:tcBorders>
                  <w:shd w:val="clear" w:color="auto" w:fill="auto"/>
                  <w:vAlign w:val="center"/>
                </w:tcPr>
                <w:p w14:paraId="49E4D7C2">
                  <w:pPr>
                    <w:widowControl/>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w:t>
                  </w:r>
                </w:p>
              </w:tc>
              <w:tc>
                <w:tcPr>
                  <w:tcW w:w="1616" w:type="pct"/>
                  <w:tcBorders>
                    <w:top w:val="single" w:color="auto" w:sz="4" w:space="0"/>
                    <w:tl2br w:val="nil"/>
                    <w:tr2bl w:val="nil"/>
                  </w:tcBorders>
                  <w:shd w:val="clear" w:color="auto" w:fill="auto"/>
                  <w:vAlign w:val="center"/>
                </w:tcPr>
                <w:p w14:paraId="0066FA2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氩弧焊机</w:t>
                  </w:r>
                </w:p>
              </w:tc>
              <w:tc>
                <w:tcPr>
                  <w:tcW w:w="1434" w:type="pct"/>
                  <w:tcBorders>
                    <w:top w:val="single" w:color="auto" w:sz="4" w:space="0"/>
                    <w:tl2br w:val="nil"/>
                    <w:tr2bl w:val="nil"/>
                  </w:tcBorders>
                  <w:shd w:val="clear" w:color="auto" w:fill="auto"/>
                  <w:vAlign w:val="center"/>
                </w:tcPr>
                <w:p w14:paraId="45CB824B">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250A</w:t>
                  </w:r>
                </w:p>
              </w:tc>
              <w:tc>
                <w:tcPr>
                  <w:tcW w:w="888" w:type="pct"/>
                  <w:tcBorders>
                    <w:top w:val="single" w:color="auto" w:sz="4" w:space="0"/>
                    <w:tl2br w:val="nil"/>
                    <w:tr2bl w:val="nil"/>
                  </w:tcBorders>
                  <w:shd w:val="clear" w:color="auto" w:fill="auto"/>
                  <w:vAlign w:val="center"/>
                </w:tcPr>
                <w:p w14:paraId="7681492C">
                  <w:pPr>
                    <w:widowControl/>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p>
              </w:tc>
              <w:tc>
                <w:tcPr>
                  <w:tcW w:w="560" w:type="pct"/>
                  <w:tcBorders>
                    <w:top w:val="single" w:color="auto" w:sz="4" w:space="0"/>
                    <w:tl2br w:val="nil"/>
                    <w:tr2bl w:val="nil"/>
                  </w:tcBorders>
                  <w:shd w:val="clear" w:color="auto" w:fill="auto"/>
                  <w:vAlign w:val="center"/>
                </w:tcPr>
                <w:p w14:paraId="04B7464D">
                  <w:pPr>
                    <w:widowControl/>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r>
            <w:tr w14:paraId="2F0875F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9" w:type="pct"/>
                  <w:tcBorders>
                    <w:tl2br w:val="nil"/>
                    <w:tr2bl w:val="nil"/>
                  </w:tcBorders>
                  <w:shd w:val="clear" w:color="auto" w:fill="auto"/>
                  <w:vAlign w:val="center"/>
                </w:tcPr>
                <w:p w14:paraId="6600451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w:t>
                  </w:r>
                </w:p>
              </w:tc>
              <w:tc>
                <w:tcPr>
                  <w:tcW w:w="1616" w:type="pct"/>
                  <w:tcBorders>
                    <w:tl2br w:val="nil"/>
                    <w:tr2bl w:val="nil"/>
                  </w:tcBorders>
                  <w:shd w:val="clear" w:color="auto" w:fill="auto"/>
                  <w:vAlign w:val="center"/>
                </w:tcPr>
                <w:p w14:paraId="55C4E92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气保焊机</w:t>
                  </w:r>
                </w:p>
              </w:tc>
              <w:tc>
                <w:tcPr>
                  <w:tcW w:w="1434" w:type="pct"/>
                  <w:tcBorders>
                    <w:tl2br w:val="nil"/>
                    <w:tr2bl w:val="nil"/>
                  </w:tcBorders>
                  <w:shd w:val="clear" w:color="auto" w:fill="auto"/>
                  <w:vAlign w:val="center"/>
                </w:tcPr>
                <w:p w14:paraId="4490056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250A</w:t>
                  </w:r>
                </w:p>
              </w:tc>
              <w:tc>
                <w:tcPr>
                  <w:tcW w:w="888" w:type="pct"/>
                  <w:tcBorders>
                    <w:tl2br w:val="nil"/>
                    <w:tr2bl w:val="nil"/>
                  </w:tcBorders>
                  <w:shd w:val="clear" w:color="auto" w:fill="auto"/>
                  <w:vAlign w:val="center"/>
                </w:tcPr>
                <w:p w14:paraId="0A60C44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10</w:t>
                  </w:r>
                </w:p>
              </w:tc>
              <w:tc>
                <w:tcPr>
                  <w:tcW w:w="560" w:type="pct"/>
                  <w:tcBorders>
                    <w:tl2br w:val="nil"/>
                    <w:tr2bl w:val="nil"/>
                  </w:tcBorders>
                  <w:shd w:val="clear" w:color="auto" w:fill="auto"/>
                  <w:vAlign w:val="center"/>
                </w:tcPr>
                <w:p w14:paraId="296CD51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r>
            <w:tr w14:paraId="51C4889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499" w:type="pct"/>
                  <w:tcBorders>
                    <w:tl2br w:val="nil"/>
                    <w:tr2bl w:val="nil"/>
                  </w:tcBorders>
                  <w:shd w:val="clear" w:color="auto" w:fill="auto"/>
                  <w:vAlign w:val="center"/>
                </w:tcPr>
                <w:p w14:paraId="232F079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w:t>
                  </w:r>
                </w:p>
              </w:tc>
              <w:tc>
                <w:tcPr>
                  <w:tcW w:w="1616" w:type="pct"/>
                  <w:tcBorders>
                    <w:tl2br w:val="nil"/>
                    <w:tr2bl w:val="nil"/>
                  </w:tcBorders>
                  <w:shd w:val="clear" w:color="auto" w:fill="auto"/>
                  <w:vAlign w:val="center"/>
                </w:tcPr>
                <w:p w14:paraId="6FF5E320">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喷塑一体设备</w:t>
                  </w:r>
                </w:p>
              </w:tc>
              <w:tc>
                <w:tcPr>
                  <w:tcW w:w="1434" w:type="pct"/>
                  <w:tcBorders>
                    <w:tl2br w:val="nil"/>
                    <w:tr2bl w:val="nil"/>
                  </w:tcBorders>
                  <w:shd w:val="clear" w:color="auto" w:fill="auto"/>
                  <w:vAlign w:val="center"/>
                </w:tcPr>
                <w:p w14:paraId="58A84B9F">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L25*W10*H</w:t>
                  </w: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m</w:t>
                  </w:r>
                </w:p>
              </w:tc>
              <w:tc>
                <w:tcPr>
                  <w:tcW w:w="888" w:type="pct"/>
                  <w:tcBorders>
                    <w:tl2br w:val="nil"/>
                    <w:tr2bl w:val="nil"/>
                  </w:tcBorders>
                  <w:shd w:val="clear" w:color="auto" w:fill="auto"/>
                  <w:vAlign w:val="center"/>
                </w:tcPr>
                <w:p w14:paraId="79A853F1">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p>
              </w:tc>
              <w:tc>
                <w:tcPr>
                  <w:tcW w:w="560" w:type="pct"/>
                  <w:tcBorders>
                    <w:tl2br w:val="nil"/>
                    <w:tr2bl w:val="nil"/>
                  </w:tcBorders>
                  <w:shd w:val="clear" w:color="auto" w:fill="auto"/>
                  <w:vAlign w:val="center"/>
                </w:tcPr>
                <w:p w14:paraId="490ADAC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r>
            <w:tr w14:paraId="770DDB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9" w:type="pct"/>
                  <w:vMerge w:val="restart"/>
                  <w:tcBorders>
                    <w:tl2br w:val="nil"/>
                    <w:tr2bl w:val="nil"/>
                  </w:tcBorders>
                  <w:shd w:val="clear" w:color="auto" w:fill="auto"/>
                  <w:vAlign w:val="center"/>
                </w:tcPr>
                <w:p w14:paraId="7FA50C8C">
                  <w:pPr>
                    <w:widowControl/>
                    <w:adjustRightInd w:val="0"/>
                    <w:snapToGrid w:val="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6</w:t>
                  </w:r>
                </w:p>
              </w:tc>
              <w:tc>
                <w:tcPr>
                  <w:tcW w:w="1616" w:type="pct"/>
                  <w:vMerge w:val="restart"/>
                  <w:tcBorders>
                    <w:tl2br w:val="nil"/>
                    <w:tr2bl w:val="nil"/>
                  </w:tcBorders>
                  <w:shd w:val="clear" w:color="auto" w:fill="auto"/>
                  <w:vAlign w:val="center"/>
                </w:tcPr>
                <w:p w14:paraId="6BF410E6">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固化一体设备</w:t>
                  </w:r>
                </w:p>
              </w:tc>
              <w:tc>
                <w:tcPr>
                  <w:tcW w:w="1434" w:type="pct"/>
                  <w:tcBorders>
                    <w:tl2br w:val="nil"/>
                    <w:tr2bl w:val="nil"/>
                  </w:tcBorders>
                  <w:shd w:val="clear" w:color="auto" w:fill="auto"/>
                  <w:vAlign w:val="center"/>
                </w:tcPr>
                <w:p w14:paraId="32F45B2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rPr>
                    <w:t>32m</w:t>
                  </w:r>
                  <w:r>
                    <w:rPr>
                      <w:rFonts w:ascii="Times New Roman" w:hAnsi="Times New Roman" w:eastAsia="宋体" w:cs="Times New Roman"/>
                      <w:color w:val="auto"/>
                      <w:sz w:val="18"/>
                      <w:szCs w:val="18"/>
                      <w:highlight w:val="none"/>
                    </w:rPr>
                    <w:t>*W</w:t>
                  </w:r>
                  <w:r>
                    <w:rPr>
                      <w:rFonts w:hint="eastAsia" w:ascii="Times New Roman" w:hAnsi="Times New Roman" w:eastAsia="宋体" w:cs="Times New Roman"/>
                      <w:color w:val="auto"/>
                      <w:sz w:val="18"/>
                      <w:szCs w:val="18"/>
                      <w:highlight w:val="none"/>
                    </w:rPr>
                    <w:t>3m</w:t>
                  </w:r>
                  <w:r>
                    <w:rPr>
                      <w:rFonts w:ascii="Times New Roman" w:hAnsi="Times New Roman" w:eastAsia="宋体" w:cs="Times New Roman"/>
                      <w:color w:val="auto"/>
                      <w:sz w:val="18"/>
                      <w:szCs w:val="18"/>
                      <w:highlight w:val="none"/>
                    </w:rPr>
                    <w:t>*H</w:t>
                  </w:r>
                  <w:r>
                    <w:rPr>
                      <w:rFonts w:hint="eastAsia" w:ascii="Times New Roman" w:hAnsi="Times New Roman" w:eastAsia="宋体" w:cs="Times New Roman"/>
                      <w:color w:val="auto"/>
                      <w:sz w:val="18"/>
                      <w:szCs w:val="18"/>
                      <w:highlight w:val="none"/>
                    </w:rPr>
                    <w:t>4</w:t>
                  </w:r>
                  <w:r>
                    <w:rPr>
                      <w:rFonts w:ascii="Times New Roman" w:hAnsi="Times New Roman" w:eastAsia="宋体" w:cs="Times New Roman"/>
                      <w:color w:val="auto"/>
                      <w:sz w:val="18"/>
                      <w:szCs w:val="18"/>
                      <w:highlight w:val="none"/>
                    </w:rPr>
                    <w:t>m</w:t>
                  </w:r>
                </w:p>
              </w:tc>
              <w:tc>
                <w:tcPr>
                  <w:tcW w:w="888" w:type="pct"/>
                  <w:tcBorders>
                    <w:tl2br w:val="nil"/>
                    <w:tr2bl w:val="nil"/>
                  </w:tcBorders>
                  <w:shd w:val="clear" w:color="auto" w:fill="auto"/>
                  <w:vAlign w:val="center"/>
                </w:tcPr>
                <w:p w14:paraId="47EF126D">
                  <w:pPr>
                    <w:widowControl/>
                    <w:adjustRightInd w:val="0"/>
                    <w:snapToGrid w:val="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1</w:t>
                  </w:r>
                </w:p>
              </w:tc>
              <w:tc>
                <w:tcPr>
                  <w:tcW w:w="560" w:type="pct"/>
                  <w:vMerge w:val="restart"/>
                  <w:tcBorders>
                    <w:tl2br w:val="nil"/>
                    <w:tr2bl w:val="nil"/>
                  </w:tcBorders>
                  <w:shd w:val="clear" w:color="auto" w:fill="auto"/>
                  <w:vAlign w:val="center"/>
                </w:tcPr>
                <w:p w14:paraId="500836CD">
                  <w:pPr>
                    <w:widowControl/>
                    <w:adjustRightInd w:val="0"/>
                    <w:snapToGrid w:val="0"/>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w:t>
                  </w:r>
                </w:p>
              </w:tc>
            </w:tr>
            <w:tr w14:paraId="6E47270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499" w:type="pct"/>
                  <w:vMerge w:val="continue"/>
                  <w:tcBorders>
                    <w:tl2br w:val="nil"/>
                    <w:tr2bl w:val="nil"/>
                  </w:tcBorders>
                  <w:shd w:val="clear" w:color="auto" w:fill="auto"/>
                  <w:vAlign w:val="center"/>
                </w:tcPr>
                <w:p w14:paraId="6F5F17B5">
                  <w:pPr>
                    <w:widowControl/>
                    <w:adjustRightInd w:val="0"/>
                    <w:snapToGrid w:val="0"/>
                    <w:jc w:val="center"/>
                    <w:textAlignment w:val="center"/>
                    <w:rPr>
                      <w:color w:val="auto"/>
                      <w:highlight w:val="none"/>
                    </w:rPr>
                  </w:pPr>
                </w:p>
              </w:tc>
              <w:tc>
                <w:tcPr>
                  <w:tcW w:w="1616" w:type="pct"/>
                  <w:vMerge w:val="continue"/>
                  <w:tcBorders>
                    <w:tl2br w:val="nil"/>
                    <w:tr2bl w:val="nil"/>
                  </w:tcBorders>
                  <w:shd w:val="clear" w:color="auto" w:fill="auto"/>
                  <w:vAlign w:val="center"/>
                </w:tcPr>
                <w:p w14:paraId="155A2D7E">
                  <w:pPr>
                    <w:widowControl/>
                    <w:adjustRightInd w:val="0"/>
                    <w:snapToGrid w:val="0"/>
                    <w:jc w:val="center"/>
                    <w:textAlignment w:val="center"/>
                    <w:rPr>
                      <w:color w:val="auto"/>
                      <w:highlight w:val="none"/>
                    </w:rPr>
                  </w:pPr>
                </w:p>
              </w:tc>
              <w:tc>
                <w:tcPr>
                  <w:tcW w:w="1434" w:type="pct"/>
                  <w:tcBorders>
                    <w:tl2br w:val="nil"/>
                    <w:tr2bl w:val="nil"/>
                  </w:tcBorders>
                  <w:shd w:val="clear" w:color="auto" w:fill="auto"/>
                  <w:vAlign w:val="center"/>
                </w:tcPr>
                <w:p w14:paraId="62D62997">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L</w:t>
                  </w:r>
                  <w:r>
                    <w:rPr>
                      <w:rFonts w:hint="eastAsia" w:ascii="Times New Roman" w:hAnsi="Times New Roman" w:eastAsia="宋体" w:cs="Times New Roman"/>
                      <w:color w:val="auto"/>
                      <w:sz w:val="18"/>
                      <w:szCs w:val="18"/>
                      <w:highlight w:val="none"/>
                    </w:rPr>
                    <w:t>6m</w:t>
                  </w:r>
                  <w:r>
                    <w:rPr>
                      <w:rFonts w:ascii="Times New Roman" w:hAnsi="Times New Roman" w:eastAsia="宋体" w:cs="Times New Roman"/>
                      <w:color w:val="auto"/>
                      <w:sz w:val="18"/>
                      <w:szCs w:val="18"/>
                      <w:highlight w:val="none"/>
                    </w:rPr>
                    <w:t>*W</w:t>
                  </w:r>
                  <w:r>
                    <w:rPr>
                      <w:rFonts w:hint="eastAsia" w:ascii="Times New Roman" w:hAnsi="Times New Roman" w:eastAsia="宋体" w:cs="Times New Roman"/>
                      <w:color w:val="auto"/>
                      <w:sz w:val="18"/>
                      <w:szCs w:val="18"/>
                      <w:highlight w:val="none"/>
                    </w:rPr>
                    <w:t>2.5m</w:t>
                  </w:r>
                  <w:r>
                    <w:rPr>
                      <w:rFonts w:ascii="Times New Roman" w:hAnsi="Times New Roman" w:eastAsia="宋体" w:cs="Times New Roman"/>
                      <w:color w:val="auto"/>
                      <w:sz w:val="18"/>
                      <w:szCs w:val="18"/>
                      <w:highlight w:val="none"/>
                    </w:rPr>
                    <w:t>*H</w:t>
                  </w:r>
                  <w:r>
                    <w:rPr>
                      <w:rFonts w:hint="eastAsia" w:ascii="Times New Roman" w:hAnsi="Times New Roman" w:eastAsia="宋体" w:cs="Times New Roman"/>
                      <w:color w:val="auto"/>
                      <w:sz w:val="18"/>
                      <w:szCs w:val="18"/>
                      <w:highlight w:val="none"/>
                    </w:rPr>
                    <w:t>3</w:t>
                  </w:r>
                  <w:r>
                    <w:rPr>
                      <w:rFonts w:ascii="Times New Roman" w:hAnsi="Times New Roman" w:eastAsia="宋体" w:cs="Times New Roman"/>
                      <w:color w:val="auto"/>
                      <w:sz w:val="18"/>
                      <w:szCs w:val="18"/>
                      <w:highlight w:val="none"/>
                    </w:rPr>
                    <w:t>m</w:t>
                  </w:r>
                </w:p>
              </w:tc>
              <w:tc>
                <w:tcPr>
                  <w:tcW w:w="888" w:type="pct"/>
                  <w:tcBorders>
                    <w:tl2br w:val="nil"/>
                    <w:tr2bl w:val="nil"/>
                  </w:tcBorders>
                  <w:shd w:val="clear" w:color="auto" w:fill="auto"/>
                  <w:vAlign w:val="center"/>
                </w:tcPr>
                <w:p w14:paraId="2ACCD913">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w:t>
                  </w:r>
                </w:p>
              </w:tc>
              <w:tc>
                <w:tcPr>
                  <w:tcW w:w="560" w:type="pct"/>
                  <w:vMerge w:val="continue"/>
                  <w:tcBorders>
                    <w:tl2br w:val="nil"/>
                    <w:tr2bl w:val="nil"/>
                  </w:tcBorders>
                  <w:shd w:val="clear" w:color="auto" w:fill="auto"/>
                  <w:vAlign w:val="center"/>
                </w:tcPr>
                <w:p w14:paraId="30851BF6">
                  <w:pPr>
                    <w:widowControl/>
                    <w:adjustRightInd w:val="0"/>
                    <w:snapToGrid w:val="0"/>
                    <w:jc w:val="center"/>
                    <w:textAlignment w:val="center"/>
                    <w:rPr>
                      <w:rFonts w:ascii="Times New Roman" w:hAnsi="Times New Roman" w:eastAsia="宋体" w:cs="Times New Roman"/>
                      <w:color w:val="auto"/>
                      <w:sz w:val="18"/>
                      <w:szCs w:val="18"/>
                      <w:highlight w:val="none"/>
                    </w:rPr>
                  </w:pPr>
                </w:p>
              </w:tc>
            </w:tr>
          </w:tbl>
          <w:p w14:paraId="14AE563F">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5、主要原辅材料</w:t>
            </w:r>
          </w:p>
          <w:p w14:paraId="789A37D5">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表2-5 项目原辅材料及能源消耗一览表</w:t>
            </w:r>
          </w:p>
          <w:tbl>
            <w:tblPr>
              <w:tblStyle w:val="19"/>
              <w:tblW w:w="832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62"/>
              <w:gridCol w:w="925"/>
              <w:gridCol w:w="925"/>
              <w:gridCol w:w="925"/>
              <w:gridCol w:w="925"/>
              <w:gridCol w:w="926"/>
              <w:gridCol w:w="926"/>
              <w:gridCol w:w="926"/>
            </w:tblGrid>
            <w:tr w14:paraId="6952A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88" w:type="dxa"/>
                  <w:tcBorders>
                    <w:top w:val="single" w:color="auto" w:sz="8" w:space="0"/>
                    <w:left w:val="nil"/>
                  </w:tcBorders>
                  <w:vAlign w:val="center"/>
                </w:tcPr>
                <w:p w14:paraId="02015382">
                  <w:pPr>
                    <w:pStyle w:val="87"/>
                    <w:snapToGrid w:val="0"/>
                    <w:spacing w:line="240" w:lineRule="auto"/>
                    <w:rPr>
                      <w:rFonts w:ascii="Times New Roman" w:hAnsi="Times New Roman" w:cs="Times New Roman"/>
                      <w:b/>
                      <w:bCs/>
                      <w:color w:val="auto"/>
                      <w:sz w:val="18"/>
                      <w:szCs w:val="18"/>
                      <w:highlight w:val="none"/>
                    </w:rPr>
                  </w:pPr>
                  <w:r>
                    <w:rPr>
                      <w:rFonts w:ascii="Times New Roman" w:hAnsi="Times New Roman" w:cs="Times New Roman"/>
                      <w:b/>
                      <w:bCs/>
                      <w:color w:val="auto"/>
                      <w:sz w:val="18"/>
                      <w:szCs w:val="18"/>
                      <w:highlight w:val="none"/>
                    </w:rPr>
                    <w:t>序号</w:t>
                  </w:r>
                </w:p>
              </w:tc>
              <w:tc>
                <w:tcPr>
                  <w:tcW w:w="1162" w:type="dxa"/>
                  <w:tcBorders>
                    <w:top w:val="single" w:color="auto" w:sz="8" w:space="0"/>
                  </w:tcBorders>
                  <w:vAlign w:val="center"/>
                </w:tcPr>
                <w:p w14:paraId="3C1B9876">
                  <w:pPr>
                    <w:pStyle w:val="87"/>
                    <w:snapToGrid w:val="0"/>
                    <w:spacing w:line="240" w:lineRule="auto"/>
                    <w:rPr>
                      <w:rFonts w:ascii="Times New Roman" w:hAnsi="Times New Roman" w:cs="Times New Roman"/>
                      <w:b/>
                      <w:bCs/>
                      <w:color w:val="auto"/>
                      <w:sz w:val="18"/>
                      <w:szCs w:val="18"/>
                      <w:highlight w:val="none"/>
                    </w:rPr>
                  </w:pPr>
                  <w:r>
                    <w:rPr>
                      <w:rFonts w:ascii="Times New Roman" w:hAnsi="Times New Roman" w:cs="Times New Roman"/>
                      <w:b/>
                      <w:bCs/>
                      <w:color w:val="auto"/>
                      <w:sz w:val="18"/>
                      <w:szCs w:val="18"/>
                      <w:highlight w:val="none"/>
                    </w:rPr>
                    <w:t>名称</w:t>
                  </w:r>
                </w:p>
              </w:tc>
              <w:tc>
                <w:tcPr>
                  <w:tcW w:w="925" w:type="dxa"/>
                  <w:tcBorders>
                    <w:top w:val="single" w:color="auto" w:sz="8" w:space="0"/>
                  </w:tcBorders>
                  <w:vAlign w:val="center"/>
                </w:tcPr>
                <w:p w14:paraId="05143F71">
                  <w:pPr>
                    <w:adjustRightInd w:val="0"/>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规格</w:t>
                  </w:r>
                </w:p>
              </w:tc>
              <w:tc>
                <w:tcPr>
                  <w:tcW w:w="925" w:type="dxa"/>
                  <w:tcBorders>
                    <w:top w:val="single" w:color="auto" w:sz="8" w:space="0"/>
                  </w:tcBorders>
                  <w:vAlign w:val="center"/>
                </w:tcPr>
                <w:p w14:paraId="26E6823D">
                  <w:pPr>
                    <w:adjustRightInd w:val="0"/>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单位</w:t>
                  </w:r>
                </w:p>
              </w:tc>
              <w:tc>
                <w:tcPr>
                  <w:tcW w:w="925" w:type="dxa"/>
                  <w:tcBorders>
                    <w:top w:val="single" w:color="auto" w:sz="8" w:space="0"/>
                  </w:tcBorders>
                  <w:vAlign w:val="center"/>
                </w:tcPr>
                <w:p w14:paraId="75250922">
                  <w:pPr>
                    <w:adjustRightInd w:val="0"/>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消耗量</w:t>
                  </w:r>
                </w:p>
              </w:tc>
              <w:tc>
                <w:tcPr>
                  <w:tcW w:w="925" w:type="dxa"/>
                  <w:tcBorders>
                    <w:top w:val="single" w:color="auto" w:sz="8" w:space="0"/>
                  </w:tcBorders>
                  <w:vAlign w:val="center"/>
                </w:tcPr>
                <w:p w14:paraId="6235B4CF">
                  <w:pPr>
                    <w:pStyle w:val="87"/>
                    <w:snapToGrid w:val="0"/>
                    <w:spacing w:line="240" w:lineRule="auto"/>
                    <w:rPr>
                      <w:rFonts w:ascii="Times New Roman" w:hAnsi="Times New Roman" w:cs="Times New Roman"/>
                      <w:b/>
                      <w:bCs/>
                      <w:color w:val="auto"/>
                      <w:sz w:val="18"/>
                      <w:szCs w:val="18"/>
                      <w:highlight w:val="none"/>
                    </w:rPr>
                  </w:pPr>
                  <w:r>
                    <w:rPr>
                      <w:rFonts w:ascii="Times New Roman" w:hAnsi="Times New Roman" w:cs="Times New Roman"/>
                      <w:b/>
                      <w:bCs/>
                      <w:color w:val="auto"/>
                      <w:sz w:val="18"/>
                      <w:szCs w:val="18"/>
                      <w:highlight w:val="none"/>
                    </w:rPr>
                    <w:t>性状</w:t>
                  </w:r>
                </w:p>
              </w:tc>
              <w:tc>
                <w:tcPr>
                  <w:tcW w:w="926" w:type="dxa"/>
                  <w:tcBorders>
                    <w:top w:val="single" w:color="auto" w:sz="8" w:space="0"/>
                  </w:tcBorders>
                  <w:vAlign w:val="center"/>
                </w:tcPr>
                <w:p w14:paraId="5319D84A">
                  <w:pPr>
                    <w:pStyle w:val="87"/>
                    <w:snapToGrid w:val="0"/>
                    <w:spacing w:line="240" w:lineRule="auto"/>
                    <w:rPr>
                      <w:rFonts w:ascii="Times New Roman" w:hAnsi="Times New Roman" w:cs="Times New Roman"/>
                      <w:b/>
                      <w:bCs/>
                      <w:color w:val="auto"/>
                      <w:sz w:val="18"/>
                      <w:szCs w:val="18"/>
                      <w:highlight w:val="none"/>
                    </w:rPr>
                  </w:pPr>
                  <w:r>
                    <w:rPr>
                      <w:rFonts w:ascii="Times New Roman" w:hAnsi="Times New Roman" w:cs="Times New Roman"/>
                      <w:b/>
                      <w:bCs/>
                      <w:color w:val="auto"/>
                      <w:sz w:val="18"/>
                      <w:szCs w:val="18"/>
                      <w:highlight w:val="none"/>
                    </w:rPr>
                    <w:t>最大储量</w:t>
                  </w:r>
                </w:p>
              </w:tc>
              <w:tc>
                <w:tcPr>
                  <w:tcW w:w="926" w:type="dxa"/>
                  <w:tcBorders>
                    <w:top w:val="single" w:color="auto" w:sz="8" w:space="0"/>
                  </w:tcBorders>
                  <w:vAlign w:val="center"/>
                </w:tcPr>
                <w:p w14:paraId="1F8B74E5">
                  <w:pPr>
                    <w:pStyle w:val="87"/>
                    <w:snapToGrid w:val="0"/>
                    <w:spacing w:line="240" w:lineRule="auto"/>
                    <w:rPr>
                      <w:rFonts w:ascii="Times New Roman" w:hAnsi="Times New Roman" w:cs="Times New Roman"/>
                      <w:b/>
                      <w:bCs/>
                      <w:color w:val="auto"/>
                      <w:sz w:val="18"/>
                      <w:szCs w:val="18"/>
                      <w:highlight w:val="none"/>
                    </w:rPr>
                  </w:pPr>
                  <w:r>
                    <w:rPr>
                      <w:rFonts w:ascii="Times New Roman" w:hAnsi="Times New Roman" w:cs="Times New Roman"/>
                      <w:b/>
                      <w:bCs/>
                      <w:color w:val="auto"/>
                      <w:sz w:val="18"/>
                      <w:szCs w:val="18"/>
                      <w:highlight w:val="none"/>
                    </w:rPr>
                    <w:t>存储周期</w:t>
                  </w:r>
                </w:p>
              </w:tc>
              <w:tc>
                <w:tcPr>
                  <w:tcW w:w="926" w:type="dxa"/>
                  <w:tcBorders>
                    <w:top w:val="single" w:color="auto" w:sz="8" w:space="0"/>
                    <w:right w:val="nil"/>
                  </w:tcBorders>
                  <w:vAlign w:val="center"/>
                </w:tcPr>
                <w:p w14:paraId="614BC008">
                  <w:pPr>
                    <w:pStyle w:val="87"/>
                    <w:snapToGrid w:val="0"/>
                    <w:spacing w:line="240" w:lineRule="auto"/>
                    <w:rPr>
                      <w:rFonts w:ascii="Times New Roman" w:hAnsi="Times New Roman" w:cs="Times New Roman"/>
                      <w:b/>
                      <w:bCs/>
                      <w:color w:val="auto"/>
                      <w:sz w:val="18"/>
                      <w:szCs w:val="18"/>
                      <w:highlight w:val="none"/>
                    </w:rPr>
                  </w:pPr>
                  <w:r>
                    <w:rPr>
                      <w:rFonts w:ascii="Times New Roman" w:hAnsi="Times New Roman" w:cs="Times New Roman"/>
                      <w:b/>
                      <w:bCs/>
                      <w:color w:val="auto"/>
                      <w:sz w:val="18"/>
                      <w:szCs w:val="18"/>
                      <w:highlight w:val="none"/>
                    </w:rPr>
                    <w:t>存储位置</w:t>
                  </w:r>
                </w:p>
              </w:tc>
            </w:tr>
            <w:tr w14:paraId="39677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8" w:type="dxa"/>
                  <w:gridSpan w:val="9"/>
                  <w:tcBorders>
                    <w:left w:val="nil"/>
                    <w:right w:val="nil"/>
                  </w:tcBorders>
                  <w:vAlign w:val="center"/>
                </w:tcPr>
                <w:p w14:paraId="0A05DD7D">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自动售货机及智能垃圾分类箱生产线</w:t>
                  </w:r>
                </w:p>
              </w:tc>
            </w:tr>
            <w:tr w14:paraId="396AD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32B9FF54">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w:t>
                  </w:r>
                </w:p>
              </w:tc>
              <w:tc>
                <w:tcPr>
                  <w:tcW w:w="1162" w:type="dxa"/>
                  <w:vAlign w:val="center"/>
                </w:tcPr>
                <w:p w14:paraId="695B1D0B">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lang w:val="en-US" w:eastAsia="zh-CN"/>
                    </w:rPr>
                    <w:t>冷轧</w:t>
                  </w:r>
                  <w:r>
                    <w:rPr>
                      <w:rFonts w:ascii="Times New Roman" w:hAnsi="Times New Roman" w:eastAsia="宋体" w:cs="Times New Roman"/>
                      <w:color w:val="auto"/>
                      <w:sz w:val="18"/>
                      <w:szCs w:val="18"/>
                      <w:highlight w:val="none"/>
                    </w:rPr>
                    <w:t>钢板</w:t>
                  </w:r>
                </w:p>
              </w:tc>
              <w:tc>
                <w:tcPr>
                  <w:tcW w:w="925" w:type="dxa"/>
                  <w:vAlign w:val="center"/>
                </w:tcPr>
                <w:p w14:paraId="3FCCEEDB">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p>
              </w:tc>
              <w:tc>
                <w:tcPr>
                  <w:tcW w:w="925" w:type="dxa"/>
                  <w:vAlign w:val="center"/>
                </w:tcPr>
                <w:p w14:paraId="759E7F5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t/a</w:t>
                  </w:r>
                </w:p>
              </w:tc>
              <w:tc>
                <w:tcPr>
                  <w:tcW w:w="925" w:type="dxa"/>
                  <w:vAlign w:val="center"/>
                </w:tcPr>
                <w:p w14:paraId="7BA3C5A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1000</w:t>
                  </w:r>
                </w:p>
              </w:tc>
              <w:tc>
                <w:tcPr>
                  <w:tcW w:w="925" w:type="dxa"/>
                  <w:vAlign w:val="center"/>
                </w:tcPr>
                <w:p w14:paraId="6A608B7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固体</w:t>
                  </w:r>
                </w:p>
              </w:tc>
              <w:tc>
                <w:tcPr>
                  <w:tcW w:w="926" w:type="dxa"/>
                  <w:vAlign w:val="center"/>
                </w:tcPr>
                <w:p w14:paraId="573C39DF">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40</w:t>
                  </w:r>
                  <w:r>
                    <w:rPr>
                      <w:rFonts w:hint="eastAsia" w:ascii="Times New Roman" w:hAnsi="Times New Roman" w:eastAsia="宋体" w:cs="Times New Roman"/>
                      <w:color w:val="auto"/>
                      <w:sz w:val="18"/>
                      <w:szCs w:val="18"/>
                      <w:highlight w:val="none"/>
                    </w:rPr>
                    <w:t>t</w:t>
                  </w:r>
                </w:p>
              </w:tc>
              <w:tc>
                <w:tcPr>
                  <w:tcW w:w="926" w:type="dxa"/>
                  <w:vAlign w:val="center"/>
                </w:tcPr>
                <w:p w14:paraId="3BD52889">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半</w:t>
                  </w:r>
                  <w:r>
                    <w:rPr>
                      <w:rFonts w:ascii="Times New Roman" w:hAnsi="Times New Roman" w:eastAsia="宋体" w:cs="Times New Roman"/>
                      <w:color w:val="auto"/>
                      <w:sz w:val="18"/>
                      <w:szCs w:val="18"/>
                      <w:highlight w:val="none"/>
                    </w:rPr>
                    <w:t>个月</w:t>
                  </w:r>
                </w:p>
              </w:tc>
              <w:tc>
                <w:tcPr>
                  <w:tcW w:w="926" w:type="dxa"/>
                  <w:tcBorders>
                    <w:right w:val="nil"/>
                  </w:tcBorders>
                  <w:vAlign w:val="center"/>
                </w:tcPr>
                <w:p w14:paraId="4032AE3E">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原料区</w:t>
                  </w:r>
                </w:p>
              </w:tc>
            </w:tr>
            <w:tr w14:paraId="7448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598AE56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w:t>
                  </w:r>
                </w:p>
              </w:tc>
              <w:tc>
                <w:tcPr>
                  <w:tcW w:w="1162" w:type="dxa"/>
                  <w:vAlign w:val="center"/>
                </w:tcPr>
                <w:p w14:paraId="767BD9E5">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无铅</w:t>
                  </w:r>
                  <w:r>
                    <w:rPr>
                      <w:rFonts w:ascii="Times New Roman" w:hAnsi="Times New Roman" w:eastAsia="宋体" w:cs="Times New Roman"/>
                      <w:color w:val="auto"/>
                      <w:sz w:val="18"/>
                      <w:szCs w:val="18"/>
                      <w:highlight w:val="none"/>
                    </w:rPr>
                    <w:t>焊丝</w:t>
                  </w:r>
                </w:p>
              </w:tc>
              <w:tc>
                <w:tcPr>
                  <w:tcW w:w="925" w:type="dxa"/>
                  <w:vAlign w:val="center"/>
                </w:tcPr>
                <w:p w14:paraId="5B9F7B4F">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15kg/盘</w:t>
                  </w:r>
                </w:p>
              </w:tc>
              <w:tc>
                <w:tcPr>
                  <w:tcW w:w="925" w:type="dxa"/>
                  <w:vAlign w:val="center"/>
                </w:tcPr>
                <w:p w14:paraId="4AA30CEE">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t/a</w:t>
                  </w:r>
                </w:p>
              </w:tc>
              <w:tc>
                <w:tcPr>
                  <w:tcW w:w="925" w:type="dxa"/>
                  <w:vAlign w:val="center"/>
                </w:tcPr>
                <w:p w14:paraId="08267A6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w:t>
                  </w:r>
                </w:p>
              </w:tc>
              <w:tc>
                <w:tcPr>
                  <w:tcW w:w="925" w:type="dxa"/>
                  <w:vAlign w:val="center"/>
                </w:tcPr>
                <w:p w14:paraId="2A3A6E13">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固体</w:t>
                  </w:r>
                </w:p>
              </w:tc>
              <w:tc>
                <w:tcPr>
                  <w:tcW w:w="926" w:type="dxa"/>
                  <w:vAlign w:val="center"/>
                </w:tcPr>
                <w:p w14:paraId="609D1362">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0.1</w:t>
                  </w:r>
                  <w:r>
                    <w:rPr>
                      <w:rFonts w:hint="eastAsia" w:ascii="Times New Roman" w:hAnsi="Times New Roman" w:eastAsia="宋体" w:cs="Times New Roman"/>
                      <w:color w:val="auto"/>
                      <w:sz w:val="18"/>
                      <w:szCs w:val="18"/>
                      <w:highlight w:val="none"/>
                    </w:rPr>
                    <w:t>t</w:t>
                  </w:r>
                </w:p>
              </w:tc>
              <w:tc>
                <w:tcPr>
                  <w:tcW w:w="926" w:type="dxa"/>
                  <w:vAlign w:val="center"/>
                </w:tcPr>
                <w:p w14:paraId="107D6B6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1个月</w:t>
                  </w:r>
                </w:p>
              </w:tc>
              <w:tc>
                <w:tcPr>
                  <w:tcW w:w="926" w:type="dxa"/>
                  <w:tcBorders>
                    <w:right w:val="nil"/>
                  </w:tcBorders>
                  <w:vAlign w:val="center"/>
                </w:tcPr>
                <w:p w14:paraId="221D0293">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原料区</w:t>
                  </w:r>
                </w:p>
              </w:tc>
            </w:tr>
            <w:tr w14:paraId="2498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706E053B">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w:t>
                  </w:r>
                </w:p>
              </w:tc>
              <w:tc>
                <w:tcPr>
                  <w:tcW w:w="1162" w:type="dxa"/>
                  <w:vAlign w:val="center"/>
                </w:tcPr>
                <w:p w14:paraId="5E7B33F3">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塑粉</w:t>
                  </w:r>
                </w:p>
              </w:tc>
              <w:tc>
                <w:tcPr>
                  <w:tcW w:w="925" w:type="dxa"/>
                  <w:vAlign w:val="center"/>
                </w:tcPr>
                <w:p w14:paraId="436D9CFB">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20kg/箱</w:t>
                  </w:r>
                </w:p>
              </w:tc>
              <w:tc>
                <w:tcPr>
                  <w:tcW w:w="925" w:type="dxa"/>
                  <w:vAlign w:val="center"/>
                </w:tcPr>
                <w:p w14:paraId="7204423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t/a</w:t>
                  </w:r>
                </w:p>
              </w:tc>
              <w:tc>
                <w:tcPr>
                  <w:tcW w:w="925" w:type="dxa"/>
                  <w:vAlign w:val="center"/>
                </w:tcPr>
                <w:p w14:paraId="2760BCA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w:t>
                  </w:r>
                </w:p>
              </w:tc>
              <w:tc>
                <w:tcPr>
                  <w:tcW w:w="925" w:type="dxa"/>
                  <w:vAlign w:val="center"/>
                </w:tcPr>
                <w:p w14:paraId="1F19FEE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固体</w:t>
                  </w:r>
                </w:p>
              </w:tc>
              <w:tc>
                <w:tcPr>
                  <w:tcW w:w="926" w:type="dxa"/>
                  <w:vAlign w:val="center"/>
                </w:tcPr>
                <w:p w14:paraId="1577F26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r>
                    <w:rPr>
                      <w:rFonts w:hint="eastAsia" w:ascii="Times New Roman" w:hAnsi="Times New Roman" w:eastAsia="宋体" w:cs="Times New Roman"/>
                      <w:color w:val="auto"/>
                      <w:sz w:val="18"/>
                      <w:szCs w:val="18"/>
                      <w:highlight w:val="none"/>
                    </w:rPr>
                    <w:t>t</w:t>
                  </w:r>
                </w:p>
              </w:tc>
              <w:tc>
                <w:tcPr>
                  <w:tcW w:w="926" w:type="dxa"/>
                  <w:vAlign w:val="center"/>
                </w:tcPr>
                <w:p w14:paraId="7CF1B97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1个月</w:t>
                  </w:r>
                </w:p>
              </w:tc>
              <w:tc>
                <w:tcPr>
                  <w:tcW w:w="926" w:type="dxa"/>
                  <w:tcBorders>
                    <w:right w:val="nil"/>
                  </w:tcBorders>
                  <w:vAlign w:val="center"/>
                </w:tcPr>
                <w:p w14:paraId="0FFA4B0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原料区</w:t>
                  </w:r>
                </w:p>
              </w:tc>
            </w:tr>
            <w:tr w14:paraId="2E02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75C25FD0">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4</w:t>
                  </w:r>
                </w:p>
              </w:tc>
              <w:tc>
                <w:tcPr>
                  <w:tcW w:w="1162" w:type="dxa"/>
                  <w:vAlign w:val="center"/>
                </w:tcPr>
                <w:p w14:paraId="7BECBB0F">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二氧化碳</w:t>
                  </w:r>
                </w:p>
              </w:tc>
              <w:tc>
                <w:tcPr>
                  <w:tcW w:w="925" w:type="dxa"/>
                  <w:vAlign w:val="center"/>
                </w:tcPr>
                <w:p w14:paraId="7325BAFE">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11kg/瓶</w:t>
                  </w:r>
                </w:p>
              </w:tc>
              <w:tc>
                <w:tcPr>
                  <w:tcW w:w="925" w:type="dxa"/>
                  <w:vAlign w:val="center"/>
                </w:tcPr>
                <w:p w14:paraId="5D4FAAC1">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瓶</w:t>
                  </w:r>
                </w:p>
              </w:tc>
              <w:tc>
                <w:tcPr>
                  <w:tcW w:w="925" w:type="dxa"/>
                  <w:vAlign w:val="center"/>
                </w:tcPr>
                <w:p w14:paraId="46A1D2E5">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100</w:t>
                  </w:r>
                </w:p>
              </w:tc>
              <w:tc>
                <w:tcPr>
                  <w:tcW w:w="925" w:type="dxa"/>
                  <w:vAlign w:val="center"/>
                </w:tcPr>
                <w:p w14:paraId="573FD0C9">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气态</w:t>
                  </w:r>
                </w:p>
              </w:tc>
              <w:tc>
                <w:tcPr>
                  <w:tcW w:w="926" w:type="dxa"/>
                  <w:vAlign w:val="center"/>
                </w:tcPr>
                <w:p w14:paraId="3A9E0D35">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0.11t</w:t>
                  </w:r>
                </w:p>
              </w:tc>
              <w:tc>
                <w:tcPr>
                  <w:tcW w:w="926" w:type="dxa"/>
                  <w:vAlign w:val="center"/>
                </w:tcPr>
                <w:p w14:paraId="145CAEF6">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1个月</w:t>
                  </w:r>
                </w:p>
              </w:tc>
              <w:tc>
                <w:tcPr>
                  <w:tcW w:w="926" w:type="dxa"/>
                  <w:tcBorders>
                    <w:right w:val="nil"/>
                  </w:tcBorders>
                  <w:vAlign w:val="center"/>
                </w:tcPr>
                <w:p w14:paraId="35CA7FC2">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原料区</w:t>
                  </w:r>
                </w:p>
              </w:tc>
            </w:tr>
            <w:tr w14:paraId="2D91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340DD771">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p>
              </w:tc>
              <w:tc>
                <w:tcPr>
                  <w:tcW w:w="1162" w:type="dxa"/>
                  <w:vAlign w:val="center"/>
                </w:tcPr>
                <w:p w14:paraId="1F351C69">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砂纸</w:t>
                  </w:r>
                </w:p>
              </w:tc>
              <w:tc>
                <w:tcPr>
                  <w:tcW w:w="925" w:type="dxa"/>
                  <w:vAlign w:val="center"/>
                </w:tcPr>
                <w:p w14:paraId="04614D87">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925" w:type="dxa"/>
                  <w:vAlign w:val="center"/>
                </w:tcPr>
                <w:p w14:paraId="5E061394">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张</w:t>
                  </w:r>
                </w:p>
              </w:tc>
              <w:tc>
                <w:tcPr>
                  <w:tcW w:w="925" w:type="dxa"/>
                  <w:vAlign w:val="center"/>
                </w:tcPr>
                <w:p w14:paraId="184E0FD8">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5000</w:t>
                  </w:r>
                </w:p>
              </w:tc>
              <w:tc>
                <w:tcPr>
                  <w:tcW w:w="925" w:type="dxa"/>
                  <w:vAlign w:val="center"/>
                </w:tcPr>
                <w:p w14:paraId="7E3CC878">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固体</w:t>
                  </w:r>
                </w:p>
              </w:tc>
              <w:tc>
                <w:tcPr>
                  <w:tcW w:w="926" w:type="dxa"/>
                  <w:vAlign w:val="center"/>
                </w:tcPr>
                <w:p w14:paraId="2DDDA2FD">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0.01t</w:t>
                  </w:r>
                </w:p>
              </w:tc>
              <w:tc>
                <w:tcPr>
                  <w:tcW w:w="926" w:type="dxa"/>
                  <w:vAlign w:val="center"/>
                </w:tcPr>
                <w:p w14:paraId="02FE78D0">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3个月</w:t>
                  </w:r>
                </w:p>
              </w:tc>
              <w:tc>
                <w:tcPr>
                  <w:tcW w:w="926" w:type="dxa"/>
                  <w:tcBorders>
                    <w:right w:val="nil"/>
                  </w:tcBorders>
                  <w:vAlign w:val="center"/>
                </w:tcPr>
                <w:p w14:paraId="4CFC090C">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仓库</w:t>
                  </w:r>
                </w:p>
              </w:tc>
            </w:tr>
            <w:tr w14:paraId="6711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4DC29E80">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w:t>
                  </w:r>
                </w:p>
              </w:tc>
              <w:tc>
                <w:tcPr>
                  <w:tcW w:w="1162" w:type="dxa"/>
                  <w:vAlign w:val="center"/>
                </w:tcPr>
                <w:p w14:paraId="76526196">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配件</w:t>
                  </w:r>
                </w:p>
              </w:tc>
              <w:tc>
                <w:tcPr>
                  <w:tcW w:w="925" w:type="dxa"/>
                  <w:vAlign w:val="center"/>
                </w:tcPr>
                <w:p w14:paraId="269EBE93">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w:t>
                  </w:r>
                </w:p>
              </w:tc>
              <w:tc>
                <w:tcPr>
                  <w:tcW w:w="925" w:type="dxa"/>
                  <w:vAlign w:val="center"/>
                </w:tcPr>
                <w:p w14:paraId="5F794B29">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个</w:t>
                  </w:r>
                </w:p>
              </w:tc>
              <w:tc>
                <w:tcPr>
                  <w:tcW w:w="925" w:type="dxa"/>
                  <w:vAlign w:val="center"/>
                </w:tcPr>
                <w:p w14:paraId="00C12761">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20万</w:t>
                  </w:r>
                </w:p>
              </w:tc>
              <w:tc>
                <w:tcPr>
                  <w:tcW w:w="925" w:type="dxa"/>
                  <w:vAlign w:val="center"/>
                </w:tcPr>
                <w:p w14:paraId="29BD90D8">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固体</w:t>
                  </w:r>
                </w:p>
              </w:tc>
              <w:tc>
                <w:tcPr>
                  <w:tcW w:w="926" w:type="dxa"/>
                  <w:vAlign w:val="center"/>
                </w:tcPr>
                <w:p w14:paraId="406EAB05">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7万个</w:t>
                  </w:r>
                </w:p>
              </w:tc>
              <w:tc>
                <w:tcPr>
                  <w:tcW w:w="926" w:type="dxa"/>
                  <w:vAlign w:val="center"/>
                </w:tcPr>
                <w:p w14:paraId="2310BC5F">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3个月</w:t>
                  </w:r>
                </w:p>
              </w:tc>
              <w:tc>
                <w:tcPr>
                  <w:tcW w:w="926" w:type="dxa"/>
                  <w:tcBorders>
                    <w:right w:val="nil"/>
                  </w:tcBorders>
                  <w:vAlign w:val="center"/>
                </w:tcPr>
                <w:p w14:paraId="564D2B80">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仓库</w:t>
                  </w:r>
                </w:p>
              </w:tc>
            </w:tr>
            <w:tr w14:paraId="74DA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4F0A9B41">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7</w:t>
                  </w:r>
                </w:p>
              </w:tc>
              <w:tc>
                <w:tcPr>
                  <w:tcW w:w="1162" w:type="dxa"/>
                  <w:vAlign w:val="center"/>
                </w:tcPr>
                <w:p w14:paraId="5F18E570">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机油</w:t>
                  </w:r>
                </w:p>
              </w:tc>
              <w:tc>
                <w:tcPr>
                  <w:tcW w:w="925" w:type="dxa"/>
                  <w:vAlign w:val="center"/>
                </w:tcPr>
                <w:p w14:paraId="0FFE49EF">
                  <w:pPr>
                    <w:widowControl/>
                    <w:jc w:val="center"/>
                    <w:textAlignment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val="en-US" w:eastAsia="zh-CN"/>
                    </w:rPr>
                    <w:t>/</w:t>
                  </w:r>
                </w:p>
              </w:tc>
              <w:tc>
                <w:tcPr>
                  <w:tcW w:w="925" w:type="dxa"/>
                  <w:vAlign w:val="center"/>
                </w:tcPr>
                <w:p w14:paraId="5CDF8052">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t/a</w:t>
                  </w:r>
                </w:p>
              </w:tc>
              <w:tc>
                <w:tcPr>
                  <w:tcW w:w="925" w:type="dxa"/>
                  <w:vAlign w:val="center"/>
                </w:tcPr>
                <w:p w14:paraId="7BBE6D50">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0.5</w:t>
                  </w:r>
                </w:p>
              </w:tc>
              <w:tc>
                <w:tcPr>
                  <w:tcW w:w="925" w:type="dxa"/>
                  <w:vAlign w:val="center"/>
                </w:tcPr>
                <w:p w14:paraId="78D45FE2">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液体</w:t>
                  </w:r>
                </w:p>
              </w:tc>
              <w:tc>
                <w:tcPr>
                  <w:tcW w:w="926" w:type="dxa"/>
                  <w:vAlign w:val="center"/>
                </w:tcPr>
                <w:p w14:paraId="1E26B4A2">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26" w:type="dxa"/>
                  <w:vAlign w:val="center"/>
                </w:tcPr>
                <w:p w14:paraId="1627B2FF">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926" w:type="dxa"/>
                  <w:tcBorders>
                    <w:right w:val="nil"/>
                  </w:tcBorders>
                  <w:vAlign w:val="center"/>
                </w:tcPr>
                <w:p w14:paraId="518ABC92">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r>
            <w:tr w14:paraId="55803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28" w:type="dxa"/>
                  <w:gridSpan w:val="9"/>
                  <w:tcBorders>
                    <w:left w:val="nil"/>
                    <w:right w:val="nil"/>
                  </w:tcBorders>
                  <w:vAlign w:val="center"/>
                </w:tcPr>
                <w:p w14:paraId="6F477F21">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能源消耗</w:t>
                  </w:r>
                </w:p>
              </w:tc>
            </w:tr>
            <w:tr w14:paraId="77DF4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tcBorders>
                  <w:vAlign w:val="center"/>
                </w:tcPr>
                <w:p w14:paraId="051F6EEB">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1</w:t>
                  </w:r>
                </w:p>
              </w:tc>
              <w:tc>
                <w:tcPr>
                  <w:tcW w:w="1162" w:type="dxa"/>
                  <w:vAlign w:val="center"/>
                </w:tcPr>
                <w:p w14:paraId="49A1FB3B">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水</w:t>
                  </w:r>
                </w:p>
              </w:tc>
              <w:tc>
                <w:tcPr>
                  <w:tcW w:w="925" w:type="dxa"/>
                  <w:vAlign w:val="center"/>
                </w:tcPr>
                <w:p w14:paraId="0E75D86C">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自来水</w:t>
                  </w:r>
                </w:p>
              </w:tc>
              <w:tc>
                <w:tcPr>
                  <w:tcW w:w="925" w:type="dxa"/>
                  <w:vAlign w:val="center"/>
                </w:tcPr>
                <w:p w14:paraId="194922A9">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t/a</w:t>
                  </w:r>
                </w:p>
              </w:tc>
              <w:tc>
                <w:tcPr>
                  <w:tcW w:w="925" w:type="dxa"/>
                  <w:vAlign w:val="center"/>
                </w:tcPr>
                <w:p w14:paraId="0814D97A">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675</w:t>
                  </w:r>
                </w:p>
              </w:tc>
              <w:tc>
                <w:tcPr>
                  <w:tcW w:w="925" w:type="dxa"/>
                  <w:vAlign w:val="center"/>
                </w:tcPr>
                <w:p w14:paraId="7A5E219A">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926" w:type="dxa"/>
                  <w:vAlign w:val="center"/>
                </w:tcPr>
                <w:p w14:paraId="26B44F80">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926" w:type="dxa"/>
                  <w:vAlign w:val="center"/>
                </w:tcPr>
                <w:p w14:paraId="6F07A2E1">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926" w:type="dxa"/>
                  <w:tcBorders>
                    <w:right w:val="nil"/>
                  </w:tcBorders>
                  <w:vAlign w:val="center"/>
                </w:tcPr>
                <w:p w14:paraId="27C52377">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r>
            <w:tr w14:paraId="623A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tcBorders>
                    <w:left w:val="nil"/>
                    <w:bottom w:val="single" w:color="auto" w:sz="8" w:space="0"/>
                  </w:tcBorders>
                  <w:vAlign w:val="center"/>
                </w:tcPr>
                <w:p w14:paraId="7DFB6B7C">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w:t>
                  </w:r>
                </w:p>
              </w:tc>
              <w:tc>
                <w:tcPr>
                  <w:tcW w:w="1162" w:type="dxa"/>
                  <w:tcBorders>
                    <w:bottom w:val="single" w:color="auto" w:sz="8" w:space="0"/>
                  </w:tcBorders>
                  <w:vAlign w:val="center"/>
                </w:tcPr>
                <w:p w14:paraId="6CF7FB2C">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电</w:t>
                  </w:r>
                </w:p>
              </w:tc>
              <w:tc>
                <w:tcPr>
                  <w:tcW w:w="925" w:type="dxa"/>
                  <w:tcBorders>
                    <w:bottom w:val="single" w:color="auto" w:sz="8" w:space="0"/>
                  </w:tcBorders>
                  <w:vAlign w:val="center"/>
                </w:tcPr>
                <w:p w14:paraId="3C016FC0">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380/220V、50HZ</w:t>
                  </w:r>
                </w:p>
              </w:tc>
              <w:tc>
                <w:tcPr>
                  <w:tcW w:w="925" w:type="dxa"/>
                  <w:tcBorders>
                    <w:bottom w:val="single" w:color="auto" w:sz="8" w:space="0"/>
                  </w:tcBorders>
                  <w:vAlign w:val="center"/>
                </w:tcPr>
                <w:p w14:paraId="40E5D4C9">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万度/年</w:t>
                  </w:r>
                </w:p>
              </w:tc>
              <w:tc>
                <w:tcPr>
                  <w:tcW w:w="925" w:type="dxa"/>
                  <w:tcBorders>
                    <w:bottom w:val="single" w:color="auto" w:sz="8" w:space="0"/>
                  </w:tcBorders>
                  <w:vAlign w:val="center"/>
                </w:tcPr>
                <w:p w14:paraId="2805F310">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50</w:t>
                  </w:r>
                </w:p>
              </w:tc>
              <w:tc>
                <w:tcPr>
                  <w:tcW w:w="925" w:type="dxa"/>
                  <w:tcBorders>
                    <w:bottom w:val="single" w:color="auto" w:sz="8" w:space="0"/>
                  </w:tcBorders>
                  <w:vAlign w:val="center"/>
                </w:tcPr>
                <w:p w14:paraId="751EF21D">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926" w:type="dxa"/>
                  <w:tcBorders>
                    <w:bottom w:val="single" w:color="auto" w:sz="8" w:space="0"/>
                  </w:tcBorders>
                  <w:vAlign w:val="center"/>
                </w:tcPr>
                <w:p w14:paraId="272EDAAB">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926" w:type="dxa"/>
                  <w:tcBorders>
                    <w:bottom w:val="single" w:color="auto" w:sz="8" w:space="0"/>
                  </w:tcBorders>
                  <w:vAlign w:val="center"/>
                </w:tcPr>
                <w:p w14:paraId="2F0AB4A6">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c>
                <w:tcPr>
                  <w:tcW w:w="926" w:type="dxa"/>
                  <w:tcBorders>
                    <w:bottom w:val="single" w:color="auto" w:sz="8" w:space="0"/>
                    <w:right w:val="nil"/>
                  </w:tcBorders>
                  <w:vAlign w:val="center"/>
                </w:tcPr>
                <w:p w14:paraId="7435B591">
                  <w:pPr>
                    <w:pStyle w:val="87"/>
                    <w:snapToGrid w:val="0"/>
                    <w:spacing w:line="240" w:lineRule="auto"/>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w:t>
                  </w:r>
                </w:p>
              </w:tc>
            </w:tr>
          </w:tbl>
          <w:p w14:paraId="026E30DE">
            <w:pPr>
              <w:pStyle w:val="14"/>
              <w:adjustRightInd w:val="0"/>
              <w:snapToGrid w:val="0"/>
              <w:spacing w:before="0" w:beforeAutospacing="0" w:after="0" w:afterAutospacing="0" w:line="360" w:lineRule="auto"/>
              <w:ind w:firstLine="422" w:firstLineChars="200"/>
              <w:rPr>
                <w:rFonts w:hint="default" w:eastAsia="宋体"/>
                <w:b/>
                <w:bCs/>
                <w:color w:val="auto"/>
                <w:sz w:val="21"/>
                <w:szCs w:val="21"/>
                <w:highlight w:val="none"/>
                <w:lang w:val="en-US" w:eastAsia="zh-CN"/>
              </w:rPr>
            </w:pPr>
            <w:r>
              <w:rPr>
                <w:rFonts w:hint="eastAsia"/>
                <w:b/>
                <w:bCs/>
                <w:color w:val="auto"/>
                <w:sz w:val="21"/>
                <w:szCs w:val="21"/>
                <w:highlight w:val="none"/>
                <w:lang w:val="en-US" w:eastAsia="zh-CN"/>
              </w:rPr>
              <w:t>注：本项目机油由设备维修厂家检修时提供，不在场内贮存。</w:t>
            </w:r>
          </w:p>
          <w:p w14:paraId="5CA071B8">
            <w:pPr>
              <w:pStyle w:val="14"/>
              <w:adjustRightInd w:val="0"/>
              <w:snapToGrid w:val="0"/>
              <w:spacing w:before="0" w:beforeAutospacing="0" w:after="0" w:afterAutospacing="0" w:line="360" w:lineRule="auto"/>
              <w:ind w:firstLine="482" w:firstLineChars="200"/>
              <w:rPr>
                <w:b/>
                <w:bCs/>
                <w:color w:val="auto"/>
                <w:highlight w:val="none"/>
              </w:rPr>
            </w:pPr>
            <w:r>
              <w:rPr>
                <w:rFonts w:hint="eastAsia"/>
                <w:b/>
                <w:bCs/>
                <w:color w:val="auto"/>
                <w:highlight w:val="none"/>
              </w:rPr>
              <w:t>本项目塑粉用量合理性分析：</w:t>
            </w:r>
          </w:p>
          <w:p w14:paraId="321C109C">
            <w:pPr>
              <w:pStyle w:val="14"/>
              <w:adjustRightInd w:val="0"/>
              <w:snapToGrid w:val="0"/>
              <w:spacing w:before="0" w:beforeAutospacing="0" w:after="0" w:afterAutospacing="0" w:line="360" w:lineRule="auto"/>
              <w:ind w:firstLine="480" w:firstLineChars="200"/>
              <w:rPr>
                <w:rFonts w:ascii="Times New Roman" w:hAnsi="Times New Roman" w:cs="Times New Roman"/>
                <w:color w:val="auto"/>
                <w:kern w:val="0"/>
                <w:szCs w:val="24"/>
                <w:highlight w:val="none"/>
              </w:rPr>
            </w:pPr>
            <w:r>
              <w:rPr>
                <w:rFonts w:hint="eastAsia"/>
                <w:color w:val="auto"/>
                <w:highlight w:val="none"/>
              </w:rPr>
              <w:t>根据建设单位提供资料，产品</w:t>
            </w:r>
            <w:r>
              <w:rPr>
                <w:rFonts w:ascii="Times New Roman" w:hAnsi="Times New Roman" w:cs="Times New Roman"/>
                <w:color w:val="auto"/>
                <w:kern w:val="0"/>
                <w:szCs w:val="24"/>
                <w:highlight w:val="none"/>
              </w:rPr>
              <w:t>喷塑总面积</w:t>
            </w:r>
            <w:r>
              <w:rPr>
                <w:rFonts w:hint="eastAsia" w:ascii="Times New Roman" w:hAnsi="Times New Roman" w:cs="Times New Roman"/>
                <w:color w:val="auto"/>
                <w:kern w:val="0"/>
                <w:szCs w:val="24"/>
                <w:highlight w:val="none"/>
              </w:rPr>
              <w:t>约为</w:t>
            </w:r>
            <w:r>
              <w:rPr>
                <w:rFonts w:ascii="Times New Roman" w:hAnsi="Times New Roman" w:cs="Times New Roman"/>
                <w:color w:val="auto"/>
                <w:kern w:val="0"/>
                <w:szCs w:val="24"/>
                <w:highlight w:val="none"/>
              </w:rPr>
              <w:t>250000m</w:t>
            </w:r>
            <w:r>
              <w:rPr>
                <w:rFonts w:ascii="Times New Roman" w:hAnsi="Times New Roman" w:cs="Times New Roman"/>
                <w:color w:val="auto"/>
                <w:kern w:val="0"/>
                <w:szCs w:val="24"/>
                <w:highlight w:val="none"/>
                <w:vertAlign w:val="superscript"/>
              </w:rPr>
              <w:t>2</w:t>
            </w:r>
            <w:r>
              <w:rPr>
                <w:rFonts w:ascii="Times New Roman" w:hAnsi="Times New Roman" w:cs="Times New Roman"/>
                <w:color w:val="auto"/>
                <w:kern w:val="0"/>
                <w:szCs w:val="24"/>
                <w:highlight w:val="none"/>
              </w:rPr>
              <w:t>。每面喷一次。喷塑厚度为12</w:t>
            </w:r>
            <w:r>
              <w:rPr>
                <w:rFonts w:hint="eastAsia" w:ascii="Times New Roman" w:hAnsi="Times New Roman" w:cs="Times New Roman"/>
                <w:color w:val="auto"/>
                <w:kern w:val="0"/>
                <w:szCs w:val="24"/>
                <w:highlight w:val="none"/>
                <w:lang w:val="en-US" w:eastAsia="zh-CN"/>
              </w:rPr>
              <w:t>0</w:t>
            </w:r>
            <w:r>
              <w:rPr>
                <w:rFonts w:hint="eastAsia" w:ascii="Times New Roman" w:hAnsi="Times New Roman" w:cs="Times New Roman"/>
                <w:color w:val="auto"/>
                <w:kern w:val="0"/>
                <w:szCs w:val="24"/>
                <w:highlight w:val="none"/>
              </w:rPr>
              <w:t>μ</w:t>
            </w:r>
            <w:r>
              <w:rPr>
                <w:rFonts w:ascii="Times New Roman" w:hAnsi="Times New Roman" w:cs="Times New Roman"/>
                <w:color w:val="auto"/>
                <w:kern w:val="0"/>
                <w:szCs w:val="24"/>
                <w:highlight w:val="none"/>
              </w:rPr>
              <w:t>m。塑粉附着率按70%计，塑粉密度约2.3g/cm</w:t>
            </w:r>
            <w:r>
              <w:rPr>
                <w:rFonts w:ascii="Times New Roman" w:hAnsi="Times New Roman" w:cs="Times New Roman"/>
                <w:color w:val="auto"/>
                <w:kern w:val="0"/>
                <w:szCs w:val="24"/>
                <w:highlight w:val="none"/>
                <w:vertAlign w:val="superscript"/>
              </w:rPr>
              <w:t>3</w:t>
            </w:r>
            <w:r>
              <w:rPr>
                <w:rFonts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rPr>
              <w:t>根据</w:t>
            </w:r>
            <w:r>
              <w:rPr>
                <w:rFonts w:ascii="Times New Roman" w:hAnsi="Times New Roman" w:cs="Times New Roman"/>
                <w:color w:val="auto"/>
                <w:kern w:val="0"/>
                <w:szCs w:val="24"/>
                <w:highlight w:val="none"/>
              </w:rPr>
              <w:t>喷塑量计算公式</w:t>
            </w:r>
            <w:r>
              <w:rPr>
                <w:rFonts w:hint="eastAsia" w:ascii="Times New Roman" w:hAnsi="Times New Roman" w:cs="Times New Roman"/>
                <w:color w:val="auto"/>
                <w:kern w:val="0"/>
                <w:szCs w:val="24"/>
                <w:highlight w:val="none"/>
              </w:rPr>
              <w:t>：</w:t>
            </w:r>
            <w:r>
              <w:rPr>
                <w:rFonts w:ascii="Times New Roman" w:hAnsi="Times New Roman" w:cs="Times New Roman"/>
                <w:color w:val="auto"/>
                <w:kern w:val="0"/>
                <w:szCs w:val="24"/>
                <w:highlight w:val="none"/>
              </w:rPr>
              <w:t>m=ρδs×10</w:t>
            </w:r>
            <w:r>
              <w:rPr>
                <w:rFonts w:ascii="Times New Roman" w:hAnsi="Times New Roman" w:cs="Times New Roman"/>
                <w:color w:val="auto"/>
                <w:kern w:val="0"/>
                <w:szCs w:val="24"/>
                <w:highlight w:val="none"/>
                <w:vertAlign w:val="superscript"/>
              </w:rPr>
              <w:t>-6</w:t>
            </w:r>
            <w:r>
              <w:rPr>
                <w:rFonts w:ascii="Times New Roman" w:hAnsi="Times New Roman" w:cs="Times New Roman"/>
                <w:color w:val="auto"/>
                <w:kern w:val="0"/>
                <w:szCs w:val="24"/>
                <w:highlight w:val="none"/>
              </w:rPr>
              <w:t xml:space="preserve">/(NV·ε) </w:t>
            </w:r>
          </w:p>
          <w:p w14:paraId="6ED97A7C">
            <w:pPr>
              <w:pStyle w:val="14"/>
              <w:adjustRightInd w:val="0"/>
              <w:snapToGrid w:val="0"/>
              <w:spacing w:before="0" w:beforeAutospacing="0" w:after="0" w:afterAutospacing="0" w:line="360" w:lineRule="auto"/>
              <w:ind w:firstLine="480" w:firstLineChars="200"/>
              <w:rPr>
                <w:rFonts w:ascii="Times New Roman" w:hAnsi="Times New Roman" w:cs="Times New Roman"/>
                <w:color w:val="auto"/>
                <w:kern w:val="0"/>
                <w:szCs w:val="24"/>
                <w:highlight w:val="none"/>
              </w:rPr>
            </w:pPr>
            <w:r>
              <w:rPr>
                <w:rFonts w:ascii="Times New Roman" w:hAnsi="Times New Roman" w:cs="Times New Roman"/>
                <w:color w:val="auto"/>
                <w:kern w:val="0"/>
                <w:szCs w:val="24"/>
                <w:highlight w:val="none"/>
              </w:rPr>
              <w:t>其中：m</w:t>
            </w:r>
            <w:r>
              <w:rPr>
                <w:rFonts w:hint="eastAsia" w:ascii="Times New Roman" w:hAnsi="Times New Roman" w:cs="Times New Roman"/>
                <w:color w:val="auto"/>
                <w:kern w:val="0"/>
                <w:szCs w:val="24"/>
                <w:highlight w:val="none"/>
              </w:rPr>
              <w:t>为</w:t>
            </w:r>
            <w:r>
              <w:rPr>
                <w:rFonts w:ascii="Times New Roman" w:hAnsi="Times New Roman" w:cs="Times New Roman"/>
                <w:color w:val="auto"/>
                <w:kern w:val="0"/>
                <w:szCs w:val="24"/>
                <w:highlight w:val="none"/>
              </w:rPr>
              <w:t>塑粉总用量</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t/a</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；ρ</w:t>
            </w:r>
            <w:r>
              <w:rPr>
                <w:rFonts w:hint="eastAsia" w:ascii="Times New Roman" w:hAnsi="Times New Roman" w:cs="Times New Roman"/>
                <w:color w:val="auto"/>
                <w:kern w:val="0"/>
                <w:szCs w:val="24"/>
                <w:highlight w:val="none"/>
              </w:rPr>
              <w:t>为</w:t>
            </w:r>
            <w:r>
              <w:rPr>
                <w:rFonts w:ascii="Times New Roman" w:hAnsi="Times New Roman" w:cs="Times New Roman"/>
                <w:color w:val="auto"/>
                <w:kern w:val="0"/>
                <w:szCs w:val="24"/>
                <w:highlight w:val="none"/>
              </w:rPr>
              <w:t>塑粉密度</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g/cm</w:t>
            </w:r>
            <w:r>
              <w:rPr>
                <w:rFonts w:ascii="Times New Roman" w:hAnsi="Times New Roman" w:cs="Times New Roman"/>
                <w:color w:val="auto"/>
                <w:kern w:val="0"/>
                <w:szCs w:val="24"/>
                <w:highlight w:val="none"/>
                <w:vertAlign w:val="superscript"/>
              </w:rPr>
              <w:t>3</w:t>
            </w:r>
            <w:r>
              <w:rPr>
                <w:rFonts w:hint="eastAsia" w:ascii="Times New Roman" w:hAnsi="Times New Roman" w:cs="Times New Roman"/>
                <w:color w:val="auto"/>
                <w:kern w:val="0"/>
                <w:szCs w:val="24"/>
                <w:highlight w:val="none"/>
                <w:vertAlign w:val="superscript"/>
                <w:lang w:eastAsia="zh-CN"/>
              </w:rPr>
              <w:t>）</w:t>
            </w:r>
            <w:r>
              <w:rPr>
                <w:rFonts w:ascii="Times New Roman" w:hAnsi="Times New Roman" w:cs="Times New Roman"/>
                <w:color w:val="auto"/>
                <w:kern w:val="0"/>
                <w:szCs w:val="24"/>
                <w:highlight w:val="none"/>
              </w:rPr>
              <w:t>；δ</w:t>
            </w:r>
            <w:r>
              <w:rPr>
                <w:rFonts w:hint="eastAsia" w:ascii="Times New Roman" w:hAnsi="Times New Roman" w:cs="Times New Roman"/>
                <w:color w:val="auto"/>
                <w:kern w:val="0"/>
                <w:szCs w:val="24"/>
                <w:highlight w:val="none"/>
              </w:rPr>
              <w:t>为</w:t>
            </w:r>
            <w:r>
              <w:rPr>
                <w:rFonts w:ascii="Times New Roman" w:hAnsi="Times New Roman" w:cs="Times New Roman"/>
                <w:color w:val="auto"/>
                <w:kern w:val="0"/>
                <w:szCs w:val="24"/>
                <w:highlight w:val="none"/>
              </w:rPr>
              <w:t>涂层厚度</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μm</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；s</w:t>
            </w:r>
            <w:r>
              <w:rPr>
                <w:rFonts w:hint="eastAsia" w:ascii="Times New Roman" w:hAnsi="Times New Roman" w:cs="Times New Roman"/>
                <w:color w:val="auto"/>
                <w:kern w:val="0"/>
                <w:szCs w:val="24"/>
                <w:highlight w:val="none"/>
              </w:rPr>
              <w:t>为</w:t>
            </w:r>
            <w:r>
              <w:rPr>
                <w:rFonts w:ascii="Times New Roman" w:hAnsi="Times New Roman" w:cs="Times New Roman"/>
                <w:color w:val="auto"/>
                <w:kern w:val="0"/>
                <w:szCs w:val="24"/>
                <w:highlight w:val="none"/>
              </w:rPr>
              <w:t>喷塑总面积</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m</w:t>
            </w:r>
            <w:r>
              <w:rPr>
                <w:rFonts w:ascii="Times New Roman" w:hAnsi="Times New Roman" w:cs="Times New Roman"/>
                <w:color w:val="auto"/>
                <w:kern w:val="0"/>
                <w:szCs w:val="24"/>
                <w:highlight w:val="none"/>
                <w:vertAlign w:val="superscript"/>
              </w:rPr>
              <w:t>2</w:t>
            </w:r>
            <w:r>
              <w:rPr>
                <w:rFonts w:ascii="Times New Roman" w:hAnsi="Times New Roman" w:cs="Times New Roman"/>
                <w:color w:val="auto"/>
                <w:kern w:val="0"/>
                <w:szCs w:val="24"/>
                <w:highlight w:val="none"/>
              </w:rPr>
              <w:t>/年</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；NV</w:t>
            </w:r>
            <w:r>
              <w:rPr>
                <w:rFonts w:hint="eastAsia" w:ascii="Times New Roman" w:hAnsi="Times New Roman" w:cs="Times New Roman"/>
                <w:color w:val="auto"/>
                <w:kern w:val="0"/>
                <w:szCs w:val="24"/>
                <w:highlight w:val="none"/>
              </w:rPr>
              <w:t>为</w:t>
            </w:r>
            <w:r>
              <w:rPr>
                <w:rFonts w:ascii="Times New Roman" w:hAnsi="Times New Roman" w:cs="Times New Roman"/>
                <w:color w:val="auto"/>
                <w:kern w:val="0"/>
                <w:szCs w:val="24"/>
                <w:highlight w:val="none"/>
              </w:rPr>
              <w:t>塑粉中的固体份</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；ε</w:t>
            </w:r>
            <w:r>
              <w:rPr>
                <w:rFonts w:hint="eastAsia" w:ascii="Times New Roman" w:hAnsi="Times New Roman" w:cs="Times New Roman"/>
                <w:color w:val="auto"/>
                <w:kern w:val="0"/>
                <w:szCs w:val="24"/>
                <w:highlight w:val="none"/>
              </w:rPr>
              <w:t>为</w:t>
            </w:r>
            <w:r>
              <w:rPr>
                <w:rFonts w:ascii="Times New Roman" w:hAnsi="Times New Roman" w:cs="Times New Roman"/>
                <w:color w:val="auto"/>
                <w:kern w:val="0"/>
                <w:szCs w:val="24"/>
                <w:highlight w:val="none"/>
              </w:rPr>
              <w:t>附着率</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w:t>
            </w:r>
            <w:r>
              <w:rPr>
                <w:rFonts w:hint="eastAsia" w:ascii="Times New Roman" w:hAnsi="Times New Roman" w:cs="Times New Roman"/>
                <w:color w:val="auto"/>
                <w:kern w:val="0"/>
                <w:szCs w:val="24"/>
                <w:highlight w:val="none"/>
                <w:lang w:eastAsia="zh-CN"/>
              </w:rPr>
              <w:t>）</w:t>
            </w:r>
            <w:r>
              <w:rPr>
                <w:rFonts w:ascii="Times New Roman" w:hAnsi="Times New Roman" w:cs="Times New Roman"/>
                <w:color w:val="auto"/>
                <w:kern w:val="0"/>
                <w:szCs w:val="24"/>
                <w:highlight w:val="none"/>
              </w:rPr>
              <w:t>。</w:t>
            </w:r>
          </w:p>
          <w:p w14:paraId="12DF660D">
            <w:pPr>
              <w:widowControl/>
              <w:adjustRightInd w:val="0"/>
              <w:snapToGrid w:val="0"/>
              <w:spacing w:line="360" w:lineRule="auto"/>
              <w:ind w:firstLine="480" w:firstLineChars="200"/>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计算得</w:t>
            </w:r>
            <w:r>
              <w:rPr>
                <w:rFonts w:ascii="Times New Roman" w:hAnsi="Times New Roman" w:eastAsia="宋体" w:cs="Times New Roman"/>
                <w:color w:val="auto"/>
                <w:kern w:val="0"/>
                <w:sz w:val="24"/>
                <w:szCs w:val="24"/>
                <w:highlight w:val="none"/>
              </w:rPr>
              <w:t>产品所需塑粉量为：250000×12</w:t>
            </w:r>
            <w:r>
              <w:rPr>
                <w:rFonts w:hint="eastAsia" w:ascii="Times New Roman" w:hAnsi="Times New Roman" w:eastAsia="宋体" w:cs="Times New Roman"/>
                <w:color w:val="auto"/>
                <w:kern w:val="0"/>
                <w:sz w:val="24"/>
                <w:szCs w:val="24"/>
                <w:highlight w:val="none"/>
                <w:lang w:val="en-US" w:eastAsia="zh-CN"/>
              </w:rPr>
              <w:t>0</w:t>
            </w:r>
            <w:r>
              <w:rPr>
                <w:rFonts w:ascii="Times New Roman" w:hAnsi="Times New Roman" w:eastAsia="宋体" w:cs="Times New Roman"/>
                <w:color w:val="auto"/>
                <w:kern w:val="0"/>
                <w:sz w:val="24"/>
                <w:szCs w:val="24"/>
                <w:highlight w:val="none"/>
              </w:rPr>
              <w:t>×10</w:t>
            </w:r>
            <w:r>
              <w:rPr>
                <w:rFonts w:ascii="Times New Roman" w:hAnsi="Times New Roman" w:eastAsia="宋体" w:cs="Times New Roman"/>
                <w:color w:val="auto"/>
                <w:kern w:val="0"/>
                <w:sz w:val="24"/>
                <w:szCs w:val="24"/>
                <w:highlight w:val="none"/>
                <w:vertAlign w:val="superscript"/>
              </w:rPr>
              <w:t>-6</w:t>
            </w:r>
            <w:r>
              <w:rPr>
                <w:rFonts w:ascii="Times New Roman" w:hAnsi="Times New Roman" w:eastAsia="宋体" w:cs="Times New Roman"/>
                <w:color w:val="auto"/>
                <w:kern w:val="0"/>
                <w:sz w:val="24"/>
                <w:szCs w:val="24"/>
                <w:highlight w:val="none"/>
              </w:rPr>
              <w:t>m×2.3÷70%≈100t/a。</w:t>
            </w:r>
          </w:p>
          <w:p w14:paraId="50B25A9D">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6、公用工程</w:t>
            </w:r>
          </w:p>
          <w:p w14:paraId="3B8425DA">
            <w:pPr>
              <w:spacing w:line="324" w:lineRule="auto"/>
              <w:ind w:firstLine="480" w:firstLineChars="200"/>
              <w:jc w:val="left"/>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（1）给水</w:t>
            </w:r>
          </w:p>
          <w:p w14:paraId="3E13D8D3">
            <w:pPr>
              <w:spacing w:line="324"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本项目用水主要为生活用水，用水量约为</w:t>
            </w:r>
            <w:r>
              <w:rPr>
                <w:rFonts w:ascii="Times New Roman" w:hAnsi="Times New Roman" w:eastAsia="宋体" w:cs="Times New Roman"/>
                <w:bCs/>
                <w:color w:val="auto"/>
                <w:sz w:val="24"/>
                <w:szCs w:val="24"/>
                <w:highlight w:val="none"/>
              </w:rPr>
              <w:t>2.25</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/d（</w:t>
            </w:r>
            <w:r>
              <w:rPr>
                <w:rFonts w:ascii="Times New Roman" w:hAnsi="Times New Roman" w:eastAsia="宋体" w:cs="Times New Roman"/>
                <w:bCs/>
                <w:color w:val="auto"/>
                <w:sz w:val="24"/>
                <w:szCs w:val="24"/>
                <w:highlight w:val="none"/>
              </w:rPr>
              <w:t>675</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/a）。项目用水由市政供水管网供给。</w:t>
            </w:r>
          </w:p>
          <w:p w14:paraId="4B0D4D6C">
            <w:pPr>
              <w:adjustRightInd w:val="0"/>
              <w:spacing w:line="324"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（2）排水</w:t>
            </w:r>
          </w:p>
          <w:p w14:paraId="1C55503E">
            <w:pPr>
              <w:widowControl/>
              <w:tabs>
                <w:tab w:val="left" w:pos="3617"/>
              </w:tabs>
              <w:spacing w:line="324" w:lineRule="auto"/>
              <w:ind w:firstLine="480" w:firstLineChars="200"/>
              <w:rPr>
                <w:rFonts w:ascii="Times New Roman" w:hAnsi="Times New Roman" w:eastAsia="宋体" w:cs="Times New Roman"/>
                <w:bCs/>
                <w:color w:val="auto"/>
                <w:sz w:val="24"/>
                <w:szCs w:val="24"/>
                <w:highlight w:val="none"/>
                <w:lang w:val="en-GB"/>
              </w:rPr>
            </w:pPr>
            <w:r>
              <w:rPr>
                <w:rFonts w:ascii="Times New Roman" w:hAnsi="Times New Roman" w:eastAsia="宋体" w:cs="Times New Roman"/>
                <w:bCs/>
                <w:color w:val="auto"/>
                <w:sz w:val="24"/>
                <w:szCs w:val="24"/>
                <w:highlight w:val="none"/>
                <w:lang w:val="en-GB"/>
              </w:rPr>
              <w:t>本项目雨水排入市政雨水管网；</w:t>
            </w:r>
            <w:r>
              <w:rPr>
                <w:rFonts w:ascii="Times New Roman" w:hAnsi="Times New Roman" w:eastAsia="宋体" w:cs="Times New Roman"/>
                <w:bCs/>
                <w:color w:val="auto"/>
                <w:sz w:val="24"/>
                <w:szCs w:val="24"/>
                <w:highlight w:val="none"/>
              </w:rPr>
              <w:t>生活污水</w:t>
            </w:r>
            <w:r>
              <w:rPr>
                <w:rFonts w:ascii="Times New Roman" w:hAnsi="Times New Roman" w:eastAsia="宋体" w:cs="Times New Roman"/>
                <w:bCs/>
                <w:color w:val="auto"/>
                <w:sz w:val="24"/>
                <w:szCs w:val="24"/>
                <w:highlight w:val="none"/>
                <w:lang w:val="en-GB"/>
              </w:rPr>
              <w:t>经化粪池处理后接管至市政污水管网，送至八公山污水处理厂处理后排入淮河。</w:t>
            </w:r>
          </w:p>
          <w:p w14:paraId="6F72D676">
            <w:pPr>
              <w:widowControl/>
              <w:tabs>
                <w:tab w:val="left" w:pos="3617"/>
              </w:tabs>
              <w:spacing w:line="324"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本项目水平衡图见下图：</w:t>
            </w:r>
          </w:p>
          <w:p w14:paraId="6AB32945">
            <w:pPr>
              <w:widowControl/>
              <w:spacing w:line="360" w:lineRule="auto"/>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drawing>
                <wp:inline distT="0" distB="0" distL="114300" distR="114300">
                  <wp:extent cx="5287010" cy="1137920"/>
                  <wp:effectExtent l="0" t="0" r="8890" b="5080"/>
                  <wp:docPr id="12" name="图片 12" descr="5606b771972512de1b460285b6fd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06b771972512de1b460285b6fd971"/>
                          <pic:cNvPicPr>
                            <a:picLocks noChangeAspect="1"/>
                          </pic:cNvPicPr>
                        </pic:nvPicPr>
                        <pic:blipFill>
                          <a:blip r:embed="rId10" cstate="print"/>
                          <a:stretch>
                            <a:fillRect/>
                          </a:stretch>
                        </pic:blipFill>
                        <pic:spPr>
                          <a:xfrm>
                            <a:off x="0" y="0"/>
                            <a:ext cx="5287010" cy="1137920"/>
                          </a:xfrm>
                          <a:prstGeom prst="rect">
                            <a:avLst/>
                          </a:prstGeom>
                        </pic:spPr>
                      </pic:pic>
                    </a:graphicData>
                  </a:graphic>
                </wp:inline>
              </w:drawing>
            </w:r>
          </w:p>
          <w:p w14:paraId="00FBCA45">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图2-1  本项目水平衡图  单位：m</w:t>
            </w:r>
            <w:r>
              <w:rPr>
                <w:rFonts w:ascii="Times New Roman" w:hAnsi="Times New Roman" w:eastAsia="黑体" w:cs="Times New Roman"/>
                <w:color w:val="auto"/>
                <w:sz w:val="24"/>
                <w:highlight w:val="none"/>
                <w:vertAlign w:val="superscript"/>
              </w:rPr>
              <w:t>3</w:t>
            </w:r>
            <w:r>
              <w:rPr>
                <w:rFonts w:ascii="Times New Roman" w:hAnsi="Times New Roman" w:eastAsia="黑体" w:cs="Times New Roman"/>
                <w:color w:val="auto"/>
                <w:sz w:val="24"/>
                <w:highlight w:val="none"/>
              </w:rPr>
              <w:t>/d</w:t>
            </w:r>
          </w:p>
          <w:p w14:paraId="17914893">
            <w:pPr>
              <w:adjustRightInd w:val="0"/>
              <w:spacing w:line="360"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（3）供电</w:t>
            </w:r>
          </w:p>
          <w:p w14:paraId="558971B8">
            <w:pPr>
              <w:spacing w:line="360" w:lineRule="auto"/>
              <w:ind w:firstLine="480" w:firstLineChars="200"/>
              <w:jc w:val="left"/>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本项目用电由市政电网供电，能满足本项目生产和生活用电需求，用电量为50万kw·h/a。</w:t>
            </w:r>
          </w:p>
          <w:p w14:paraId="2B3D7E44">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7、劳动定员及工作制度</w:t>
            </w:r>
          </w:p>
          <w:p w14:paraId="5A618B31">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highlight w:val="none"/>
              </w:rPr>
              <w:t>本项目拟定员45人，工作制度为8小时一班，每天一班，年工作日300天（2400h/a）。厂区内不设食宿。</w:t>
            </w:r>
          </w:p>
          <w:p w14:paraId="0023A9C2">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8、厂区总平面布置</w:t>
            </w:r>
          </w:p>
          <w:p w14:paraId="2CB03B58">
            <w:pPr>
              <w:spacing w:line="348"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安徽福斯特智能科技有限公司位于</w:t>
            </w:r>
            <w:r>
              <w:rPr>
                <w:rFonts w:ascii="Times New Roman" w:hAnsi="Times New Roman" w:eastAsia="宋体" w:cs="Times New Roman"/>
                <w:color w:val="auto"/>
                <w:sz w:val="24"/>
                <w:highlight w:val="none"/>
              </w:rPr>
              <w:t>淮南市八公山区毕家岗街道新建社区，本项目生产区域设置在租赁厂房一层的北部及东南部，厂房2层设置办公区域及仓库，本项目各生产单元布置合理，整个厂区功能分区明确，各个区域之间能够满足生产和运输要求；运输不选在清晨、中午午休和夜间休息时间，可以减少运输噪声对周边居民影响，综上本项目总图布置较为合理。</w:t>
            </w:r>
          </w:p>
          <w:p w14:paraId="1ED4A926">
            <w:pPr>
              <w:spacing w:line="360" w:lineRule="auto"/>
              <w:ind w:firstLine="480" w:firstLineChars="200"/>
              <w:rPr>
                <w:rFonts w:ascii="Times New Roman" w:hAnsi="Times New Roman" w:eastAsia="宋体" w:cs="Times New Roman"/>
                <w:color w:val="auto"/>
                <w:sz w:val="24"/>
                <w:highlight w:val="none"/>
              </w:rPr>
            </w:pPr>
          </w:p>
          <w:p w14:paraId="705F66A6">
            <w:pPr>
              <w:spacing w:line="360" w:lineRule="auto"/>
              <w:rPr>
                <w:rFonts w:ascii="Times New Roman" w:hAnsi="Times New Roman" w:eastAsia="宋体" w:cs="Times New Roman"/>
                <w:color w:val="auto"/>
                <w:sz w:val="24"/>
                <w:highlight w:val="none"/>
              </w:rPr>
            </w:pPr>
          </w:p>
        </w:tc>
      </w:tr>
    </w:tbl>
    <w:p w14:paraId="73503FF4">
      <w:pPr>
        <w:rPr>
          <w:rFonts w:ascii="Times New Roman" w:hAnsi="Times New Roman" w:eastAsia="宋体" w:cs="Times New Roman"/>
          <w:color w:val="auto"/>
          <w:highlight w:val="none"/>
        </w:rPr>
        <w:sectPr>
          <w:headerReference r:id="rId6" w:type="default"/>
          <w:footerReference r:id="rId7" w:type="default"/>
          <w:pgSz w:w="11906" w:h="16838"/>
          <w:pgMar w:top="1701" w:right="1531" w:bottom="1701" w:left="1531" w:header="851" w:footer="992" w:gutter="0"/>
          <w:pgBorders>
            <w:top w:val="none" w:sz="0" w:space="0"/>
            <w:left w:val="none" w:sz="0" w:space="0"/>
            <w:bottom w:val="none" w:sz="0" w:space="0"/>
            <w:right w:val="none" w:sz="0" w:space="0"/>
          </w:pgBorders>
          <w:cols w:space="425" w:num="1"/>
          <w:docGrid w:type="lines" w:linePitch="312" w:charSpace="0"/>
        </w:sectPr>
      </w:pPr>
    </w:p>
    <w:tbl>
      <w:tblPr>
        <w:tblStyle w:val="18"/>
        <w:tblW w:w="92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814"/>
      </w:tblGrid>
      <w:tr w14:paraId="6583E1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5216" w:hRule="atLeast"/>
          <w:jc w:val="center"/>
        </w:trPr>
        <w:tc>
          <w:tcPr>
            <w:tcW w:w="456" w:type="dxa"/>
            <w:vAlign w:val="center"/>
          </w:tcPr>
          <w:p w14:paraId="2F6FE388">
            <w:pPr>
              <w:widowControl/>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工艺流程和产排污环节</w:t>
            </w:r>
          </w:p>
        </w:tc>
        <w:tc>
          <w:tcPr>
            <w:tcW w:w="8814" w:type="dxa"/>
          </w:tcPr>
          <w:p w14:paraId="5F6DB92A">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1、施工期工艺流程和产排污环节</w:t>
            </w:r>
          </w:p>
          <w:p w14:paraId="056F5BDC">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本项目租赁现有厂房，施工期主要为设备安装，安装完成后进行工程竣工验收，验收合格后交付建设单位。设备安装主要污染物为噪声。</w:t>
            </w:r>
          </w:p>
          <w:p w14:paraId="584562FD">
            <w:pPr>
              <w:widowControl/>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2、运营期工艺流程和产排污环节</w:t>
            </w:r>
          </w:p>
          <w:p w14:paraId="799B221F">
            <w:pPr>
              <w:widowControl/>
              <w:spacing w:line="360" w:lineRule="auto"/>
              <w:ind w:firstLine="480" w:firstLineChars="200"/>
              <w:jc w:val="left"/>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本项目生产自动售货机和智能垃圾分类箱，两种产品工艺相同，具体工艺流程和产排污环节如下：</w:t>
            </w:r>
          </w:p>
          <w:p w14:paraId="3E756A9B">
            <w:pPr>
              <w:widowControl/>
              <w:spacing w:line="360" w:lineRule="auto"/>
              <w:jc w:val="left"/>
              <w:rPr>
                <w:rFonts w:ascii="Times New Roman" w:hAnsi="Times New Roman" w:eastAsia="宋体" w:cs="Times New Roman"/>
                <w:bCs/>
                <w:color w:val="auto"/>
                <w:sz w:val="24"/>
                <w:szCs w:val="24"/>
                <w:highlight w:val="none"/>
              </w:rPr>
            </w:pPr>
            <w:r>
              <w:rPr>
                <w:rFonts w:hint="eastAsia" w:ascii="Times New Roman" w:hAnsi="Times New Roman" w:eastAsia="宋体" w:cs="Times New Roman"/>
                <w:bCs/>
                <w:color w:val="auto"/>
                <w:sz w:val="24"/>
                <w:szCs w:val="24"/>
                <w:highlight w:val="none"/>
              </w:rPr>
              <w:drawing>
                <wp:inline distT="0" distB="0" distL="114300" distR="114300">
                  <wp:extent cx="5457825" cy="6092825"/>
                  <wp:effectExtent l="0" t="0" r="0" b="3175"/>
                  <wp:docPr id="16" name="图片 16" descr="134e8015f6ca2d2cc1cd45dcc357d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4e8015f6ca2d2cc1cd45dcc357db9"/>
                          <pic:cNvPicPr>
                            <a:picLocks noChangeAspect="1"/>
                          </pic:cNvPicPr>
                        </pic:nvPicPr>
                        <pic:blipFill>
                          <a:blip r:embed="rId11" cstate="print"/>
                          <a:stretch>
                            <a:fillRect/>
                          </a:stretch>
                        </pic:blipFill>
                        <pic:spPr>
                          <a:xfrm>
                            <a:off x="0" y="0"/>
                            <a:ext cx="5457825" cy="6092825"/>
                          </a:xfrm>
                          <a:prstGeom prst="rect">
                            <a:avLst/>
                          </a:prstGeom>
                        </pic:spPr>
                      </pic:pic>
                    </a:graphicData>
                  </a:graphic>
                </wp:inline>
              </w:drawing>
            </w:r>
          </w:p>
          <w:p w14:paraId="772070BF">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图2-</w:t>
            </w:r>
            <w:r>
              <w:rPr>
                <w:rFonts w:hint="eastAsia" w:ascii="Times New Roman" w:hAnsi="Times New Roman" w:eastAsia="黑体" w:cs="Times New Roman"/>
                <w:color w:val="auto"/>
                <w:sz w:val="24"/>
                <w:highlight w:val="none"/>
              </w:rPr>
              <w:t>2</w:t>
            </w:r>
            <w:r>
              <w:rPr>
                <w:rFonts w:ascii="Times New Roman" w:hAnsi="Times New Roman" w:eastAsia="黑体" w:cs="Times New Roman"/>
                <w:color w:val="auto"/>
                <w:sz w:val="24"/>
                <w:highlight w:val="none"/>
              </w:rPr>
              <w:t xml:space="preserve">  工艺流程和产排污环节节点图</w:t>
            </w:r>
          </w:p>
          <w:p w14:paraId="67FA6367">
            <w:pPr>
              <w:pStyle w:val="25"/>
              <w:spacing w:after="0" w:line="360" w:lineRule="auto"/>
              <w:ind w:firstLine="482" w:firstLineChars="200"/>
              <w:jc w:val="left"/>
              <w:rPr>
                <w:rFonts w:ascii="Times New Roman" w:hAnsi="Times New Roman" w:eastAsia="宋体"/>
                <w:b/>
                <w:bCs/>
                <w:color w:val="auto"/>
                <w:sz w:val="24"/>
                <w:szCs w:val="24"/>
                <w:highlight w:val="none"/>
              </w:rPr>
            </w:pPr>
            <w:r>
              <w:rPr>
                <w:rFonts w:ascii="Times New Roman" w:hAnsi="Times New Roman" w:eastAsia="宋体"/>
                <w:b/>
                <w:bCs/>
                <w:color w:val="auto"/>
                <w:sz w:val="24"/>
                <w:szCs w:val="24"/>
                <w:highlight w:val="none"/>
              </w:rPr>
              <w:t>工艺流程概述:</w:t>
            </w:r>
          </w:p>
          <w:p w14:paraId="2D3B38DF">
            <w:pPr>
              <w:pStyle w:val="25"/>
              <w:spacing w:after="0" w:line="360" w:lineRule="auto"/>
              <w:ind w:firstLine="480" w:firstLineChars="2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①切割：将外购的冷钢钢板通过激光切割机，按照所需尺寸进行切割。切割过程中会产生少量切割烟尘G1和钢板边角料S1，其中切割烟尘由集气罩收集经布袋除尘器处理后，通过15m高1#排气筒排放。</w:t>
            </w:r>
          </w:p>
          <w:p w14:paraId="4930098C">
            <w:pPr>
              <w:pStyle w:val="25"/>
              <w:spacing w:after="0" w:line="360" w:lineRule="auto"/>
              <w:ind w:firstLine="480" w:firstLineChars="2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②折弯：切割好的钢材经数控折弯机进行折弯。</w:t>
            </w:r>
          </w:p>
          <w:p w14:paraId="68F60ED3">
            <w:pPr>
              <w:pStyle w:val="25"/>
              <w:spacing w:after="0" w:line="360" w:lineRule="auto"/>
              <w:ind w:firstLine="480" w:firstLineChars="2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③焊接：</w:t>
            </w:r>
            <w:r>
              <w:rPr>
                <w:rFonts w:ascii="Times New Roman" w:hAnsi="Times New Roman" w:eastAsia="宋体"/>
                <w:color w:val="auto"/>
                <w:kern w:val="0"/>
                <w:sz w:val="24"/>
                <w:szCs w:val="24"/>
                <w:highlight w:val="none"/>
              </w:rPr>
              <w:t>对折弯后的钢材进行焊接，焊接过程中会产生焊接烟尘G2和焊渣S2，其中焊接烟尘由</w:t>
            </w:r>
            <w:r>
              <w:rPr>
                <w:rFonts w:ascii="Times New Roman" w:hAnsi="Times New Roman" w:eastAsia="宋体"/>
                <w:color w:val="auto"/>
                <w:sz w:val="24"/>
                <w:szCs w:val="24"/>
                <w:highlight w:val="none"/>
              </w:rPr>
              <w:t>集气罩收集经布袋除尘器处理后，通过15m高1#排气筒排放。</w:t>
            </w:r>
          </w:p>
          <w:p w14:paraId="6FAB556C">
            <w:pPr>
              <w:pStyle w:val="25"/>
              <w:spacing w:after="0" w:line="360" w:lineRule="auto"/>
              <w:ind w:firstLine="480" w:firstLineChars="200"/>
              <w:jc w:val="left"/>
              <w:rPr>
                <w:rFonts w:ascii="Times New Roman" w:hAnsi="Times New Roman" w:eastAsia="宋体"/>
                <w:color w:val="auto"/>
                <w:sz w:val="24"/>
                <w:szCs w:val="24"/>
                <w:highlight w:val="none"/>
              </w:rPr>
            </w:pPr>
            <w:r>
              <w:rPr>
                <w:rFonts w:ascii="Times New Roman" w:hAnsi="Times New Roman" w:eastAsia="宋体"/>
                <w:color w:val="auto"/>
                <w:sz w:val="24"/>
                <w:szCs w:val="24"/>
                <w:highlight w:val="none"/>
              </w:rPr>
              <w:t>④人工打磨：焊接后的钢板表面存在极少的粗糙点，通过砂纸人工进行打磨。此工序产生极少量的颗粒物，忽略不计</w:t>
            </w:r>
            <w:r>
              <w:rPr>
                <w:rFonts w:hint="eastAsia" w:ascii="Times New Roman" w:hAnsi="Times New Roman" w:eastAsia="宋体"/>
                <w:color w:val="auto"/>
                <w:sz w:val="24"/>
                <w:szCs w:val="24"/>
                <w:highlight w:val="none"/>
              </w:rPr>
              <w:t>，同时会产生废砂纸S3</w:t>
            </w:r>
            <w:r>
              <w:rPr>
                <w:rFonts w:ascii="Times New Roman" w:hAnsi="Times New Roman" w:eastAsia="宋体"/>
                <w:color w:val="auto"/>
                <w:sz w:val="24"/>
                <w:szCs w:val="24"/>
                <w:highlight w:val="none"/>
              </w:rPr>
              <w:t>。</w:t>
            </w:r>
          </w:p>
          <w:p w14:paraId="14D13277">
            <w:pPr>
              <w:pStyle w:val="25"/>
              <w:spacing w:after="0" w:line="360" w:lineRule="auto"/>
              <w:ind w:firstLine="480" w:firstLineChars="200"/>
              <w:jc w:val="left"/>
              <w:rPr>
                <w:rFonts w:ascii="Times New Roman" w:hAnsi="Times New Roman" w:eastAsia="宋体"/>
                <w:color w:val="auto"/>
                <w:sz w:val="24"/>
                <w:highlight w:val="none"/>
              </w:rPr>
            </w:pPr>
            <w:r>
              <w:rPr>
                <w:rFonts w:ascii="Times New Roman" w:hAnsi="Times New Roman" w:eastAsia="宋体"/>
                <w:color w:val="auto"/>
                <w:sz w:val="24"/>
                <w:szCs w:val="24"/>
                <w:highlight w:val="none"/>
              </w:rPr>
              <w:t>⑤喷塑：将打磨好的工件运至喷塑间内进行喷塑，本项目喷塑间为全封闭式流水线作业，由粉末喷涂和粉末回收系统组成，其中喷塑过程是</w:t>
            </w:r>
            <w:r>
              <w:rPr>
                <w:rFonts w:ascii="Times New Roman" w:hAnsi="Times New Roman" w:eastAsia="宋体"/>
                <w:color w:val="auto"/>
                <w:sz w:val="24"/>
                <w:highlight w:val="none"/>
              </w:rPr>
              <w:t>用喷枪将塑粉喷到工件表面，在静电作用下，粉末会均匀的吸附</w:t>
            </w:r>
            <w:r>
              <w:rPr>
                <w:rFonts w:hint="eastAsia" w:ascii="Times New Roman" w:hAnsi="Times New Roman" w:eastAsia="宋体"/>
                <w:color w:val="auto"/>
                <w:sz w:val="24"/>
                <w:highlight w:val="none"/>
                <w:lang w:eastAsia="zh-CN"/>
              </w:rPr>
              <w:t>于</w:t>
            </w:r>
            <w:r>
              <w:rPr>
                <w:rFonts w:ascii="Times New Roman" w:hAnsi="Times New Roman" w:eastAsia="宋体"/>
                <w:color w:val="auto"/>
                <w:sz w:val="24"/>
                <w:highlight w:val="none"/>
              </w:rPr>
              <w:t>工件表面，形成粉状的涂层。喷塑过程中会产生的喷塑粉尘G3，通过喷塑间内设置</w:t>
            </w:r>
            <w:r>
              <w:rPr>
                <w:rFonts w:hint="eastAsia" w:ascii="Times New Roman" w:hAnsi="Times New Roman" w:eastAsia="宋体"/>
                <w:color w:val="auto"/>
                <w:sz w:val="24"/>
                <w:highlight w:val="none"/>
                <w:lang w:eastAsia="zh-CN"/>
              </w:rPr>
              <w:t>大旋风+滤芯粉末回收+袋式除尘装置</w:t>
            </w:r>
            <w:r>
              <w:rPr>
                <w:rFonts w:ascii="Times New Roman" w:hAnsi="Times New Roman" w:eastAsia="宋体"/>
                <w:color w:val="auto"/>
                <w:sz w:val="24"/>
                <w:highlight w:val="none"/>
              </w:rPr>
              <w:t>进行收集处理此过程会产生废塑粉S</w:t>
            </w:r>
            <w:r>
              <w:rPr>
                <w:rFonts w:hint="eastAsia" w:ascii="Times New Roman" w:hAnsi="Times New Roman" w:eastAsia="宋体"/>
                <w:color w:val="auto"/>
                <w:sz w:val="24"/>
                <w:highlight w:val="none"/>
              </w:rPr>
              <w:t>4</w:t>
            </w:r>
            <w:r>
              <w:rPr>
                <w:rFonts w:ascii="Times New Roman" w:hAnsi="Times New Roman" w:eastAsia="宋体"/>
                <w:color w:val="auto"/>
                <w:sz w:val="24"/>
                <w:highlight w:val="none"/>
              </w:rPr>
              <w:t>，处理后的废气经由15m高的2#排气筒排放，收集的废塑粉则回用至喷塑工序。</w:t>
            </w:r>
          </w:p>
          <w:p w14:paraId="7A99822E">
            <w:pPr>
              <w:pStyle w:val="25"/>
              <w:spacing w:after="0" w:line="360" w:lineRule="auto"/>
              <w:ind w:firstLine="480" w:firstLineChars="200"/>
              <w:jc w:val="left"/>
              <w:rPr>
                <w:rFonts w:ascii="Times New Roman" w:hAnsi="Times New Roman" w:eastAsia="宋体"/>
                <w:color w:val="auto"/>
                <w:sz w:val="24"/>
                <w:highlight w:val="none"/>
              </w:rPr>
            </w:pPr>
            <w:r>
              <w:rPr>
                <w:rFonts w:ascii="Times New Roman" w:hAnsi="Times New Roman" w:eastAsia="宋体"/>
                <w:color w:val="auto"/>
                <w:sz w:val="24"/>
                <w:szCs w:val="24"/>
                <w:highlight w:val="none"/>
              </w:rPr>
              <w:t>⑥固化：</w:t>
            </w:r>
            <w:r>
              <w:rPr>
                <w:rFonts w:ascii="Times New Roman" w:hAnsi="Times New Roman" w:eastAsia="宋体"/>
                <w:color w:val="auto"/>
                <w:sz w:val="24"/>
                <w:highlight w:val="none"/>
              </w:rPr>
              <w:t>喷塑完成的工件通过悬挂输送机传送至高温固化间中进行高温固化。将工件表面的粉末涂料加热到规定的温度，并保持相应的时间，使之熔化、流平、固化，从而达到想要的工件表面效果。此过程中采用电加热，加热温度约190℃，固化时间约为1h，固化后的工件自然晾干，固化晾干过程会产生固化废气G4，废气通过二级活性炭吸附装置处理后经由15m高的</w:t>
            </w:r>
            <w:r>
              <w:rPr>
                <w:rFonts w:hint="eastAsia" w:ascii="Times New Roman" w:hAnsi="Times New Roman" w:eastAsia="宋体"/>
                <w:color w:val="auto"/>
                <w:sz w:val="24"/>
                <w:highlight w:val="none"/>
              </w:rPr>
              <w:t>3</w:t>
            </w:r>
            <w:r>
              <w:rPr>
                <w:rFonts w:ascii="Times New Roman" w:hAnsi="Times New Roman" w:eastAsia="宋体"/>
                <w:color w:val="auto"/>
                <w:sz w:val="24"/>
                <w:highlight w:val="none"/>
              </w:rPr>
              <w:t>#排气筒排放。</w:t>
            </w:r>
          </w:p>
          <w:p w14:paraId="667EE901">
            <w:pPr>
              <w:pStyle w:val="25"/>
              <w:spacing w:after="0" w:line="360" w:lineRule="auto"/>
              <w:ind w:firstLine="480" w:firstLineChars="200"/>
              <w:jc w:val="left"/>
              <w:rPr>
                <w:rFonts w:ascii="Times New Roman" w:hAnsi="Times New Roman" w:eastAsia="宋体"/>
                <w:color w:val="auto"/>
                <w:sz w:val="24"/>
                <w:highlight w:val="none"/>
              </w:rPr>
            </w:pPr>
            <w:r>
              <w:rPr>
                <w:rFonts w:ascii="Times New Roman" w:hAnsi="Times New Roman" w:eastAsia="宋体"/>
                <w:color w:val="auto"/>
                <w:sz w:val="24"/>
                <w:highlight w:val="none"/>
              </w:rPr>
              <w:t>⑦组装：将加工好的散件进行人工组装。</w:t>
            </w:r>
          </w:p>
          <w:p w14:paraId="2F97FC4F">
            <w:pPr>
              <w:pStyle w:val="25"/>
              <w:spacing w:after="0" w:line="360" w:lineRule="auto"/>
              <w:ind w:firstLine="480" w:firstLineChars="200"/>
              <w:jc w:val="left"/>
              <w:rPr>
                <w:rFonts w:ascii="Times New Roman" w:hAnsi="Times New Roman" w:eastAsia="宋体"/>
                <w:color w:val="auto"/>
                <w:sz w:val="24"/>
                <w:highlight w:val="none"/>
              </w:rPr>
            </w:pPr>
            <w:r>
              <w:rPr>
                <w:rFonts w:ascii="Times New Roman" w:hAnsi="Times New Roman" w:eastAsia="宋体"/>
                <w:color w:val="auto"/>
                <w:sz w:val="24"/>
                <w:highlight w:val="none"/>
              </w:rPr>
              <w:t>⑧包装：将组装好的产品进行打包，包装后放入成品区。此过程会产生废包装物S</w:t>
            </w:r>
            <w:r>
              <w:rPr>
                <w:rFonts w:hint="eastAsia" w:ascii="Times New Roman" w:hAnsi="Times New Roman" w:eastAsia="宋体"/>
                <w:color w:val="auto"/>
                <w:sz w:val="24"/>
                <w:highlight w:val="none"/>
              </w:rPr>
              <w:t>5</w:t>
            </w:r>
            <w:r>
              <w:rPr>
                <w:rFonts w:ascii="Times New Roman" w:hAnsi="Times New Roman" w:eastAsia="宋体"/>
                <w:color w:val="auto"/>
                <w:sz w:val="24"/>
                <w:highlight w:val="none"/>
              </w:rPr>
              <w:t>。</w:t>
            </w:r>
          </w:p>
          <w:p w14:paraId="72831E1D">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表2-6  项目产污环节及治理措施一览表</w:t>
            </w:r>
          </w:p>
          <w:tbl>
            <w:tblPr>
              <w:tblStyle w:val="18"/>
              <w:tblW w:w="499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23"/>
              <w:gridCol w:w="953"/>
              <w:gridCol w:w="1123"/>
              <w:gridCol w:w="1248"/>
              <w:gridCol w:w="4348"/>
            </w:tblGrid>
            <w:tr w14:paraId="46D06D3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tcBorders>
                    <w:bottom w:val="single" w:color="000000" w:sz="4" w:space="0"/>
                  </w:tcBorders>
                  <w:shd w:val="clear" w:color="auto" w:fill="auto"/>
                  <w:vAlign w:val="center"/>
                </w:tcPr>
                <w:p w14:paraId="2271310F">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生产线</w:t>
                  </w:r>
                </w:p>
              </w:tc>
              <w:tc>
                <w:tcPr>
                  <w:tcW w:w="554" w:type="pct"/>
                  <w:tcBorders>
                    <w:bottom w:val="single" w:color="000000" w:sz="4" w:space="0"/>
                  </w:tcBorders>
                  <w:shd w:val="clear" w:color="auto" w:fill="auto"/>
                  <w:vAlign w:val="center"/>
                </w:tcPr>
                <w:p w14:paraId="59FD5568">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编号</w:t>
                  </w:r>
                </w:p>
              </w:tc>
              <w:tc>
                <w:tcPr>
                  <w:tcW w:w="653" w:type="pct"/>
                  <w:tcBorders>
                    <w:bottom w:val="single" w:color="000000" w:sz="4" w:space="0"/>
                  </w:tcBorders>
                  <w:shd w:val="clear" w:color="auto" w:fill="auto"/>
                  <w:vAlign w:val="center"/>
                </w:tcPr>
                <w:p w14:paraId="0FFC9948">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污染源</w:t>
                  </w:r>
                </w:p>
              </w:tc>
              <w:tc>
                <w:tcPr>
                  <w:tcW w:w="726" w:type="pct"/>
                  <w:tcBorders>
                    <w:bottom w:val="single" w:color="000000" w:sz="4" w:space="0"/>
                  </w:tcBorders>
                  <w:shd w:val="clear" w:color="auto" w:fill="auto"/>
                  <w:vAlign w:val="center"/>
                </w:tcPr>
                <w:p w14:paraId="4A458823">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主要成分</w:t>
                  </w:r>
                </w:p>
              </w:tc>
              <w:tc>
                <w:tcPr>
                  <w:tcW w:w="2528" w:type="pct"/>
                  <w:tcBorders>
                    <w:bottom w:val="single" w:color="000000" w:sz="4" w:space="0"/>
                  </w:tcBorders>
                  <w:shd w:val="clear" w:color="auto" w:fill="auto"/>
                  <w:vAlign w:val="center"/>
                </w:tcPr>
                <w:p w14:paraId="5D31A646">
                  <w:pPr>
                    <w:widowControl/>
                    <w:snapToGrid w:val="0"/>
                    <w:spacing w:line="276" w:lineRule="auto"/>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拟采取的治理措施</w:t>
                  </w:r>
                </w:p>
              </w:tc>
            </w:tr>
            <w:tr w14:paraId="72913B0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restart"/>
                  <w:tcBorders>
                    <w:top w:val="single" w:color="000000" w:sz="4" w:space="0"/>
                    <w:bottom w:val="single" w:color="000000" w:sz="4" w:space="0"/>
                  </w:tcBorders>
                  <w:shd w:val="clear" w:color="auto" w:fill="auto"/>
                  <w:vAlign w:val="center"/>
                </w:tcPr>
                <w:p w14:paraId="6342475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自动售货机及智能垃圾分类箱生产线</w:t>
                  </w:r>
                </w:p>
              </w:tc>
              <w:tc>
                <w:tcPr>
                  <w:tcW w:w="554" w:type="pct"/>
                  <w:tcBorders>
                    <w:top w:val="single" w:color="000000" w:sz="4" w:space="0"/>
                    <w:bottom w:val="single" w:color="000000" w:sz="4" w:space="0"/>
                  </w:tcBorders>
                  <w:shd w:val="clear" w:color="auto" w:fill="auto"/>
                  <w:vAlign w:val="center"/>
                </w:tcPr>
                <w:p w14:paraId="59DBE61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G1</w:t>
                  </w:r>
                </w:p>
              </w:tc>
              <w:tc>
                <w:tcPr>
                  <w:tcW w:w="653" w:type="pct"/>
                  <w:tcBorders>
                    <w:top w:val="single" w:color="000000" w:sz="4" w:space="0"/>
                    <w:bottom w:val="single" w:color="000000" w:sz="4" w:space="0"/>
                  </w:tcBorders>
                  <w:shd w:val="clear" w:color="auto" w:fill="auto"/>
                  <w:vAlign w:val="center"/>
                </w:tcPr>
                <w:p w14:paraId="1C45A33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切割烟尘</w:t>
                  </w:r>
                </w:p>
              </w:tc>
              <w:tc>
                <w:tcPr>
                  <w:tcW w:w="726" w:type="pct"/>
                  <w:tcBorders>
                    <w:top w:val="single" w:color="000000" w:sz="4" w:space="0"/>
                    <w:bottom w:val="single" w:color="000000" w:sz="4" w:space="0"/>
                  </w:tcBorders>
                  <w:shd w:val="clear" w:color="auto" w:fill="auto"/>
                  <w:vAlign w:val="center"/>
                </w:tcPr>
                <w:p w14:paraId="416B930E">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颗粒物</w:t>
                  </w:r>
                </w:p>
              </w:tc>
              <w:tc>
                <w:tcPr>
                  <w:tcW w:w="2528" w:type="pct"/>
                  <w:vMerge w:val="restart"/>
                  <w:tcBorders>
                    <w:top w:val="single" w:color="000000" w:sz="4" w:space="0"/>
                    <w:bottom w:val="single" w:color="000000" w:sz="4" w:space="0"/>
                  </w:tcBorders>
                  <w:shd w:val="clear" w:color="auto" w:fill="auto"/>
                  <w:vAlign w:val="center"/>
                </w:tcPr>
                <w:p w14:paraId="0501F485">
                  <w:pPr>
                    <w:widowControl/>
                    <w:snapToGrid w:val="0"/>
                    <w:spacing w:line="276" w:lineRule="auto"/>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集气罩分别收集，经布袋除尘器处理后通过15m高</w:t>
                  </w:r>
                  <w:r>
                    <w:rPr>
                      <w:rFonts w:hint="eastAsia" w:ascii="Times New Roman" w:hAnsi="Times New Roman" w:eastAsia="宋体" w:cs="Times New Roman"/>
                      <w:color w:val="auto"/>
                      <w:sz w:val="18"/>
                      <w:szCs w:val="18"/>
                      <w:highlight w:val="none"/>
                    </w:rPr>
                    <w:t>DA001</w:t>
                  </w:r>
                  <w:r>
                    <w:rPr>
                      <w:rFonts w:ascii="Times New Roman" w:hAnsi="Times New Roman" w:eastAsia="宋体" w:cs="Times New Roman"/>
                      <w:color w:val="auto"/>
                      <w:sz w:val="18"/>
                      <w:szCs w:val="18"/>
                      <w:highlight w:val="none"/>
                    </w:rPr>
                    <w:t>排气筒排放，风量为10000m³/h</w:t>
                  </w:r>
                </w:p>
              </w:tc>
            </w:tr>
            <w:tr w14:paraId="0977D42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bottom w:val="single" w:color="000000" w:sz="4" w:space="0"/>
                  </w:tcBorders>
                  <w:shd w:val="clear" w:color="auto" w:fill="auto"/>
                  <w:vAlign w:val="center"/>
                </w:tcPr>
                <w:p w14:paraId="54870F58">
                  <w:pPr>
                    <w:jc w:val="center"/>
                    <w:rPr>
                      <w:rFonts w:ascii="Times New Roman" w:hAnsi="Times New Roman" w:eastAsia="宋体" w:cs="Times New Roman"/>
                      <w:color w:val="auto"/>
                      <w:sz w:val="18"/>
                      <w:szCs w:val="18"/>
                      <w:highlight w:val="none"/>
                    </w:rPr>
                  </w:pPr>
                </w:p>
              </w:tc>
              <w:tc>
                <w:tcPr>
                  <w:tcW w:w="554" w:type="pct"/>
                  <w:tcBorders>
                    <w:top w:val="single" w:color="000000" w:sz="4" w:space="0"/>
                    <w:bottom w:val="single" w:color="000000" w:sz="4" w:space="0"/>
                  </w:tcBorders>
                  <w:shd w:val="clear" w:color="auto" w:fill="auto"/>
                  <w:vAlign w:val="center"/>
                </w:tcPr>
                <w:p w14:paraId="37971DB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G2</w:t>
                  </w:r>
                </w:p>
              </w:tc>
              <w:tc>
                <w:tcPr>
                  <w:tcW w:w="653" w:type="pct"/>
                  <w:tcBorders>
                    <w:top w:val="single" w:color="000000" w:sz="4" w:space="0"/>
                    <w:bottom w:val="single" w:color="000000" w:sz="4" w:space="0"/>
                  </w:tcBorders>
                  <w:shd w:val="clear" w:color="auto" w:fill="auto"/>
                  <w:vAlign w:val="center"/>
                </w:tcPr>
                <w:p w14:paraId="4B00DE1D">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焊接烟尘</w:t>
                  </w:r>
                </w:p>
              </w:tc>
              <w:tc>
                <w:tcPr>
                  <w:tcW w:w="726" w:type="pct"/>
                  <w:tcBorders>
                    <w:top w:val="single" w:color="000000" w:sz="4" w:space="0"/>
                    <w:bottom w:val="single" w:color="000000" w:sz="4" w:space="0"/>
                  </w:tcBorders>
                  <w:shd w:val="clear" w:color="auto" w:fill="auto"/>
                  <w:vAlign w:val="center"/>
                </w:tcPr>
                <w:p w14:paraId="2DE4CD7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颗粒物</w:t>
                  </w:r>
                </w:p>
              </w:tc>
              <w:tc>
                <w:tcPr>
                  <w:tcW w:w="2528" w:type="pct"/>
                  <w:vMerge w:val="continue"/>
                  <w:tcBorders>
                    <w:top w:val="single" w:color="000000" w:sz="4" w:space="0"/>
                    <w:bottom w:val="single" w:color="000000" w:sz="4" w:space="0"/>
                  </w:tcBorders>
                  <w:shd w:val="clear" w:color="auto" w:fill="auto"/>
                  <w:vAlign w:val="center"/>
                </w:tcPr>
                <w:p w14:paraId="40500712">
                  <w:pPr>
                    <w:widowControl/>
                    <w:snapToGrid w:val="0"/>
                    <w:spacing w:line="276" w:lineRule="auto"/>
                    <w:jc w:val="center"/>
                    <w:rPr>
                      <w:rFonts w:ascii="Times New Roman" w:hAnsi="Times New Roman" w:eastAsia="宋体" w:cs="Times New Roman"/>
                      <w:color w:val="auto"/>
                      <w:sz w:val="18"/>
                      <w:szCs w:val="18"/>
                      <w:highlight w:val="none"/>
                    </w:rPr>
                  </w:pPr>
                </w:p>
              </w:tc>
            </w:tr>
            <w:tr w14:paraId="7879D6F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bottom w:val="single" w:color="000000" w:sz="4" w:space="0"/>
                  </w:tcBorders>
                  <w:shd w:val="clear" w:color="auto" w:fill="auto"/>
                  <w:vAlign w:val="center"/>
                </w:tcPr>
                <w:p w14:paraId="576B7362">
                  <w:pPr>
                    <w:jc w:val="center"/>
                    <w:rPr>
                      <w:rFonts w:ascii="Times New Roman" w:hAnsi="Times New Roman" w:eastAsia="宋体" w:cs="Times New Roman"/>
                      <w:color w:val="auto"/>
                      <w:sz w:val="18"/>
                      <w:szCs w:val="18"/>
                      <w:highlight w:val="none"/>
                    </w:rPr>
                  </w:pPr>
                </w:p>
              </w:tc>
              <w:tc>
                <w:tcPr>
                  <w:tcW w:w="554" w:type="pct"/>
                  <w:tcBorders>
                    <w:top w:val="single" w:color="000000" w:sz="4" w:space="0"/>
                    <w:bottom w:val="single" w:color="000000" w:sz="4" w:space="0"/>
                  </w:tcBorders>
                  <w:shd w:val="clear" w:color="auto" w:fill="auto"/>
                  <w:vAlign w:val="center"/>
                </w:tcPr>
                <w:p w14:paraId="4F770892">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G3</w:t>
                  </w:r>
                </w:p>
              </w:tc>
              <w:tc>
                <w:tcPr>
                  <w:tcW w:w="653" w:type="pct"/>
                  <w:tcBorders>
                    <w:top w:val="single" w:color="000000" w:sz="4" w:space="0"/>
                    <w:bottom w:val="single" w:color="000000" w:sz="4" w:space="0"/>
                  </w:tcBorders>
                  <w:shd w:val="clear" w:color="auto" w:fill="auto"/>
                  <w:vAlign w:val="center"/>
                </w:tcPr>
                <w:p w14:paraId="0C2CB1EB">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喷塑粉尘</w:t>
                  </w:r>
                </w:p>
              </w:tc>
              <w:tc>
                <w:tcPr>
                  <w:tcW w:w="726" w:type="pct"/>
                  <w:tcBorders>
                    <w:top w:val="single" w:color="000000" w:sz="4" w:space="0"/>
                    <w:bottom w:val="single" w:color="000000" w:sz="4" w:space="0"/>
                  </w:tcBorders>
                  <w:shd w:val="clear" w:color="auto" w:fill="auto"/>
                  <w:vAlign w:val="center"/>
                </w:tcPr>
                <w:p w14:paraId="2672F184">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颗粒物</w:t>
                  </w:r>
                </w:p>
              </w:tc>
              <w:tc>
                <w:tcPr>
                  <w:tcW w:w="2528" w:type="pct"/>
                  <w:tcBorders>
                    <w:top w:val="single" w:color="000000" w:sz="4" w:space="0"/>
                    <w:bottom w:val="single" w:color="000000" w:sz="4" w:space="0"/>
                  </w:tcBorders>
                  <w:shd w:val="clear" w:color="auto" w:fill="auto"/>
                  <w:vAlign w:val="center"/>
                </w:tcPr>
                <w:p w14:paraId="067DAD1D">
                  <w:pPr>
                    <w:widowControl/>
                    <w:snapToGrid w:val="0"/>
                    <w:spacing w:line="276" w:lineRule="auto"/>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密闭管道收集后通过</w:t>
                  </w:r>
                  <w:r>
                    <w:rPr>
                      <w:rFonts w:hint="eastAsia" w:ascii="Times New Roman" w:hAnsi="Times New Roman" w:eastAsia="宋体" w:cs="Times New Roman"/>
                      <w:color w:val="auto"/>
                      <w:sz w:val="18"/>
                      <w:szCs w:val="18"/>
                      <w:highlight w:val="none"/>
                      <w:lang w:eastAsia="zh-CN"/>
                    </w:rPr>
                    <w:t>大旋风+滤芯粉末回收+袋式除尘装置</w:t>
                  </w:r>
                  <w:r>
                    <w:rPr>
                      <w:rFonts w:ascii="Times New Roman" w:hAnsi="Times New Roman" w:eastAsia="宋体" w:cs="Times New Roman"/>
                      <w:color w:val="auto"/>
                      <w:sz w:val="18"/>
                      <w:szCs w:val="18"/>
                      <w:highlight w:val="none"/>
                    </w:rPr>
                    <w:t>进行处理后通过15m高</w:t>
                  </w:r>
                  <w:r>
                    <w:rPr>
                      <w:rFonts w:hint="eastAsia" w:ascii="Times New Roman" w:hAnsi="Times New Roman" w:eastAsia="宋体" w:cs="Times New Roman"/>
                      <w:color w:val="auto"/>
                      <w:sz w:val="18"/>
                      <w:szCs w:val="18"/>
                      <w:highlight w:val="none"/>
                    </w:rPr>
                    <w:t>DA002</w:t>
                  </w:r>
                  <w:r>
                    <w:rPr>
                      <w:rFonts w:ascii="Times New Roman" w:hAnsi="Times New Roman" w:eastAsia="宋体" w:cs="Times New Roman"/>
                      <w:color w:val="auto"/>
                      <w:sz w:val="18"/>
                      <w:szCs w:val="18"/>
                      <w:highlight w:val="none"/>
                    </w:rPr>
                    <w:t>排气筒排放，风量为1</w:t>
                  </w:r>
                  <w:r>
                    <w:rPr>
                      <w:rFonts w:hint="eastAsia" w:ascii="Times New Roman" w:hAnsi="Times New Roman" w:eastAsia="宋体" w:cs="Times New Roman"/>
                      <w:color w:val="auto"/>
                      <w:sz w:val="18"/>
                      <w:szCs w:val="18"/>
                      <w:highlight w:val="none"/>
                    </w:rPr>
                    <w:t>5</w:t>
                  </w:r>
                  <w:r>
                    <w:rPr>
                      <w:rFonts w:ascii="Times New Roman" w:hAnsi="Times New Roman" w:eastAsia="宋体" w:cs="Times New Roman"/>
                      <w:color w:val="auto"/>
                      <w:sz w:val="18"/>
                      <w:szCs w:val="18"/>
                      <w:highlight w:val="none"/>
                    </w:rPr>
                    <w:t>000m³/h</w:t>
                  </w:r>
                </w:p>
              </w:tc>
            </w:tr>
            <w:tr w14:paraId="47CFAC3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bottom w:val="single" w:color="000000" w:sz="4" w:space="0"/>
                  </w:tcBorders>
                  <w:shd w:val="clear" w:color="auto" w:fill="auto"/>
                  <w:vAlign w:val="center"/>
                </w:tcPr>
                <w:p w14:paraId="2FBCE379">
                  <w:pPr>
                    <w:jc w:val="center"/>
                    <w:rPr>
                      <w:rFonts w:ascii="Times New Roman" w:hAnsi="Times New Roman" w:eastAsia="宋体" w:cs="Times New Roman"/>
                      <w:color w:val="auto"/>
                      <w:sz w:val="18"/>
                      <w:szCs w:val="18"/>
                      <w:highlight w:val="none"/>
                    </w:rPr>
                  </w:pPr>
                </w:p>
              </w:tc>
              <w:tc>
                <w:tcPr>
                  <w:tcW w:w="554" w:type="pct"/>
                  <w:tcBorders>
                    <w:top w:val="single" w:color="000000" w:sz="4" w:space="0"/>
                    <w:bottom w:val="single" w:color="000000" w:sz="4" w:space="0"/>
                  </w:tcBorders>
                  <w:shd w:val="clear" w:color="auto" w:fill="auto"/>
                  <w:vAlign w:val="center"/>
                </w:tcPr>
                <w:p w14:paraId="56395999">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G4</w:t>
                  </w:r>
                </w:p>
              </w:tc>
              <w:tc>
                <w:tcPr>
                  <w:tcW w:w="653" w:type="pct"/>
                  <w:tcBorders>
                    <w:top w:val="single" w:color="000000" w:sz="4" w:space="0"/>
                    <w:bottom w:val="single" w:color="000000" w:sz="4" w:space="0"/>
                  </w:tcBorders>
                  <w:shd w:val="clear" w:color="auto" w:fill="auto"/>
                  <w:vAlign w:val="center"/>
                </w:tcPr>
                <w:p w14:paraId="39299AF6">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固化废气</w:t>
                  </w:r>
                </w:p>
              </w:tc>
              <w:tc>
                <w:tcPr>
                  <w:tcW w:w="726" w:type="pct"/>
                  <w:tcBorders>
                    <w:top w:val="single" w:color="000000" w:sz="4" w:space="0"/>
                    <w:bottom w:val="single" w:color="000000" w:sz="4" w:space="0"/>
                  </w:tcBorders>
                  <w:shd w:val="clear" w:color="auto" w:fill="auto"/>
                  <w:vAlign w:val="center"/>
                </w:tcPr>
                <w:p w14:paraId="3221DB60">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非甲烷总烃</w:t>
                  </w:r>
                </w:p>
              </w:tc>
              <w:tc>
                <w:tcPr>
                  <w:tcW w:w="2528" w:type="pct"/>
                  <w:tcBorders>
                    <w:top w:val="single" w:color="000000" w:sz="4" w:space="0"/>
                    <w:bottom w:val="single" w:color="000000" w:sz="4" w:space="0"/>
                  </w:tcBorders>
                  <w:shd w:val="clear" w:color="auto" w:fill="auto"/>
                  <w:vAlign w:val="center"/>
                </w:tcPr>
                <w:p w14:paraId="04C33FF3">
                  <w:pPr>
                    <w:widowControl/>
                    <w:snapToGrid w:val="0"/>
                    <w:spacing w:line="276" w:lineRule="auto"/>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密闭管道收集后通过二级活性炭净化装置处理后，经由15m高的</w:t>
                  </w:r>
                  <w:r>
                    <w:rPr>
                      <w:rFonts w:hint="eastAsia" w:ascii="Times New Roman" w:hAnsi="Times New Roman" w:eastAsia="宋体" w:cs="Times New Roman"/>
                      <w:color w:val="auto"/>
                      <w:sz w:val="18"/>
                      <w:szCs w:val="18"/>
                      <w:highlight w:val="none"/>
                    </w:rPr>
                    <w:t>DA003</w:t>
                  </w:r>
                  <w:r>
                    <w:rPr>
                      <w:rFonts w:ascii="Times New Roman" w:hAnsi="Times New Roman" w:eastAsia="宋体" w:cs="Times New Roman"/>
                      <w:color w:val="auto"/>
                      <w:sz w:val="18"/>
                      <w:szCs w:val="18"/>
                      <w:highlight w:val="none"/>
                    </w:rPr>
                    <w:t>排气筒排放，风量为</w:t>
                  </w:r>
                  <w:r>
                    <w:rPr>
                      <w:rFonts w:hint="eastAsia" w:ascii="Times New Roman" w:hAnsi="Times New Roman" w:eastAsia="宋体" w:cs="Times New Roman"/>
                      <w:color w:val="auto"/>
                      <w:sz w:val="18"/>
                      <w:szCs w:val="18"/>
                      <w:highlight w:val="none"/>
                    </w:rPr>
                    <w:t>10</w:t>
                  </w:r>
                  <w:r>
                    <w:rPr>
                      <w:rFonts w:ascii="Times New Roman" w:hAnsi="Times New Roman" w:eastAsia="宋体" w:cs="Times New Roman"/>
                      <w:color w:val="auto"/>
                      <w:sz w:val="18"/>
                      <w:szCs w:val="18"/>
                      <w:highlight w:val="none"/>
                    </w:rPr>
                    <w:t>000m³/h</w:t>
                  </w:r>
                </w:p>
              </w:tc>
            </w:tr>
            <w:tr w14:paraId="3AE6CF1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bottom w:val="single" w:color="000000" w:sz="4" w:space="0"/>
                  </w:tcBorders>
                  <w:shd w:val="clear" w:color="auto" w:fill="auto"/>
                  <w:vAlign w:val="center"/>
                </w:tcPr>
                <w:p w14:paraId="543C4BA4">
                  <w:pPr>
                    <w:jc w:val="center"/>
                    <w:rPr>
                      <w:rFonts w:ascii="Times New Roman" w:hAnsi="Times New Roman" w:eastAsia="宋体" w:cs="Times New Roman"/>
                      <w:color w:val="auto"/>
                      <w:sz w:val="18"/>
                      <w:szCs w:val="18"/>
                      <w:highlight w:val="none"/>
                    </w:rPr>
                  </w:pPr>
                </w:p>
              </w:tc>
              <w:tc>
                <w:tcPr>
                  <w:tcW w:w="554" w:type="pct"/>
                  <w:tcBorders>
                    <w:top w:val="single" w:color="000000" w:sz="4" w:space="0"/>
                    <w:bottom w:val="single" w:color="000000" w:sz="4" w:space="0"/>
                  </w:tcBorders>
                  <w:shd w:val="clear" w:color="auto" w:fill="auto"/>
                  <w:vAlign w:val="center"/>
                </w:tcPr>
                <w:p w14:paraId="036E685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S1</w:t>
                  </w:r>
                </w:p>
              </w:tc>
              <w:tc>
                <w:tcPr>
                  <w:tcW w:w="653" w:type="pct"/>
                  <w:tcBorders>
                    <w:top w:val="single" w:color="000000" w:sz="4" w:space="0"/>
                    <w:bottom w:val="single" w:color="000000" w:sz="4" w:space="0"/>
                  </w:tcBorders>
                  <w:shd w:val="clear" w:color="auto" w:fill="auto"/>
                  <w:vAlign w:val="center"/>
                </w:tcPr>
                <w:p w14:paraId="743BCE6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边角料</w:t>
                  </w:r>
                </w:p>
              </w:tc>
              <w:tc>
                <w:tcPr>
                  <w:tcW w:w="726" w:type="pct"/>
                  <w:tcBorders>
                    <w:top w:val="single" w:color="000000" w:sz="4" w:space="0"/>
                    <w:bottom w:val="single" w:color="000000" w:sz="4" w:space="0"/>
                  </w:tcBorders>
                  <w:shd w:val="clear" w:color="auto" w:fill="auto"/>
                  <w:vAlign w:val="center"/>
                </w:tcPr>
                <w:p w14:paraId="28DA071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钢材</w:t>
                  </w:r>
                </w:p>
              </w:tc>
              <w:tc>
                <w:tcPr>
                  <w:tcW w:w="2528" w:type="pct"/>
                  <w:tcBorders>
                    <w:top w:val="single" w:color="000000" w:sz="4" w:space="0"/>
                    <w:bottom w:val="single" w:color="000000" w:sz="4" w:space="0"/>
                  </w:tcBorders>
                  <w:shd w:val="clear" w:color="auto" w:fill="auto"/>
                  <w:vAlign w:val="center"/>
                </w:tcPr>
                <w:p w14:paraId="626978A1">
                  <w:pPr>
                    <w:widowControl/>
                    <w:snapToGrid w:val="0"/>
                    <w:spacing w:line="276" w:lineRule="auto"/>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集中收集暂存于一般固废暂存间，外售综合利用</w:t>
                  </w:r>
                </w:p>
              </w:tc>
            </w:tr>
            <w:tr w14:paraId="5A10C81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bottom w:val="single" w:color="000000" w:sz="4" w:space="0"/>
                  </w:tcBorders>
                  <w:shd w:val="clear" w:color="auto" w:fill="auto"/>
                  <w:vAlign w:val="center"/>
                </w:tcPr>
                <w:p w14:paraId="53C7295D">
                  <w:pPr>
                    <w:jc w:val="center"/>
                    <w:rPr>
                      <w:rFonts w:ascii="Times New Roman" w:hAnsi="Times New Roman" w:eastAsia="宋体" w:cs="Times New Roman"/>
                      <w:color w:val="auto"/>
                      <w:sz w:val="18"/>
                      <w:szCs w:val="18"/>
                      <w:highlight w:val="none"/>
                    </w:rPr>
                  </w:pPr>
                </w:p>
              </w:tc>
              <w:tc>
                <w:tcPr>
                  <w:tcW w:w="554" w:type="pct"/>
                  <w:tcBorders>
                    <w:top w:val="single" w:color="000000" w:sz="4" w:space="0"/>
                    <w:bottom w:val="single" w:color="000000" w:sz="4" w:space="0"/>
                  </w:tcBorders>
                  <w:shd w:val="clear" w:color="auto" w:fill="auto"/>
                  <w:vAlign w:val="center"/>
                </w:tcPr>
                <w:p w14:paraId="21D8B8A8">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S2</w:t>
                  </w:r>
                </w:p>
              </w:tc>
              <w:tc>
                <w:tcPr>
                  <w:tcW w:w="653" w:type="pct"/>
                  <w:tcBorders>
                    <w:top w:val="single" w:color="000000" w:sz="4" w:space="0"/>
                    <w:bottom w:val="single" w:color="000000" w:sz="4" w:space="0"/>
                  </w:tcBorders>
                  <w:shd w:val="clear" w:color="auto" w:fill="auto"/>
                  <w:vAlign w:val="center"/>
                </w:tcPr>
                <w:p w14:paraId="5D3014DC">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焊渣</w:t>
                  </w:r>
                </w:p>
              </w:tc>
              <w:tc>
                <w:tcPr>
                  <w:tcW w:w="726" w:type="pct"/>
                  <w:tcBorders>
                    <w:top w:val="single" w:color="000000" w:sz="4" w:space="0"/>
                    <w:bottom w:val="single" w:color="000000" w:sz="4" w:space="0"/>
                  </w:tcBorders>
                  <w:shd w:val="clear" w:color="auto" w:fill="auto"/>
                  <w:vAlign w:val="center"/>
                </w:tcPr>
                <w:p w14:paraId="478567F1">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钢</w:t>
                  </w:r>
                </w:p>
              </w:tc>
              <w:tc>
                <w:tcPr>
                  <w:tcW w:w="2528" w:type="pct"/>
                  <w:tcBorders>
                    <w:top w:val="single" w:color="000000" w:sz="4" w:space="0"/>
                    <w:bottom w:val="single" w:color="000000" w:sz="4" w:space="0"/>
                  </w:tcBorders>
                  <w:shd w:val="clear" w:color="auto" w:fill="auto"/>
                  <w:vAlign w:val="center"/>
                </w:tcPr>
                <w:p w14:paraId="1E250710">
                  <w:pPr>
                    <w:widowControl/>
                    <w:snapToGrid w:val="0"/>
                    <w:spacing w:line="276" w:lineRule="auto"/>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集中收集暂存于一般固废暂存间，外售综合利用</w:t>
                  </w:r>
                </w:p>
              </w:tc>
            </w:tr>
            <w:tr w14:paraId="05373F0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bottom w:val="single" w:color="000000" w:sz="4" w:space="0"/>
                  </w:tcBorders>
                  <w:shd w:val="clear" w:color="auto" w:fill="auto"/>
                  <w:vAlign w:val="center"/>
                </w:tcPr>
                <w:p w14:paraId="19E26FE7">
                  <w:pPr>
                    <w:jc w:val="center"/>
                    <w:rPr>
                      <w:rFonts w:ascii="Times New Roman" w:hAnsi="Times New Roman" w:eastAsia="宋体" w:cs="Times New Roman"/>
                      <w:color w:val="auto"/>
                      <w:sz w:val="18"/>
                      <w:szCs w:val="18"/>
                      <w:highlight w:val="none"/>
                    </w:rPr>
                  </w:pPr>
                </w:p>
              </w:tc>
              <w:tc>
                <w:tcPr>
                  <w:tcW w:w="554" w:type="pct"/>
                  <w:tcBorders>
                    <w:top w:val="single" w:color="000000" w:sz="4" w:space="0"/>
                    <w:bottom w:val="single" w:color="000000" w:sz="4" w:space="0"/>
                  </w:tcBorders>
                  <w:shd w:val="clear" w:color="auto" w:fill="auto"/>
                  <w:vAlign w:val="center"/>
                </w:tcPr>
                <w:p w14:paraId="336DB28D">
                  <w:pPr>
                    <w:widowControl/>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S3</w:t>
                  </w:r>
                </w:p>
              </w:tc>
              <w:tc>
                <w:tcPr>
                  <w:tcW w:w="653" w:type="pct"/>
                  <w:tcBorders>
                    <w:top w:val="single" w:color="000000" w:sz="4" w:space="0"/>
                    <w:bottom w:val="single" w:color="000000" w:sz="4" w:space="0"/>
                  </w:tcBorders>
                  <w:shd w:val="clear" w:color="auto" w:fill="auto"/>
                  <w:vAlign w:val="center"/>
                </w:tcPr>
                <w:p w14:paraId="471A679C">
                  <w:pPr>
                    <w:widowControl/>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废砂纸</w:t>
                  </w:r>
                </w:p>
              </w:tc>
              <w:tc>
                <w:tcPr>
                  <w:tcW w:w="726" w:type="pct"/>
                  <w:tcBorders>
                    <w:top w:val="single" w:color="000000" w:sz="4" w:space="0"/>
                    <w:bottom w:val="single" w:color="000000" w:sz="4" w:space="0"/>
                  </w:tcBorders>
                  <w:shd w:val="clear" w:color="auto" w:fill="auto"/>
                  <w:vAlign w:val="center"/>
                </w:tcPr>
                <w:p w14:paraId="64085DB3">
                  <w:pPr>
                    <w:widowControl/>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砂纸</w:t>
                  </w:r>
                </w:p>
              </w:tc>
              <w:tc>
                <w:tcPr>
                  <w:tcW w:w="2528" w:type="pct"/>
                  <w:tcBorders>
                    <w:top w:val="single" w:color="000000" w:sz="4" w:space="0"/>
                    <w:bottom w:val="single" w:color="000000" w:sz="4" w:space="0"/>
                  </w:tcBorders>
                  <w:shd w:val="clear" w:color="auto" w:fill="auto"/>
                  <w:vAlign w:val="center"/>
                </w:tcPr>
                <w:p w14:paraId="589AC33E">
                  <w:pPr>
                    <w:widowControl/>
                    <w:snapToGrid w:val="0"/>
                    <w:spacing w:line="276" w:lineRule="auto"/>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集中收集暂存于一般固废暂存间，外售综合利用</w:t>
                  </w:r>
                </w:p>
              </w:tc>
            </w:tr>
            <w:tr w14:paraId="1B59862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op w:val="single" w:color="000000" w:sz="4" w:space="0"/>
                  </w:tcBorders>
                  <w:shd w:val="clear" w:color="auto" w:fill="auto"/>
                  <w:vAlign w:val="center"/>
                </w:tcPr>
                <w:p w14:paraId="54AA61C2">
                  <w:pPr>
                    <w:jc w:val="center"/>
                    <w:rPr>
                      <w:rFonts w:ascii="Times New Roman" w:hAnsi="Times New Roman" w:eastAsia="宋体" w:cs="Times New Roman"/>
                      <w:color w:val="auto"/>
                      <w:sz w:val="18"/>
                      <w:szCs w:val="18"/>
                      <w:highlight w:val="none"/>
                    </w:rPr>
                  </w:pPr>
                </w:p>
              </w:tc>
              <w:tc>
                <w:tcPr>
                  <w:tcW w:w="554" w:type="pct"/>
                  <w:tcBorders>
                    <w:top w:val="single" w:color="000000" w:sz="4" w:space="0"/>
                  </w:tcBorders>
                  <w:shd w:val="clear" w:color="auto" w:fill="auto"/>
                  <w:vAlign w:val="center"/>
                </w:tcPr>
                <w:p w14:paraId="3AFD9344">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S</w:t>
                  </w:r>
                  <w:r>
                    <w:rPr>
                      <w:rFonts w:hint="eastAsia" w:ascii="Times New Roman" w:hAnsi="Times New Roman" w:eastAsia="宋体" w:cs="Times New Roman"/>
                      <w:color w:val="auto"/>
                      <w:kern w:val="0"/>
                      <w:sz w:val="18"/>
                      <w:szCs w:val="18"/>
                      <w:highlight w:val="none"/>
                    </w:rPr>
                    <w:t>4</w:t>
                  </w:r>
                </w:p>
              </w:tc>
              <w:tc>
                <w:tcPr>
                  <w:tcW w:w="653" w:type="pct"/>
                  <w:tcBorders>
                    <w:top w:val="single" w:color="000000" w:sz="4" w:space="0"/>
                  </w:tcBorders>
                  <w:shd w:val="clear" w:color="auto" w:fill="auto"/>
                  <w:vAlign w:val="center"/>
                </w:tcPr>
                <w:p w14:paraId="6896E645">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废塑粉</w:t>
                  </w:r>
                </w:p>
              </w:tc>
              <w:tc>
                <w:tcPr>
                  <w:tcW w:w="726" w:type="pct"/>
                  <w:tcBorders>
                    <w:top w:val="single" w:color="000000" w:sz="4" w:space="0"/>
                  </w:tcBorders>
                  <w:shd w:val="clear" w:color="auto" w:fill="auto"/>
                  <w:vAlign w:val="center"/>
                </w:tcPr>
                <w:p w14:paraId="54C9CB6B">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塑粉</w:t>
                  </w:r>
                </w:p>
              </w:tc>
              <w:tc>
                <w:tcPr>
                  <w:tcW w:w="2528" w:type="pct"/>
                  <w:tcBorders>
                    <w:top w:val="single" w:color="000000" w:sz="4" w:space="0"/>
                  </w:tcBorders>
                  <w:shd w:val="clear" w:color="auto" w:fill="auto"/>
                  <w:vAlign w:val="center"/>
                </w:tcPr>
                <w:p w14:paraId="68E8041A">
                  <w:pPr>
                    <w:widowControl/>
                    <w:snapToGrid w:val="0"/>
                    <w:spacing w:line="276" w:lineRule="auto"/>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收集后回用于喷塑工序</w:t>
                  </w:r>
                </w:p>
              </w:tc>
            </w:tr>
            <w:tr w14:paraId="33A2417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37" w:type="pct"/>
                  <w:vMerge w:val="continue"/>
                  <w:tcBorders>
                    <w:tl2br w:val="nil"/>
                    <w:tr2bl w:val="nil"/>
                  </w:tcBorders>
                  <w:shd w:val="clear" w:color="auto" w:fill="auto"/>
                  <w:vAlign w:val="center"/>
                </w:tcPr>
                <w:p w14:paraId="78319363">
                  <w:pPr>
                    <w:jc w:val="center"/>
                    <w:rPr>
                      <w:rFonts w:ascii="Times New Roman" w:hAnsi="Times New Roman" w:eastAsia="宋体" w:cs="Times New Roman"/>
                      <w:color w:val="auto"/>
                      <w:sz w:val="18"/>
                      <w:szCs w:val="18"/>
                      <w:highlight w:val="none"/>
                    </w:rPr>
                  </w:pPr>
                </w:p>
              </w:tc>
              <w:tc>
                <w:tcPr>
                  <w:tcW w:w="554" w:type="pct"/>
                  <w:tcBorders>
                    <w:tl2br w:val="nil"/>
                    <w:tr2bl w:val="nil"/>
                  </w:tcBorders>
                  <w:shd w:val="clear" w:color="auto" w:fill="auto"/>
                  <w:vAlign w:val="center"/>
                </w:tcPr>
                <w:p w14:paraId="1F4D0AE3">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S</w:t>
                  </w:r>
                  <w:r>
                    <w:rPr>
                      <w:rFonts w:hint="eastAsia" w:ascii="Times New Roman" w:hAnsi="Times New Roman" w:eastAsia="宋体" w:cs="Times New Roman"/>
                      <w:color w:val="auto"/>
                      <w:kern w:val="0"/>
                      <w:sz w:val="18"/>
                      <w:szCs w:val="18"/>
                      <w:highlight w:val="none"/>
                    </w:rPr>
                    <w:t>5</w:t>
                  </w:r>
                </w:p>
              </w:tc>
              <w:tc>
                <w:tcPr>
                  <w:tcW w:w="653" w:type="pct"/>
                  <w:tcBorders>
                    <w:tl2br w:val="nil"/>
                    <w:tr2bl w:val="nil"/>
                  </w:tcBorders>
                  <w:shd w:val="clear" w:color="auto" w:fill="auto"/>
                  <w:vAlign w:val="center"/>
                </w:tcPr>
                <w:p w14:paraId="2FA29E0B">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废包装物</w:t>
                  </w:r>
                </w:p>
              </w:tc>
              <w:tc>
                <w:tcPr>
                  <w:tcW w:w="726" w:type="pct"/>
                  <w:tcBorders>
                    <w:tl2br w:val="nil"/>
                    <w:tr2bl w:val="nil"/>
                  </w:tcBorders>
                  <w:shd w:val="clear" w:color="auto" w:fill="auto"/>
                  <w:vAlign w:val="center"/>
                </w:tcPr>
                <w:p w14:paraId="1621309E">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塑料</w:t>
                  </w:r>
                </w:p>
              </w:tc>
              <w:tc>
                <w:tcPr>
                  <w:tcW w:w="2528" w:type="pct"/>
                  <w:tcBorders>
                    <w:tl2br w:val="nil"/>
                    <w:tr2bl w:val="nil"/>
                  </w:tcBorders>
                  <w:shd w:val="clear" w:color="auto" w:fill="auto"/>
                  <w:vAlign w:val="center"/>
                </w:tcPr>
                <w:p w14:paraId="36F879B7">
                  <w:pPr>
                    <w:widowControl/>
                    <w:snapToGrid w:val="0"/>
                    <w:spacing w:line="276" w:lineRule="auto"/>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集中收集暂存于一般固废暂存间，外售综合利用</w:t>
                  </w:r>
                </w:p>
              </w:tc>
            </w:tr>
          </w:tbl>
          <w:p w14:paraId="758622F4">
            <w:pPr>
              <w:widowControl/>
              <w:spacing w:line="360" w:lineRule="auto"/>
              <w:rPr>
                <w:rFonts w:ascii="Times New Roman" w:hAnsi="Times New Roman" w:eastAsia="宋体" w:cs="Times New Roman"/>
                <w:color w:val="auto"/>
                <w:kern w:val="0"/>
                <w:sz w:val="24"/>
                <w:szCs w:val="24"/>
                <w:highlight w:val="none"/>
              </w:rPr>
            </w:pPr>
          </w:p>
        </w:tc>
      </w:tr>
      <w:tr w14:paraId="418B10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5" w:hRule="atLeast"/>
          <w:jc w:val="center"/>
        </w:trPr>
        <w:tc>
          <w:tcPr>
            <w:tcW w:w="456" w:type="dxa"/>
            <w:vAlign w:val="center"/>
          </w:tcPr>
          <w:p w14:paraId="5C8D58D0">
            <w:pPr>
              <w:widowControl/>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bCs/>
                <w:color w:val="auto"/>
                <w:sz w:val="24"/>
                <w:szCs w:val="24"/>
                <w:highlight w:val="none"/>
              </w:rPr>
              <w:t>与项目有关的原有环境污染问题</w:t>
            </w:r>
          </w:p>
        </w:tc>
        <w:tc>
          <w:tcPr>
            <w:tcW w:w="8814" w:type="dxa"/>
          </w:tcPr>
          <w:p w14:paraId="136387CC">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本项目为新建项目，租赁</w:t>
            </w:r>
            <w:r>
              <w:rPr>
                <w:rFonts w:ascii="Times New Roman" w:hAnsi="Times New Roman" w:eastAsia="宋体" w:cs="Times New Roman"/>
                <w:color w:val="auto"/>
                <w:kern w:val="0"/>
                <w:sz w:val="24"/>
                <w:szCs w:val="24"/>
                <w:highlight w:val="none"/>
              </w:rPr>
              <w:t>淮南中兴实业有限责任公司位于</w:t>
            </w:r>
            <w:r>
              <w:rPr>
                <w:rFonts w:ascii="Times New Roman" w:hAnsi="Times New Roman" w:eastAsia="宋体" w:cs="Times New Roman"/>
                <w:color w:val="auto"/>
                <w:sz w:val="24"/>
                <w:highlight w:val="none"/>
              </w:rPr>
              <w:t>八公山区</w:t>
            </w:r>
            <w:r>
              <w:rPr>
                <w:rFonts w:ascii="Times New Roman" w:hAnsi="Times New Roman" w:eastAsia="宋体" w:cs="Times New Roman"/>
                <w:color w:val="auto"/>
                <w:kern w:val="0"/>
                <w:sz w:val="24"/>
                <w:szCs w:val="24"/>
                <w:highlight w:val="none"/>
              </w:rPr>
              <w:t>毕家岗街道新建社区</w:t>
            </w:r>
            <w:r>
              <w:rPr>
                <w:rFonts w:ascii="Times New Roman" w:hAnsi="Times New Roman" w:eastAsia="宋体" w:cs="Times New Roman"/>
                <w:color w:val="auto"/>
                <w:sz w:val="24"/>
                <w:highlight w:val="none"/>
              </w:rPr>
              <w:t>的空置厂房，</w:t>
            </w:r>
            <w:r>
              <w:rPr>
                <w:rFonts w:hint="eastAsia" w:ascii="Times New Roman" w:hAnsi="Times New Roman" w:eastAsia="宋体" w:cs="Times New Roman"/>
                <w:color w:val="auto"/>
                <w:sz w:val="24"/>
                <w:highlight w:val="none"/>
                <w:lang w:val="en-US" w:eastAsia="zh-CN"/>
              </w:rPr>
              <w:t>目前本项目</w:t>
            </w:r>
            <w:r>
              <w:rPr>
                <w:rFonts w:hint="eastAsia" w:ascii="Times New Roman" w:hAnsi="Times New Roman" w:eastAsia="宋体" w:cs="Times New Roman"/>
                <w:color w:val="auto"/>
                <w:sz w:val="24"/>
                <w:szCs w:val="24"/>
                <w:highlight w:val="none"/>
              </w:rPr>
              <w:t>建设进程处于设备安装阶段</w:t>
            </w:r>
            <w:r>
              <w:rPr>
                <w:rFonts w:hint="eastAsia" w:ascii="Times New Roman" w:hAnsi="Times New Roman" w:eastAsia="宋体" w:cs="Times New Roman"/>
                <w:color w:val="auto"/>
                <w:sz w:val="24"/>
                <w:szCs w:val="24"/>
                <w:highlight w:val="none"/>
                <w:lang w:eastAsia="zh-CN"/>
              </w:rPr>
              <w:t>，淮南市生态环境局</w:t>
            </w:r>
            <w:r>
              <w:rPr>
                <w:rFonts w:hint="eastAsia" w:ascii="Times New Roman" w:hAnsi="Times New Roman" w:eastAsia="宋体" w:cs="Times New Roman"/>
                <w:color w:val="auto"/>
                <w:sz w:val="24"/>
                <w:szCs w:val="24"/>
                <w:highlight w:val="none"/>
                <w:lang w:val="en-US" w:eastAsia="zh-CN"/>
              </w:rPr>
              <w:t>以</w:t>
            </w:r>
            <w:r>
              <w:rPr>
                <w:rFonts w:hint="eastAsia" w:ascii="Times New Roman" w:hAnsi="Times New Roman" w:eastAsia="宋体" w:cs="Times New Roman"/>
                <w:color w:val="auto"/>
                <w:sz w:val="24"/>
                <w:szCs w:val="24"/>
                <w:highlight w:val="none"/>
              </w:rPr>
              <w:t>皖淮南环</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八</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罚</w:t>
            </w:r>
            <w:r>
              <w:rPr>
                <w:rFonts w:hint="eastAsia" w:ascii="Times New Roman" w:hAnsi="Times New Roman" w:eastAsia="宋体" w:cs="Times New Roman"/>
                <w:color w:val="auto"/>
                <w:sz w:val="24"/>
                <w:szCs w:val="24"/>
                <w:highlight w:val="none"/>
                <w:lang w:eastAsia="zh-CN"/>
              </w:rPr>
              <w:t>〔2024〕2号</w:t>
            </w:r>
            <w:r>
              <w:rPr>
                <w:rFonts w:hint="eastAsia" w:ascii="Times New Roman" w:hAnsi="Times New Roman" w:eastAsia="宋体" w:cs="Times New Roman"/>
                <w:color w:val="auto"/>
                <w:sz w:val="24"/>
                <w:szCs w:val="24"/>
                <w:highlight w:val="none"/>
                <w:lang w:val="en-US" w:eastAsia="zh-CN"/>
              </w:rPr>
              <w:t>对建设单位出具行政处罚决定书，罚款人民币壹万玖仟玖佰伍拾元整。</w:t>
            </w:r>
            <w:r>
              <w:rPr>
                <w:rFonts w:ascii="Times New Roman" w:hAnsi="Times New Roman" w:eastAsia="宋体" w:cs="Times New Roman"/>
                <w:bCs/>
                <w:color w:val="auto"/>
                <w:sz w:val="24"/>
                <w:szCs w:val="24"/>
                <w:highlight w:val="none"/>
              </w:rPr>
              <w:t>根据现场调查，项目用地范围内无原有环境污染问题。</w:t>
            </w:r>
          </w:p>
          <w:p w14:paraId="759B58FA">
            <w:pPr>
              <w:spacing w:line="360" w:lineRule="auto"/>
              <w:jc w:val="left"/>
              <w:rPr>
                <w:rFonts w:ascii="Times New Roman" w:hAnsi="Times New Roman" w:eastAsia="宋体" w:cs="Times New Roman"/>
                <w:bCs/>
                <w:color w:val="auto"/>
                <w:sz w:val="24"/>
                <w:szCs w:val="24"/>
                <w:highlight w:val="none"/>
              </w:rPr>
            </w:pPr>
          </w:p>
        </w:tc>
      </w:tr>
    </w:tbl>
    <w:p w14:paraId="3113D3F7">
      <w:pPr>
        <w:widowControl/>
        <w:spacing w:before="100" w:beforeAutospacing="1" w:after="100" w:afterAutospacing="1"/>
        <w:jc w:val="center"/>
        <w:outlineLvl w:val="0"/>
        <w:rPr>
          <w:rFonts w:ascii="Times New Roman" w:hAnsi="Times New Roman" w:eastAsia="宋体" w:cs="Times New Roman"/>
          <w:snapToGrid w:val="0"/>
          <w:color w:val="auto"/>
          <w:kern w:val="0"/>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E9C7FFE">
      <w:pPr>
        <w:widowControl/>
        <w:spacing w:before="100" w:beforeAutospacing="1" w:after="100" w:afterAutospacing="1"/>
        <w:jc w:val="center"/>
        <w:outlineLvl w:val="0"/>
        <w:rPr>
          <w:rFonts w:ascii="Times New Roman" w:hAnsi="Times New Roman" w:eastAsia="宋体" w:cs="Times New Roman"/>
          <w:snapToGrid w:val="0"/>
          <w:color w:val="auto"/>
          <w:kern w:val="0"/>
          <w:sz w:val="30"/>
          <w:szCs w:val="30"/>
          <w:highlight w:val="none"/>
        </w:rPr>
      </w:pPr>
      <w:r>
        <w:rPr>
          <w:rFonts w:ascii="Times New Roman" w:hAnsi="Times New Roman" w:eastAsia="宋体" w:cs="Times New Roman"/>
          <w:snapToGrid w:val="0"/>
          <w:color w:val="auto"/>
          <w:kern w:val="0"/>
          <w:sz w:val="30"/>
          <w:szCs w:val="30"/>
          <w:highlight w:val="none"/>
        </w:rPr>
        <w:t>三、区域环境质量现状、环境保护目标及评价标准</w:t>
      </w:r>
    </w:p>
    <w:tbl>
      <w:tblPr>
        <w:tblStyle w:val="18"/>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7"/>
        <w:gridCol w:w="8065"/>
      </w:tblGrid>
      <w:tr w14:paraId="6C71A6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06" w:hRule="atLeast"/>
          <w:jc w:val="center"/>
        </w:trPr>
        <w:tc>
          <w:tcPr>
            <w:tcW w:w="457" w:type="dxa"/>
            <w:tcBorders>
              <w:right w:val="single" w:color="000000" w:sz="8" w:space="0"/>
            </w:tcBorders>
            <w:vAlign w:val="center"/>
          </w:tcPr>
          <w:p w14:paraId="164A956A">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区域</w:t>
            </w:r>
          </w:p>
          <w:p w14:paraId="11AA9681">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环境</w:t>
            </w:r>
          </w:p>
          <w:p w14:paraId="28F9A7A9">
            <w:pPr>
              <w:adjustRightInd w:val="0"/>
              <w:snapToGrid w:val="0"/>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质量</w:t>
            </w:r>
          </w:p>
          <w:p w14:paraId="416FC1E4">
            <w:pPr>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 w:val="24"/>
                <w:szCs w:val="24"/>
                <w:highlight w:val="none"/>
              </w:rPr>
              <w:t>现状</w:t>
            </w:r>
          </w:p>
        </w:tc>
        <w:tc>
          <w:tcPr>
            <w:tcW w:w="8065" w:type="dxa"/>
            <w:tcBorders>
              <w:left w:val="single" w:color="000000" w:sz="8" w:space="0"/>
            </w:tcBorders>
          </w:tcPr>
          <w:p w14:paraId="2B1706C1">
            <w:pPr>
              <w:spacing w:line="360" w:lineRule="auto"/>
              <w:ind w:firstLine="482" w:firstLineChars="200"/>
              <w:jc w:val="left"/>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1、环境空气质量现状</w:t>
            </w:r>
          </w:p>
          <w:p w14:paraId="6167DA53">
            <w:pPr>
              <w:spacing w:line="336" w:lineRule="auto"/>
              <w:ind w:firstLine="482" w:firstLineChars="200"/>
              <w:jc w:val="left"/>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（1）</w:t>
            </w:r>
            <w:r>
              <w:rPr>
                <w:rFonts w:ascii="Times New Roman" w:hAnsi="Times New Roman" w:eastAsia="宋体" w:cs="Times New Roman"/>
                <w:b/>
                <w:bCs/>
                <w:color w:val="auto"/>
                <w:sz w:val="24"/>
                <w:szCs w:val="28"/>
                <w:highlight w:val="none"/>
              </w:rPr>
              <w:t>基本污染物空气质量现状</w:t>
            </w:r>
          </w:p>
          <w:p w14:paraId="64B315E6">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根据《环境影响评价技术导则大气环境》（HJ2.2-2018），项目所在区域达标情况判定</w:t>
            </w:r>
            <w:r>
              <w:rPr>
                <w:rFonts w:hint="eastAsia" w:ascii="Times New Roman" w:hAnsi="Times New Roman" w:eastAsia="宋体" w:cs="Times New Roman"/>
                <w:color w:val="auto"/>
                <w:kern w:val="0"/>
                <w:sz w:val="24"/>
                <w:szCs w:val="24"/>
                <w:highlight w:val="none"/>
                <w:lang w:eastAsia="zh-CN"/>
              </w:rPr>
              <w:t>优先采用</w:t>
            </w:r>
            <w:r>
              <w:rPr>
                <w:rFonts w:ascii="Times New Roman" w:hAnsi="Times New Roman" w:eastAsia="宋体" w:cs="Times New Roman"/>
                <w:color w:val="auto"/>
                <w:kern w:val="0"/>
                <w:sz w:val="24"/>
                <w:szCs w:val="24"/>
                <w:highlight w:val="none"/>
              </w:rPr>
              <w:t>国家或地方生态环境主管部门公开发布的环境质量公告或环境质量报告中的数据或结论。</w:t>
            </w:r>
          </w:p>
          <w:p w14:paraId="5976CA20">
            <w:pPr>
              <w:widowControl/>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根据淮南市生态环境局发布的《202</w:t>
            </w:r>
            <w:r>
              <w:rPr>
                <w:rFonts w:hint="eastAsia" w:ascii="Times New Roman" w:hAnsi="Times New Roman"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年淮南市环境质量公报》可知，202</w:t>
            </w:r>
            <w:r>
              <w:rPr>
                <w:rFonts w:hint="eastAsia" w:ascii="Times New Roman" w:hAnsi="Times New Roman" w:eastAsia="宋体"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区域空气质量现状如下表所示。</w:t>
            </w:r>
          </w:p>
          <w:p w14:paraId="4C8A6476">
            <w:pPr>
              <w:spacing w:line="360" w:lineRule="auto"/>
              <w:jc w:val="center"/>
              <w:rPr>
                <w:rFonts w:ascii="Times New Roman" w:hAnsi="黑体" w:eastAsia="黑体" w:cs="Times New Roman"/>
                <w:color w:val="000000" w:themeColor="text1"/>
                <w:kern w:val="2"/>
              </w:rPr>
            </w:pPr>
            <w:r>
              <w:rPr>
                <w:rFonts w:ascii="Times New Roman" w:hAnsi="黑体" w:eastAsia="黑体" w:cs="Times New Roman"/>
                <w:color w:val="000000" w:themeColor="text1"/>
                <w:kern w:val="2"/>
                <w:sz w:val="24"/>
                <w:szCs w:val="24"/>
              </w:rPr>
              <w:t>表</w:t>
            </w:r>
            <w:r>
              <w:rPr>
                <w:rFonts w:ascii="Times New Roman" w:hAnsi="Times New Roman" w:eastAsia="黑体" w:cs="Times New Roman"/>
                <w:color w:val="000000" w:themeColor="text1"/>
                <w:kern w:val="2"/>
                <w:sz w:val="24"/>
                <w:szCs w:val="24"/>
              </w:rPr>
              <w:t>3</w:t>
            </w:r>
            <w:r>
              <w:rPr>
                <w:rFonts w:hint="eastAsia" w:ascii="Times New Roman" w:hAnsi="Times New Roman" w:eastAsia="黑体" w:cs="Times New Roman"/>
                <w:color w:val="000000" w:themeColor="text1"/>
                <w:kern w:val="2"/>
                <w:sz w:val="24"/>
                <w:szCs w:val="24"/>
              </w:rPr>
              <w:t xml:space="preserve">-1  </w:t>
            </w:r>
            <w:r>
              <w:rPr>
                <w:rFonts w:ascii="Times New Roman" w:hAnsi="黑体" w:eastAsia="黑体" w:cs="Times New Roman"/>
                <w:color w:val="000000" w:themeColor="text1"/>
                <w:kern w:val="2"/>
                <w:sz w:val="24"/>
                <w:szCs w:val="24"/>
              </w:rPr>
              <w:t>基本污染物环境质量现状</w:t>
            </w:r>
          </w:p>
          <w:tbl>
            <w:tblPr>
              <w:tblStyle w:val="1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460"/>
              <w:gridCol w:w="1285"/>
              <w:gridCol w:w="1401"/>
              <w:gridCol w:w="1080"/>
              <w:gridCol w:w="933"/>
            </w:tblGrid>
            <w:tr w14:paraId="35F52C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39" w:type="pct"/>
                  <w:tcBorders>
                    <w:top w:val="single" w:color="auto" w:sz="8" w:space="0"/>
                  </w:tcBorders>
                  <w:noWrap/>
                  <w:vAlign w:val="center"/>
                </w:tcPr>
                <w:p w14:paraId="695936EC">
                  <w:pPr>
                    <w:spacing w:line="276" w:lineRule="auto"/>
                    <w:jc w:val="center"/>
                    <w:rPr>
                      <w:rFonts w:ascii="Times New Roman" w:hAnsi="Times New Roman" w:cs="Times New Roman"/>
                      <w:b/>
                      <w:bCs/>
                      <w:color w:val="000000" w:themeColor="text1"/>
                      <w:kern w:val="2"/>
                      <w:sz w:val="21"/>
                      <w:szCs w:val="21"/>
                    </w:rPr>
                  </w:pPr>
                  <w:r>
                    <w:rPr>
                      <w:rFonts w:ascii="Times New Roman" w:hAnsi="Times New Roman" w:cs="Times New Roman"/>
                      <w:b/>
                      <w:bCs/>
                      <w:color w:val="000000" w:themeColor="text1"/>
                      <w:kern w:val="2"/>
                      <w:sz w:val="21"/>
                      <w:szCs w:val="21"/>
                    </w:rPr>
                    <w:t>污染物</w:t>
                  </w:r>
                </w:p>
              </w:tc>
              <w:tc>
                <w:tcPr>
                  <w:tcW w:w="1567" w:type="pct"/>
                  <w:tcBorders>
                    <w:top w:val="single" w:color="auto" w:sz="8" w:space="0"/>
                  </w:tcBorders>
                  <w:noWrap/>
                  <w:vAlign w:val="center"/>
                </w:tcPr>
                <w:p w14:paraId="532E1149">
                  <w:pPr>
                    <w:spacing w:line="276" w:lineRule="auto"/>
                    <w:jc w:val="center"/>
                    <w:rPr>
                      <w:rFonts w:ascii="Times New Roman" w:hAnsi="Times New Roman" w:cs="Times New Roman"/>
                      <w:b/>
                      <w:bCs/>
                      <w:color w:val="000000" w:themeColor="text1"/>
                      <w:kern w:val="2"/>
                      <w:sz w:val="21"/>
                      <w:szCs w:val="21"/>
                    </w:rPr>
                  </w:pPr>
                  <w:r>
                    <w:rPr>
                      <w:rFonts w:ascii="Times New Roman" w:hAnsi="Times New Roman" w:cs="Times New Roman"/>
                      <w:b/>
                      <w:bCs/>
                      <w:color w:val="000000" w:themeColor="text1"/>
                      <w:kern w:val="2"/>
                      <w:sz w:val="21"/>
                      <w:szCs w:val="21"/>
                    </w:rPr>
                    <w:t>年评价指标</w:t>
                  </w:r>
                </w:p>
              </w:tc>
              <w:tc>
                <w:tcPr>
                  <w:tcW w:w="818" w:type="pct"/>
                  <w:tcBorders>
                    <w:top w:val="single" w:color="auto" w:sz="8" w:space="0"/>
                  </w:tcBorders>
                  <w:noWrap/>
                  <w:vAlign w:val="center"/>
                </w:tcPr>
                <w:p w14:paraId="749E954E">
                  <w:pPr>
                    <w:spacing w:line="276" w:lineRule="auto"/>
                    <w:jc w:val="center"/>
                    <w:rPr>
                      <w:rFonts w:ascii="Times New Roman" w:hAnsi="Times New Roman" w:cs="Times New Roman"/>
                      <w:b/>
                      <w:bCs/>
                      <w:color w:val="000000" w:themeColor="text1"/>
                      <w:kern w:val="2"/>
                      <w:sz w:val="21"/>
                      <w:szCs w:val="21"/>
                    </w:rPr>
                  </w:pPr>
                  <w:r>
                    <w:rPr>
                      <w:rFonts w:ascii="Times New Roman" w:hAnsi="Times New Roman" w:cs="Times New Roman"/>
                      <w:b/>
                      <w:bCs/>
                      <w:color w:val="000000" w:themeColor="text1"/>
                      <w:kern w:val="2"/>
                      <w:sz w:val="21"/>
                      <w:szCs w:val="21"/>
                    </w:rPr>
                    <w:t>现状浓度（µg/m</w:t>
                  </w:r>
                  <w:r>
                    <w:rPr>
                      <w:rFonts w:ascii="Times New Roman" w:hAnsi="Times New Roman" w:cs="Times New Roman"/>
                      <w:b/>
                      <w:bCs/>
                      <w:color w:val="000000" w:themeColor="text1"/>
                      <w:kern w:val="2"/>
                      <w:sz w:val="21"/>
                      <w:szCs w:val="21"/>
                      <w:vertAlign w:val="superscript"/>
                    </w:rPr>
                    <w:t>3</w:t>
                  </w:r>
                  <w:r>
                    <w:rPr>
                      <w:rFonts w:ascii="Times New Roman" w:hAnsi="Times New Roman" w:cs="Times New Roman"/>
                      <w:b/>
                      <w:bCs/>
                      <w:color w:val="000000" w:themeColor="text1"/>
                      <w:kern w:val="2"/>
                      <w:sz w:val="21"/>
                      <w:szCs w:val="21"/>
                    </w:rPr>
                    <w:t>）</w:t>
                  </w:r>
                </w:p>
              </w:tc>
              <w:tc>
                <w:tcPr>
                  <w:tcW w:w="892" w:type="pct"/>
                  <w:tcBorders>
                    <w:top w:val="single" w:color="auto" w:sz="8" w:space="0"/>
                  </w:tcBorders>
                  <w:noWrap/>
                  <w:vAlign w:val="center"/>
                </w:tcPr>
                <w:p w14:paraId="4136C9B8">
                  <w:pPr>
                    <w:spacing w:line="276" w:lineRule="auto"/>
                    <w:jc w:val="center"/>
                    <w:rPr>
                      <w:rFonts w:ascii="Times New Roman" w:hAnsi="Times New Roman" w:cs="Times New Roman"/>
                      <w:b/>
                      <w:bCs/>
                      <w:color w:val="000000" w:themeColor="text1"/>
                      <w:kern w:val="2"/>
                      <w:sz w:val="21"/>
                      <w:szCs w:val="21"/>
                    </w:rPr>
                  </w:pPr>
                  <w:r>
                    <w:rPr>
                      <w:rFonts w:ascii="Times New Roman" w:hAnsi="Times New Roman" w:cs="Times New Roman"/>
                      <w:b/>
                      <w:bCs/>
                      <w:color w:val="000000" w:themeColor="text1"/>
                      <w:kern w:val="2"/>
                      <w:sz w:val="21"/>
                      <w:szCs w:val="21"/>
                    </w:rPr>
                    <w:t>标准值（µg/m</w:t>
                  </w:r>
                  <w:r>
                    <w:rPr>
                      <w:rFonts w:ascii="Times New Roman" w:hAnsi="Times New Roman" w:cs="Times New Roman"/>
                      <w:b/>
                      <w:bCs/>
                      <w:color w:val="000000" w:themeColor="text1"/>
                      <w:kern w:val="2"/>
                      <w:sz w:val="21"/>
                      <w:szCs w:val="21"/>
                      <w:vertAlign w:val="superscript"/>
                    </w:rPr>
                    <w:t>3</w:t>
                  </w:r>
                  <w:r>
                    <w:rPr>
                      <w:rFonts w:ascii="Times New Roman" w:hAnsi="Times New Roman" w:cs="Times New Roman"/>
                      <w:b/>
                      <w:bCs/>
                      <w:color w:val="000000" w:themeColor="text1"/>
                      <w:kern w:val="2"/>
                      <w:sz w:val="21"/>
                      <w:szCs w:val="21"/>
                    </w:rPr>
                    <w:t>）</w:t>
                  </w:r>
                </w:p>
              </w:tc>
              <w:tc>
                <w:tcPr>
                  <w:tcW w:w="687" w:type="pct"/>
                  <w:tcBorders>
                    <w:top w:val="single" w:color="auto" w:sz="8" w:space="0"/>
                  </w:tcBorders>
                  <w:noWrap/>
                  <w:vAlign w:val="center"/>
                </w:tcPr>
                <w:p w14:paraId="56DD017E">
                  <w:pPr>
                    <w:spacing w:line="276" w:lineRule="auto"/>
                    <w:jc w:val="center"/>
                    <w:rPr>
                      <w:rFonts w:ascii="Times New Roman" w:hAnsi="Times New Roman" w:cs="Times New Roman"/>
                      <w:b/>
                      <w:bCs/>
                      <w:color w:val="000000" w:themeColor="text1"/>
                      <w:kern w:val="2"/>
                      <w:sz w:val="21"/>
                      <w:szCs w:val="21"/>
                    </w:rPr>
                  </w:pPr>
                  <w:r>
                    <w:rPr>
                      <w:rFonts w:ascii="Times New Roman" w:hAnsi="Times New Roman" w:cs="Times New Roman"/>
                      <w:b/>
                      <w:bCs/>
                      <w:color w:val="000000" w:themeColor="text1"/>
                      <w:kern w:val="2"/>
                      <w:sz w:val="21"/>
                      <w:szCs w:val="21"/>
                    </w:rPr>
                    <w:t>占标率（</w:t>
                  </w:r>
                  <w:r>
                    <w:rPr>
                      <w:rFonts w:hint="eastAsia" w:ascii="Times New Roman" w:hAnsi="Times New Roman" w:cs="Times New Roman"/>
                      <w:b/>
                      <w:bCs/>
                      <w:color w:val="000000" w:themeColor="text1"/>
                      <w:kern w:val="2"/>
                      <w:sz w:val="21"/>
                      <w:szCs w:val="21"/>
                    </w:rPr>
                    <w:t>%</w:t>
                  </w:r>
                  <w:r>
                    <w:rPr>
                      <w:rFonts w:ascii="Times New Roman" w:hAnsi="Times New Roman" w:cs="Times New Roman"/>
                      <w:b/>
                      <w:bCs/>
                      <w:color w:val="000000" w:themeColor="text1"/>
                      <w:kern w:val="2"/>
                      <w:sz w:val="21"/>
                      <w:szCs w:val="21"/>
                    </w:rPr>
                    <w:t>）</w:t>
                  </w:r>
                </w:p>
              </w:tc>
              <w:tc>
                <w:tcPr>
                  <w:tcW w:w="594" w:type="pct"/>
                  <w:tcBorders>
                    <w:top w:val="single" w:color="auto" w:sz="8" w:space="0"/>
                  </w:tcBorders>
                  <w:noWrap/>
                  <w:vAlign w:val="center"/>
                </w:tcPr>
                <w:p w14:paraId="49CAD544">
                  <w:pPr>
                    <w:spacing w:line="276" w:lineRule="auto"/>
                    <w:jc w:val="center"/>
                    <w:rPr>
                      <w:rFonts w:ascii="Times New Roman" w:hAnsi="Times New Roman" w:cs="Times New Roman"/>
                      <w:b/>
                      <w:bCs/>
                      <w:color w:val="000000" w:themeColor="text1"/>
                      <w:kern w:val="2"/>
                      <w:sz w:val="21"/>
                      <w:szCs w:val="21"/>
                    </w:rPr>
                  </w:pPr>
                  <w:r>
                    <w:rPr>
                      <w:rFonts w:ascii="Times New Roman" w:hAnsi="Times New Roman" w:cs="Times New Roman"/>
                      <w:b/>
                      <w:bCs/>
                      <w:color w:val="000000" w:themeColor="text1"/>
                      <w:kern w:val="2"/>
                      <w:sz w:val="21"/>
                      <w:szCs w:val="21"/>
                    </w:rPr>
                    <w:t>达标情况</w:t>
                  </w:r>
                </w:p>
              </w:tc>
            </w:tr>
            <w:tr w14:paraId="55FFC3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ign w:val="center"/>
                </w:tcPr>
                <w:p w14:paraId="75CA39DF">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SO</w:t>
                  </w:r>
                  <w:r>
                    <w:rPr>
                      <w:rFonts w:ascii="Times New Roman" w:hAnsi="Times New Roman" w:cs="Times New Roman"/>
                      <w:color w:val="000000" w:themeColor="text1"/>
                      <w:kern w:val="2"/>
                      <w:sz w:val="21"/>
                      <w:szCs w:val="21"/>
                      <w:vertAlign w:val="subscript"/>
                    </w:rPr>
                    <w:t>2</w:t>
                  </w:r>
                </w:p>
              </w:tc>
              <w:tc>
                <w:tcPr>
                  <w:tcW w:w="1567" w:type="pct"/>
                  <w:noWrap/>
                  <w:vAlign w:val="center"/>
                </w:tcPr>
                <w:p w14:paraId="47A2CA60">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年平均质量浓度</w:t>
                  </w:r>
                </w:p>
              </w:tc>
              <w:tc>
                <w:tcPr>
                  <w:tcW w:w="818" w:type="pct"/>
                  <w:noWrap/>
                  <w:vAlign w:val="center"/>
                </w:tcPr>
                <w:p w14:paraId="5391AAF1">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7</w:t>
                  </w:r>
                </w:p>
              </w:tc>
              <w:tc>
                <w:tcPr>
                  <w:tcW w:w="892" w:type="pct"/>
                  <w:noWrap/>
                  <w:vAlign w:val="center"/>
                </w:tcPr>
                <w:p w14:paraId="4CBC6146">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60</w:t>
                  </w:r>
                </w:p>
              </w:tc>
              <w:tc>
                <w:tcPr>
                  <w:tcW w:w="687" w:type="pct"/>
                  <w:noWrap/>
                  <w:vAlign w:val="center"/>
                </w:tcPr>
                <w:p w14:paraId="77A3C762">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11.67</w:t>
                  </w:r>
                </w:p>
              </w:tc>
              <w:tc>
                <w:tcPr>
                  <w:tcW w:w="594" w:type="pct"/>
                  <w:noWrap/>
                  <w:vAlign w:val="center"/>
                </w:tcPr>
                <w:p w14:paraId="34F50321">
                  <w:pPr>
                    <w:widowControl w:val="0"/>
                    <w:spacing w:line="276" w:lineRule="auto"/>
                    <w:jc w:val="center"/>
                    <w:rPr>
                      <w:rFonts w:ascii="Times New Roman" w:hAnsi="Times New Roman" w:cs="Times New Roman"/>
                      <w:color w:val="000000" w:themeColor="text1"/>
                      <w:kern w:val="2"/>
                      <w:sz w:val="21"/>
                      <w:szCs w:val="21"/>
                    </w:rPr>
                  </w:pPr>
                  <w:r>
                    <w:rPr>
                      <w:rFonts w:hint="eastAsia" w:ascii="Times New Roman" w:cs="Times New Roman"/>
                      <w:color w:val="000000" w:themeColor="text1"/>
                      <w:kern w:val="2"/>
                      <w:sz w:val="21"/>
                      <w:szCs w:val="21"/>
                    </w:rPr>
                    <w:t>达标</w:t>
                  </w:r>
                </w:p>
              </w:tc>
            </w:tr>
            <w:tr w14:paraId="22889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ign w:val="center"/>
                </w:tcPr>
                <w:p w14:paraId="66F78DDE">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NO</w:t>
                  </w:r>
                  <w:r>
                    <w:rPr>
                      <w:rFonts w:ascii="Times New Roman" w:hAnsi="Times New Roman" w:cs="Times New Roman"/>
                      <w:color w:val="000000" w:themeColor="text1"/>
                      <w:kern w:val="2"/>
                      <w:sz w:val="21"/>
                      <w:szCs w:val="21"/>
                      <w:vertAlign w:val="subscript"/>
                    </w:rPr>
                    <w:t>2</w:t>
                  </w:r>
                </w:p>
              </w:tc>
              <w:tc>
                <w:tcPr>
                  <w:tcW w:w="1567" w:type="pct"/>
                  <w:noWrap/>
                  <w:vAlign w:val="center"/>
                </w:tcPr>
                <w:p w14:paraId="1E3B8007">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年平均质量浓度</w:t>
                  </w:r>
                </w:p>
              </w:tc>
              <w:tc>
                <w:tcPr>
                  <w:tcW w:w="818" w:type="pct"/>
                  <w:noWrap/>
                  <w:vAlign w:val="center"/>
                </w:tcPr>
                <w:p w14:paraId="77C982FE">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19</w:t>
                  </w:r>
                </w:p>
              </w:tc>
              <w:tc>
                <w:tcPr>
                  <w:tcW w:w="892" w:type="pct"/>
                  <w:noWrap/>
                  <w:vAlign w:val="center"/>
                </w:tcPr>
                <w:p w14:paraId="5A90CCDE">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40</w:t>
                  </w:r>
                </w:p>
              </w:tc>
              <w:tc>
                <w:tcPr>
                  <w:tcW w:w="687" w:type="pct"/>
                  <w:noWrap/>
                  <w:vAlign w:val="center"/>
                </w:tcPr>
                <w:p w14:paraId="28D04002">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47.5</w:t>
                  </w:r>
                </w:p>
              </w:tc>
              <w:tc>
                <w:tcPr>
                  <w:tcW w:w="594" w:type="pct"/>
                  <w:noWrap/>
                  <w:vAlign w:val="center"/>
                </w:tcPr>
                <w:p w14:paraId="0959A357">
                  <w:pPr>
                    <w:widowControl w:val="0"/>
                    <w:spacing w:line="276" w:lineRule="auto"/>
                    <w:jc w:val="center"/>
                    <w:rPr>
                      <w:rFonts w:ascii="Times New Roman" w:hAnsi="Times New Roman" w:cs="Times New Roman"/>
                      <w:color w:val="000000" w:themeColor="text1"/>
                      <w:kern w:val="2"/>
                      <w:sz w:val="21"/>
                      <w:szCs w:val="21"/>
                    </w:rPr>
                  </w:pPr>
                  <w:r>
                    <w:rPr>
                      <w:rFonts w:hint="eastAsia" w:ascii="Times New Roman" w:cs="Times New Roman"/>
                      <w:color w:val="000000" w:themeColor="text1"/>
                      <w:kern w:val="2"/>
                      <w:sz w:val="21"/>
                      <w:szCs w:val="21"/>
                    </w:rPr>
                    <w:t>达标</w:t>
                  </w:r>
                </w:p>
              </w:tc>
            </w:tr>
            <w:tr w14:paraId="7F1504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ign w:val="center"/>
                </w:tcPr>
                <w:p w14:paraId="167EFC6A">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PM</w:t>
                  </w:r>
                  <w:r>
                    <w:rPr>
                      <w:rFonts w:ascii="Times New Roman" w:hAnsi="Times New Roman" w:cs="Times New Roman"/>
                      <w:color w:val="000000" w:themeColor="text1"/>
                      <w:kern w:val="2"/>
                      <w:sz w:val="21"/>
                      <w:szCs w:val="21"/>
                      <w:vertAlign w:val="subscript"/>
                    </w:rPr>
                    <w:t>10</w:t>
                  </w:r>
                </w:p>
              </w:tc>
              <w:tc>
                <w:tcPr>
                  <w:tcW w:w="1567" w:type="pct"/>
                  <w:noWrap/>
                  <w:vAlign w:val="center"/>
                </w:tcPr>
                <w:p w14:paraId="00AAC148">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年平均质量浓度</w:t>
                  </w:r>
                </w:p>
              </w:tc>
              <w:tc>
                <w:tcPr>
                  <w:tcW w:w="818" w:type="pct"/>
                  <w:noWrap/>
                  <w:vAlign w:val="center"/>
                </w:tcPr>
                <w:p w14:paraId="7B8740C9">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65</w:t>
                  </w:r>
                </w:p>
              </w:tc>
              <w:tc>
                <w:tcPr>
                  <w:tcW w:w="892" w:type="pct"/>
                  <w:noWrap/>
                  <w:vAlign w:val="center"/>
                </w:tcPr>
                <w:p w14:paraId="0A0AFD4D">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70</w:t>
                  </w:r>
                </w:p>
              </w:tc>
              <w:tc>
                <w:tcPr>
                  <w:tcW w:w="687" w:type="pct"/>
                  <w:noWrap/>
                  <w:vAlign w:val="center"/>
                </w:tcPr>
                <w:p w14:paraId="7A9D6710">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92.86</w:t>
                  </w:r>
                </w:p>
              </w:tc>
              <w:tc>
                <w:tcPr>
                  <w:tcW w:w="594" w:type="pct"/>
                  <w:noWrap/>
                  <w:vAlign w:val="center"/>
                </w:tcPr>
                <w:p w14:paraId="62BA5F45">
                  <w:pPr>
                    <w:widowControl w:val="0"/>
                    <w:spacing w:line="276" w:lineRule="auto"/>
                    <w:jc w:val="center"/>
                    <w:rPr>
                      <w:rFonts w:ascii="Times New Roman" w:hAnsi="Times New Roman" w:cs="Times New Roman"/>
                      <w:color w:val="000000" w:themeColor="text1"/>
                      <w:kern w:val="2"/>
                      <w:sz w:val="21"/>
                      <w:szCs w:val="21"/>
                    </w:rPr>
                  </w:pPr>
                  <w:r>
                    <w:rPr>
                      <w:rFonts w:hint="eastAsia" w:ascii="Times New Roman" w:cs="Times New Roman"/>
                      <w:color w:val="000000" w:themeColor="text1"/>
                      <w:kern w:val="2"/>
                      <w:sz w:val="21"/>
                      <w:szCs w:val="21"/>
                    </w:rPr>
                    <w:t>达标</w:t>
                  </w:r>
                </w:p>
              </w:tc>
            </w:tr>
            <w:tr w14:paraId="287AD6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ign w:val="center"/>
                </w:tcPr>
                <w:p w14:paraId="12249A7A">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PM</w:t>
                  </w:r>
                  <w:r>
                    <w:rPr>
                      <w:rFonts w:ascii="Times New Roman" w:hAnsi="Times New Roman" w:cs="Times New Roman"/>
                      <w:color w:val="000000" w:themeColor="text1"/>
                      <w:kern w:val="2"/>
                      <w:sz w:val="21"/>
                      <w:szCs w:val="21"/>
                      <w:vertAlign w:val="subscript"/>
                    </w:rPr>
                    <w:t>2.5</w:t>
                  </w:r>
                </w:p>
              </w:tc>
              <w:tc>
                <w:tcPr>
                  <w:tcW w:w="1567" w:type="pct"/>
                  <w:noWrap/>
                  <w:vAlign w:val="center"/>
                </w:tcPr>
                <w:p w14:paraId="0F2C6EF9">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年平均质量浓度</w:t>
                  </w:r>
                </w:p>
              </w:tc>
              <w:tc>
                <w:tcPr>
                  <w:tcW w:w="818" w:type="pct"/>
                  <w:noWrap/>
                  <w:vAlign w:val="center"/>
                </w:tcPr>
                <w:p w14:paraId="320CE45C">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40</w:t>
                  </w:r>
                </w:p>
              </w:tc>
              <w:tc>
                <w:tcPr>
                  <w:tcW w:w="892" w:type="pct"/>
                  <w:noWrap/>
                  <w:vAlign w:val="center"/>
                </w:tcPr>
                <w:p w14:paraId="4EEF0E12">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35</w:t>
                  </w:r>
                </w:p>
              </w:tc>
              <w:tc>
                <w:tcPr>
                  <w:tcW w:w="687" w:type="pct"/>
                  <w:noWrap/>
                  <w:vAlign w:val="center"/>
                </w:tcPr>
                <w:p w14:paraId="1E169548">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114.29</w:t>
                  </w:r>
                </w:p>
              </w:tc>
              <w:tc>
                <w:tcPr>
                  <w:tcW w:w="594" w:type="pct"/>
                  <w:noWrap/>
                  <w:vAlign w:val="center"/>
                </w:tcPr>
                <w:p w14:paraId="2A1661EA">
                  <w:pPr>
                    <w:widowControl w:val="0"/>
                    <w:spacing w:line="276" w:lineRule="auto"/>
                    <w:jc w:val="center"/>
                    <w:rPr>
                      <w:rFonts w:ascii="Times New Roman" w:hAnsi="Times New Roman" w:cs="Times New Roman"/>
                      <w:color w:val="000000" w:themeColor="text1"/>
                      <w:kern w:val="2"/>
                      <w:sz w:val="21"/>
                      <w:szCs w:val="21"/>
                    </w:rPr>
                  </w:pPr>
                  <w:r>
                    <w:rPr>
                      <w:rFonts w:hint="eastAsia" w:ascii="Times New Roman" w:cs="Times New Roman"/>
                      <w:color w:val="000000" w:themeColor="text1"/>
                      <w:kern w:val="2"/>
                      <w:sz w:val="21"/>
                      <w:szCs w:val="21"/>
                    </w:rPr>
                    <w:t>不达标</w:t>
                  </w:r>
                </w:p>
              </w:tc>
            </w:tr>
            <w:tr w14:paraId="75E344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noWrap/>
                  <w:vAlign w:val="center"/>
                </w:tcPr>
                <w:p w14:paraId="24AD4A45">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CO</w:t>
                  </w:r>
                </w:p>
              </w:tc>
              <w:tc>
                <w:tcPr>
                  <w:tcW w:w="1567" w:type="pct"/>
                  <w:noWrap/>
                  <w:vAlign w:val="center"/>
                </w:tcPr>
                <w:p w14:paraId="005F10FC">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第95百分位日均值浓度</w:t>
                  </w:r>
                </w:p>
              </w:tc>
              <w:tc>
                <w:tcPr>
                  <w:tcW w:w="818" w:type="pct"/>
                  <w:noWrap/>
                  <w:vAlign w:val="center"/>
                </w:tcPr>
                <w:p w14:paraId="256934BD">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800</w:t>
                  </w:r>
                </w:p>
              </w:tc>
              <w:tc>
                <w:tcPr>
                  <w:tcW w:w="892" w:type="pct"/>
                  <w:noWrap/>
                  <w:vAlign w:val="center"/>
                </w:tcPr>
                <w:p w14:paraId="3BD5296A">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4000</w:t>
                  </w:r>
                </w:p>
              </w:tc>
              <w:tc>
                <w:tcPr>
                  <w:tcW w:w="687" w:type="pct"/>
                  <w:noWrap/>
                  <w:vAlign w:val="center"/>
                </w:tcPr>
                <w:p w14:paraId="7997315F">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20</w:t>
                  </w:r>
                </w:p>
              </w:tc>
              <w:tc>
                <w:tcPr>
                  <w:tcW w:w="594" w:type="pct"/>
                  <w:noWrap/>
                  <w:vAlign w:val="center"/>
                </w:tcPr>
                <w:p w14:paraId="0A048538">
                  <w:pPr>
                    <w:widowControl w:val="0"/>
                    <w:spacing w:line="276" w:lineRule="auto"/>
                    <w:jc w:val="center"/>
                    <w:rPr>
                      <w:rFonts w:ascii="Times New Roman" w:hAnsi="Times New Roman" w:cs="Times New Roman"/>
                      <w:color w:val="000000" w:themeColor="text1"/>
                      <w:kern w:val="2"/>
                      <w:sz w:val="21"/>
                      <w:szCs w:val="21"/>
                    </w:rPr>
                  </w:pPr>
                  <w:r>
                    <w:rPr>
                      <w:rFonts w:hint="eastAsia" w:ascii="Times New Roman" w:cs="Times New Roman"/>
                      <w:color w:val="000000" w:themeColor="text1"/>
                      <w:kern w:val="2"/>
                      <w:sz w:val="21"/>
                      <w:szCs w:val="21"/>
                    </w:rPr>
                    <w:t>达标</w:t>
                  </w:r>
                </w:p>
              </w:tc>
            </w:tr>
            <w:tr w14:paraId="647B81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9" w:type="pct"/>
                  <w:tcBorders>
                    <w:bottom w:val="single" w:color="auto" w:sz="8" w:space="0"/>
                  </w:tcBorders>
                  <w:noWrap/>
                  <w:vAlign w:val="center"/>
                </w:tcPr>
                <w:p w14:paraId="74A6C6E5">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O</w:t>
                  </w:r>
                  <w:r>
                    <w:rPr>
                      <w:rFonts w:ascii="Times New Roman" w:hAnsi="Times New Roman" w:cs="Times New Roman"/>
                      <w:color w:val="000000" w:themeColor="text1"/>
                      <w:kern w:val="2"/>
                      <w:sz w:val="21"/>
                      <w:szCs w:val="21"/>
                      <w:vertAlign w:val="subscript"/>
                    </w:rPr>
                    <w:t>3</w:t>
                  </w:r>
                </w:p>
              </w:tc>
              <w:tc>
                <w:tcPr>
                  <w:tcW w:w="1567" w:type="pct"/>
                  <w:tcBorders>
                    <w:bottom w:val="single" w:color="auto" w:sz="8" w:space="0"/>
                  </w:tcBorders>
                  <w:noWrap/>
                  <w:vAlign w:val="center"/>
                </w:tcPr>
                <w:p w14:paraId="28169D02">
                  <w:pPr>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第90百分位日平均质量浓度</w:t>
                  </w:r>
                </w:p>
              </w:tc>
              <w:tc>
                <w:tcPr>
                  <w:tcW w:w="818" w:type="pct"/>
                  <w:tcBorders>
                    <w:bottom w:val="single" w:color="auto" w:sz="8" w:space="0"/>
                  </w:tcBorders>
                  <w:noWrap/>
                  <w:vAlign w:val="center"/>
                </w:tcPr>
                <w:p w14:paraId="74FB802E">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160</w:t>
                  </w:r>
                </w:p>
              </w:tc>
              <w:tc>
                <w:tcPr>
                  <w:tcW w:w="892" w:type="pct"/>
                  <w:tcBorders>
                    <w:bottom w:val="single" w:color="auto" w:sz="8" w:space="0"/>
                  </w:tcBorders>
                  <w:noWrap/>
                  <w:vAlign w:val="center"/>
                </w:tcPr>
                <w:p w14:paraId="6359833A">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160</w:t>
                  </w:r>
                </w:p>
              </w:tc>
              <w:tc>
                <w:tcPr>
                  <w:tcW w:w="687" w:type="pct"/>
                  <w:tcBorders>
                    <w:bottom w:val="single" w:color="auto" w:sz="8" w:space="0"/>
                  </w:tcBorders>
                  <w:noWrap/>
                  <w:vAlign w:val="center"/>
                </w:tcPr>
                <w:p w14:paraId="60D0C756">
                  <w:pPr>
                    <w:widowControl w:val="0"/>
                    <w:spacing w:line="276" w:lineRule="auto"/>
                    <w:jc w:val="center"/>
                    <w:rPr>
                      <w:rFonts w:ascii="Times New Roman" w:hAnsi="Times New Roman" w:cs="Times New Roman"/>
                      <w:color w:val="000000" w:themeColor="text1"/>
                      <w:kern w:val="2"/>
                      <w:sz w:val="21"/>
                      <w:szCs w:val="21"/>
                    </w:rPr>
                  </w:pPr>
                  <w:r>
                    <w:rPr>
                      <w:rFonts w:ascii="Times New Roman" w:hAnsi="Times New Roman" w:cs="Times New Roman"/>
                      <w:color w:val="000000" w:themeColor="text1"/>
                      <w:kern w:val="2"/>
                      <w:sz w:val="21"/>
                      <w:szCs w:val="21"/>
                    </w:rPr>
                    <w:t>100</w:t>
                  </w:r>
                </w:p>
              </w:tc>
              <w:tc>
                <w:tcPr>
                  <w:tcW w:w="594" w:type="pct"/>
                  <w:tcBorders>
                    <w:bottom w:val="single" w:color="auto" w:sz="8" w:space="0"/>
                  </w:tcBorders>
                  <w:noWrap/>
                  <w:vAlign w:val="center"/>
                </w:tcPr>
                <w:p w14:paraId="3F9BC007">
                  <w:pPr>
                    <w:widowControl w:val="0"/>
                    <w:spacing w:line="276" w:lineRule="auto"/>
                    <w:jc w:val="center"/>
                    <w:rPr>
                      <w:rFonts w:ascii="Times New Roman" w:hAnsi="Times New Roman" w:cs="Times New Roman"/>
                      <w:color w:val="000000" w:themeColor="text1"/>
                      <w:kern w:val="2"/>
                      <w:sz w:val="21"/>
                      <w:szCs w:val="21"/>
                    </w:rPr>
                  </w:pPr>
                  <w:r>
                    <w:rPr>
                      <w:rFonts w:hint="eastAsia" w:ascii="Times New Roman" w:cs="Times New Roman"/>
                      <w:color w:val="000000" w:themeColor="text1"/>
                      <w:kern w:val="2"/>
                      <w:sz w:val="21"/>
                      <w:szCs w:val="21"/>
                    </w:rPr>
                    <w:t>达标</w:t>
                  </w:r>
                </w:p>
              </w:tc>
            </w:tr>
          </w:tbl>
          <w:p w14:paraId="69A5FC8B">
            <w:pPr>
              <w:spacing w:line="360" w:lineRule="auto"/>
              <w:ind w:firstLine="480" w:firstLineChars="200"/>
              <w:rPr>
                <w:rFonts w:ascii="Times New Roman" w:hAnsi="Times New Roman" w:eastAsia="宋体" w:cs="Times New Roman"/>
                <w:color w:val="auto"/>
                <w:sz w:val="24"/>
                <w:szCs w:val="21"/>
                <w:highlight w:val="none"/>
              </w:rPr>
            </w:pPr>
            <w:r>
              <w:rPr>
                <w:rFonts w:hint="eastAsia" w:ascii="Times New Roman" w:hAnsi="Times New Roman" w:eastAsia="宋体" w:cs="Times New Roman"/>
                <w:color w:val="auto"/>
                <w:sz w:val="24"/>
                <w:szCs w:val="21"/>
                <w:highlight w:val="none"/>
              </w:rPr>
              <w:t>根据《2024年淮南市生态环境质量状况公报》并结合《环境空气质量标准》(GB3095-2012)及其修改清单中的二级标准可知，2024年淮南市环境空气中PM2.5年平均浓度超过环境空气质量二级标准;结合《环境空气质量标准》(GB3095-2026)中过渡阶段浓度限值二级标准可知，2024年淮南市环境空气中PM</w:t>
            </w:r>
            <w:r>
              <w:rPr>
                <w:rFonts w:hint="eastAsia" w:ascii="Times New Roman" w:hAnsi="Times New Roman" w:eastAsia="宋体" w:cs="Times New Roman"/>
                <w:color w:val="auto"/>
                <w:sz w:val="24"/>
                <w:szCs w:val="21"/>
                <w:highlight w:val="none"/>
                <w:vertAlign w:val="subscript"/>
              </w:rPr>
              <w:t>10</w:t>
            </w:r>
            <w:r>
              <w:rPr>
                <w:rFonts w:hint="eastAsia" w:ascii="Times New Roman" w:hAnsi="Times New Roman" w:eastAsia="宋体" w:cs="Times New Roman"/>
                <w:color w:val="auto"/>
                <w:sz w:val="24"/>
                <w:szCs w:val="21"/>
                <w:highlight w:val="none"/>
              </w:rPr>
              <w:t>占标率为108.3%、PM</w:t>
            </w:r>
            <w:r>
              <w:rPr>
                <w:rFonts w:hint="eastAsia" w:ascii="Times New Roman" w:hAnsi="Times New Roman" w:eastAsia="宋体" w:cs="Times New Roman"/>
                <w:color w:val="auto"/>
                <w:sz w:val="24"/>
                <w:szCs w:val="21"/>
                <w:highlight w:val="none"/>
                <w:vertAlign w:val="subscript"/>
              </w:rPr>
              <w:t>2.5</w:t>
            </w:r>
            <w:r>
              <w:rPr>
                <w:rFonts w:hint="eastAsia" w:ascii="Times New Roman" w:hAnsi="Times New Roman" w:eastAsia="宋体" w:cs="Times New Roman"/>
                <w:color w:val="auto"/>
                <w:sz w:val="24"/>
                <w:szCs w:val="21"/>
                <w:highlight w:val="none"/>
              </w:rPr>
              <w:t>占标率为133.3%年平均浓度均超过环境空气质量过渡阶段浓度限值二级标准，经判定，项目所在区为环境空气质量不达标区域。</w:t>
            </w:r>
          </w:p>
          <w:p w14:paraId="033A28CF">
            <w:pPr>
              <w:spacing w:line="360" w:lineRule="auto"/>
              <w:ind w:firstLine="480" w:firstLineChars="200"/>
              <w:rPr>
                <w:rFonts w:ascii="Times New Roman" w:hAnsi="Times New Roman" w:eastAsia="宋体" w:cs="Times New Roman"/>
                <w:color w:val="auto"/>
                <w:sz w:val="24"/>
                <w:szCs w:val="21"/>
                <w:highlight w:val="none"/>
              </w:rPr>
            </w:pPr>
            <w:r>
              <w:rPr>
                <w:rFonts w:ascii="Times New Roman" w:hAnsi="Times New Roman" w:eastAsia="宋体" w:cs="Times New Roman"/>
                <w:color w:val="auto"/>
                <w:sz w:val="24"/>
                <w:szCs w:val="21"/>
                <w:highlight w:val="none"/>
              </w:rPr>
              <w:t>淮南市生态环境局就空气质量不达标提出一系列举措</w:t>
            </w:r>
            <w:r>
              <w:rPr>
                <w:rFonts w:hint="eastAsia" w:ascii="Times New Roman" w:hAnsi="Times New Roman" w:eastAsia="宋体" w:cs="Times New Roman"/>
                <w:color w:val="auto"/>
                <w:sz w:val="24"/>
                <w:szCs w:val="21"/>
                <w:highlight w:val="none"/>
              </w:rPr>
              <w:t>，</w:t>
            </w:r>
            <w:r>
              <w:rPr>
                <w:rFonts w:ascii="Times New Roman" w:hAnsi="Times New Roman" w:eastAsia="宋体" w:cs="Times New Roman"/>
                <w:color w:val="auto"/>
                <w:sz w:val="24"/>
                <w:szCs w:val="21"/>
                <w:highlight w:val="none"/>
              </w:rPr>
              <w:t>为确保淮南市大气污染防治工作有效推进，</w:t>
            </w:r>
            <w:r>
              <w:rPr>
                <w:rFonts w:hint="eastAsia" w:ascii="Times New Roman" w:hAnsi="Times New Roman" w:eastAsia="宋体" w:cs="Times New Roman"/>
                <w:color w:val="auto"/>
                <w:sz w:val="24"/>
                <w:szCs w:val="21"/>
                <w:highlight w:val="none"/>
              </w:rPr>
              <w:t>目前，淮南市已制订《淮南市“十四五”大气污染防治规划（2021—2025年）》，围绕工业大气污染治理、扬（烟）尘污染防治等开展专项治理活动，进一步削减大气污染物排放。</w:t>
            </w:r>
            <w:bookmarkStart w:id="8" w:name="_GoBack"/>
            <w:bookmarkEnd w:id="8"/>
          </w:p>
          <w:p w14:paraId="5877853B">
            <w:pPr>
              <w:spacing w:line="360" w:lineRule="auto"/>
              <w:ind w:firstLine="482" w:firstLineChars="200"/>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（2）其他污染物补充监测结果</w:t>
            </w:r>
          </w:p>
          <w:p w14:paraId="1260411B">
            <w:pPr>
              <w:spacing w:line="360" w:lineRule="auto"/>
              <w:ind w:firstLine="480" w:firstLineChars="200"/>
              <w:rPr>
                <w:rFonts w:ascii="Times New Roman" w:hAnsi="Times New Roman" w:eastAsia="宋体" w:cs="Times New Roman"/>
                <w:color w:val="auto"/>
                <w:kern w:val="0"/>
                <w:sz w:val="24"/>
                <w:szCs w:val="24"/>
                <w:highlight w:val="none"/>
              </w:rPr>
            </w:pPr>
            <w:r>
              <w:rPr>
                <w:rFonts w:hint="eastAsia" w:ascii="宋体" w:hAnsi="宋体" w:eastAsia="宋体" w:cs="宋体"/>
                <w:color w:val="auto"/>
                <w:kern w:val="0"/>
                <w:sz w:val="24"/>
                <w:szCs w:val="24"/>
                <w:highlight w:val="none"/>
              </w:rPr>
              <w:t>①</w:t>
            </w:r>
            <w:r>
              <w:rPr>
                <w:rFonts w:hint="eastAsia" w:ascii="Times New Roman" w:hAnsi="Times New Roman" w:eastAsia="宋体" w:cs="Times New Roman"/>
                <w:color w:val="auto"/>
                <w:kern w:val="0"/>
                <w:sz w:val="24"/>
                <w:szCs w:val="24"/>
                <w:highlight w:val="none"/>
              </w:rPr>
              <w:t>TSP</w:t>
            </w:r>
          </w:p>
          <w:p w14:paraId="66E6CB52">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rPr>
              <w:t>本项目涉及的其他污染物为TSP。</w:t>
            </w:r>
            <w:r>
              <w:rPr>
                <w:rFonts w:ascii="Times New Roman" w:hAnsi="Times New Roman" w:eastAsia="宋体" w:cs="Times New Roman"/>
                <w:color w:val="auto"/>
                <w:sz w:val="24"/>
                <w:szCs w:val="24"/>
                <w:highlight w:val="none"/>
              </w:rPr>
              <w:t>为了解区域大气环境中TSP现状，评价数据引用《安徽宏盛年产8500万支雨伞项目环境影响报告表》中的监测数据。监测单位为安徽澳林检测技术有限公司，监测时间为2023年9月12日至2023年9月15日，监测点位设置在王庄西。监测点位距离本项目约605m，属于本项目周边5千米范围内近3年的现有监测数据，数据引用符合规定项目与引用点位置关系图和监测结果如下：</w:t>
            </w:r>
          </w:p>
          <w:p w14:paraId="13513E83">
            <w:pPr>
              <w:widowControl/>
              <w:spacing w:line="360" w:lineRule="auto"/>
              <w:rPr>
                <w:rFonts w:ascii="Times New Roman" w:hAnsi="Times New Roman" w:eastAsia="宋体" w:cs="Times New Roman"/>
                <w:color w:val="auto"/>
                <w:kern w:val="0"/>
                <w:sz w:val="24"/>
                <w:szCs w:val="24"/>
                <w:highlight w:val="none"/>
              </w:rPr>
            </w:pPr>
            <w:r>
              <w:rPr>
                <w:color w:val="auto"/>
                <w:sz w:val="24"/>
                <w:highlight w:val="none"/>
              </w:rPr>
              <w:pict>
                <v:shape id="_x0000_s62127" o:spid="_x0000_s62127" style="position:absolute;left:0pt;margin-left:296.15pt;margin-top:113.8pt;height:49.35pt;width:23.4pt;z-index:251660288;mso-width-relative:page;mso-height-relative:page;" stroked="t" coordsize="468,987" path="m0,49l243,0,292,209,231,222,261,383,319,376,364,577,307,574,340,704,413,692,468,941,225,987,0,49xe">
                  <v:fill opacity="13107f" focussize="0,0"/>
                  <v:stroke weight="0.5pt" color="#FF0000" endarrowwidth="narrow"/>
                  <v:imagedata o:title=""/>
                  <o:lock v:ext="edit"/>
                </v:shape>
              </w:pict>
            </w:r>
            <w:r>
              <w:rPr>
                <w:rFonts w:ascii="Times New Roman" w:hAnsi="Times New Roman" w:eastAsia="宋体" w:cs="Times New Roman"/>
                <w:color w:val="auto"/>
                <w:sz w:val="24"/>
                <w:highlight w:val="none"/>
              </w:rPr>
              <w:pict>
                <v:shape id="_x0000_s62123" o:spid="_x0000_s62123" o:spt="202" type="#_x0000_t202" style="position:absolute;left:0pt;margin-left:284.3pt;margin-top:164.65pt;height:28.45pt;width:68.75pt;z-index:251664384;mso-width-relative:page;mso-height-relative:page;" filled="f" stroked="f" coordsize="21600,21600">
                  <v:path/>
                  <v:fill on="f" focussize="0,0"/>
                  <v:stroke on="f" weight="0.5pt" endarrowwidth="narrow"/>
                  <v:imagedata o:title=""/>
                  <o:lock v:ext="edit"/>
                  <v:textbox>
                    <w:txbxContent>
                      <w:p w14:paraId="2D954E2B">
                        <w:pPr>
                          <w:rPr>
                            <w:rFonts w:ascii="黑体" w:hAnsi="黑体" w:eastAsia="黑体" w:cs="黑体"/>
                            <w:b/>
                            <w:bCs/>
                            <w:color w:val="FF0000"/>
                          </w:rPr>
                        </w:pPr>
                        <w:r>
                          <w:rPr>
                            <w:rFonts w:hint="eastAsia" w:ascii="黑体" w:hAnsi="黑体" w:eastAsia="黑体" w:cs="黑体"/>
                            <w:b/>
                            <w:bCs/>
                            <w:color w:val="FF0000"/>
                          </w:rPr>
                          <w:t>项目厂址</w:t>
                        </w:r>
                      </w:p>
                    </w:txbxContent>
                  </v:textbox>
                </v:shape>
              </w:pict>
            </w:r>
            <w:r>
              <w:rPr>
                <w:rFonts w:ascii="Times New Roman" w:hAnsi="Times New Roman" w:eastAsia="宋体" w:cs="Times New Roman"/>
                <w:color w:val="auto"/>
                <w:sz w:val="24"/>
                <w:highlight w:val="none"/>
              </w:rPr>
              <w:pict>
                <v:shape id="_x0000_s62125" o:spid="_x0000_s62125" o:spt="3" type="#_x0000_t3" style="position:absolute;left:0pt;margin-left:129.45pt;margin-top:115.25pt;height:10.3pt;width:10.3pt;z-index:251661312;mso-width-relative:page;mso-height-relative:page;" fillcolor="#FFFF00" filled="t" stroked="t" coordsize="21600,21600">
                  <v:path/>
                  <v:fill on="t" focussize="0,0"/>
                  <v:stroke weight="0.5pt" color="#FFFF00" endarrowwidth="narrow"/>
                  <v:imagedata o:title=""/>
                  <o:lock v:ext="edit"/>
                </v:shape>
              </w:pict>
            </w:r>
            <w:r>
              <w:rPr>
                <w:rFonts w:ascii="Times New Roman" w:hAnsi="Times New Roman" w:eastAsia="宋体" w:cs="Times New Roman"/>
                <w:color w:val="auto"/>
                <w:sz w:val="24"/>
                <w:highlight w:val="none"/>
              </w:rPr>
              <w:pict>
                <v:shape id="_x0000_s62124" o:spid="_x0000_s62124" o:spt="202" type="#_x0000_t202" style="position:absolute;left:0pt;margin-left:119.65pt;margin-top:126.7pt;height:28.45pt;width:68.75pt;z-index:251663360;mso-width-relative:page;mso-height-relative:page;" filled="f" stroked="f" coordsize="21600,21600">
                  <v:path/>
                  <v:fill on="f" focussize="0,0"/>
                  <v:stroke on="f" weight="0.5pt" endarrowwidth="narrow"/>
                  <v:imagedata o:title=""/>
                  <o:lock v:ext="edit"/>
                  <v:textbox>
                    <w:txbxContent>
                      <w:p w14:paraId="49EAA722">
                        <w:pPr>
                          <w:rPr>
                            <w:rFonts w:ascii="黑体" w:hAnsi="黑体" w:eastAsia="黑体" w:cs="黑体"/>
                            <w:b/>
                            <w:bCs/>
                            <w:color w:val="FFFF00"/>
                          </w:rPr>
                        </w:pPr>
                        <w:r>
                          <w:rPr>
                            <w:rFonts w:hint="eastAsia" w:ascii="黑体" w:hAnsi="黑体" w:eastAsia="黑体" w:cs="黑体"/>
                            <w:b/>
                            <w:bCs/>
                            <w:color w:val="FFFF00"/>
                          </w:rPr>
                          <w:t>王庄西</w:t>
                        </w:r>
                      </w:p>
                    </w:txbxContent>
                  </v:textbox>
                </v:shape>
              </w:pict>
            </w:r>
            <w:r>
              <w:rPr>
                <w:rFonts w:ascii="Times New Roman" w:hAnsi="Times New Roman" w:eastAsia="宋体" w:cs="Times New Roman"/>
                <w:color w:val="auto"/>
                <w:sz w:val="24"/>
                <w:highlight w:val="none"/>
              </w:rPr>
              <w:pict>
                <v:shape id="_x0000_s62120" o:spid="_x0000_s62120" o:spt="202" type="#_x0000_t202" style="position:absolute;left:0pt;margin-left:199.5pt;margin-top:100.1pt;height:28.45pt;width:68.75pt;z-index:251665408;mso-width-relative:page;mso-height-relative:page;" filled="f" stroked="f" coordsize="21600,21600">
                  <v:path/>
                  <v:fill on="f" focussize="0,0"/>
                  <v:stroke on="f" weight="0.5pt" joinstyle="miter"/>
                  <v:imagedata o:title=""/>
                  <o:lock v:ext="edit"/>
                  <v:textbox>
                    <w:txbxContent>
                      <w:p w14:paraId="7C9E5CA7">
                        <w:pPr>
                          <w:rPr>
                            <w:rFonts w:ascii="Times New Roman" w:hAnsi="Times New Roman" w:eastAsia="黑体" w:cs="Times New Roman"/>
                            <w:b/>
                            <w:bCs/>
                            <w:color w:val="FFC000"/>
                          </w:rPr>
                        </w:pPr>
                        <w:r>
                          <w:rPr>
                            <w:rFonts w:hint="eastAsia" w:ascii="Times New Roman" w:hAnsi="Times New Roman" w:eastAsia="黑体" w:cs="Times New Roman"/>
                            <w:b/>
                            <w:bCs/>
                            <w:color w:val="FFC000"/>
                          </w:rPr>
                          <w:t>605</w:t>
                        </w:r>
                        <w:r>
                          <w:rPr>
                            <w:rFonts w:ascii="Times New Roman" w:hAnsi="Times New Roman" w:eastAsia="黑体" w:cs="Times New Roman"/>
                            <w:b/>
                            <w:bCs/>
                            <w:color w:val="FFC000"/>
                          </w:rPr>
                          <w:t>m</w:t>
                        </w:r>
                      </w:p>
                    </w:txbxContent>
                  </v:textbox>
                </v:shape>
              </w:pict>
            </w:r>
            <w:r>
              <w:rPr>
                <w:rFonts w:ascii="Times New Roman" w:hAnsi="Times New Roman" w:eastAsia="宋体" w:cs="Times New Roman"/>
                <w:color w:val="auto"/>
                <w:sz w:val="24"/>
                <w:highlight w:val="none"/>
              </w:rPr>
              <w:pict>
                <v:line id="_x0000_s62121" o:spid="_x0000_s62121" o:spt="20" style="position:absolute;left:0pt;flip:y;margin-left:137.25pt;margin-top:119.5pt;height:1.6pt;width:158.75pt;z-index:251662336;mso-width-relative:page;mso-height-relative:page;" stroked="t" coordsize="21600,21600">
                  <v:path arrowok="t"/>
                  <v:fill focussize="0,0"/>
                  <v:stroke weight="2.25pt" color="#FFC000" startarrow="block" endarrow="block"/>
                  <v:imagedata o:title=""/>
                  <o:lock v:ext="edit"/>
                </v:line>
              </w:pict>
            </w:r>
            <w:r>
              <w:rPr>
                <w:rFonts w:ascii="Times New Roman" w:hAnsi="Times New Roman" w:eastAsia="宋体" w:cs="Times New Roman"/>
                <w:color w:val="auto"/>
                <w:highlight w:val="none"/>
              </w:rPr>
              <w:drawing>
                <wp:inline distT="0" distB="0" distL="114300" distR="114300">
                  <wp:extent cx="4990465" cy="3082925"/>
                  <wp:effectExtent l="0" t="0" r="635"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2" cstate="print"/>
                          <a:stretch>
                            <a:fillRect/>
                          </a:stretch>
                        </pic:blipFill>
                        <pic:spPr>
                          <a:xfrm>
                            <a:off x="0" y="0"/>
                            <a:ext cx="4990465" cy="3082925"/>
                          </a:xfrm>
                          <a:prstGeom prst="rect">
                            <a:avLst/>
                          </a:prstGeom>
                          <a:noFill/>
                          <a:ln>
                            <a:noFill/>
                          </a:ln>
                        </pic:spPr>
                      </pic:pic>
                    </a:graphicData>
                  </a:graphic>
                </wp:inline>
              </w:drawing>
            </w:r>
            <w:r>
              <w:rPr>
                <w:rFonts w:ascii="Times New Roman" w:hAnsi="Times New Roman" w:eastAsia="宋体" w:cs="Times New Roman"/>
                <w:b/>
                <w:color w:val="auto"/>
                <w:kern w:val="0"/>
                <w:sz w:val="24"/>
                <w:szCs w:val="24"/>
                <w:highlight w:val="none"/>
              </w:rPr>
              <w:drawing>
                <wp:anchor distT="0" distB="0" distL="114300" distR="114300" simplePos="0" relativeHeight="251659264" behindDoc="0" locked="0" layoutInCell="1" allowOverlap="1">
                  <wp:simplePos x="0" y="0"/>
                  <wp:positionH relativeFrom="column">
                    <wp:posOffset>4283075</wp:posOffset>
                  </wp:positionH>
                  <wp:positionV relativeFrom="paragraph">
                    <wp:posOffset>107950</wp:posOffset>
                  </wp:positionV>
                  <wp:extent cx="656590" cy="668020"/>
                  <wp:effectExtent l="0" t="0" r="635" b="8255"/>
                  <wp:wrapNone/>
                  <wp:docPr id="19" name="图片 5" descr="C:\Users\李青青\AppData\Roaming\Tencent\Users\403002229\QQ\WinTemp\RichOle\030%UR9BYU3GM772(UBEC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李青青\AppData\Roaming\Tencent\Users\403002229\QQ\WinTemp\RichOle\030%UR9BYU3GM772(UBEC80.png"/>
                          <pic:cNvPicPr>
                            <a:picLocks noChangeAspect="1" noChangeArrowheads="1"/>
                          </pic:cNvPicPr>
                        </pic:nvPicPr>
                        <pic:blipFill>
                          <a:blip r:embed="rId13" r:link="rId14" cstate="print"/>
                          <a:srcRect/>
                          <a:stretch>
                            <a:fillRect/>
                          </a:stretch>
                        </pic:blipFill>
                        <pic:spPr>
                          <a:xfrm>
                            <a:off x="0" y="0"/>
                            <a:ext cx="656590" cy="668020"/>
                          </a:xfrm>
                          <a:prstGeom prst="rect">
                            <a:avLst/>
                          </a:prstGeom>
                          <a:noFill/>
                          <a:ln w="19050">
                            <a:noFill/>
                          </a:ln>
                        </pic:spPr>
                      </pic:pic>
                    </a:graphicData>
                  </a:graphic>
                </wp:anchor>
              </w:drawing>
            </w:r>
          </w:p>
          <w:p w14:paraId="6BB56FA6">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图3-1  项目与引用点位关系图</w:t>
            </w:r>
          </w:p>
          <w:p w14:paraId="28D12EE5">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项目引用点监测天数为7日，引用监测结果统计见下表：</w:t>
            </w:r>
          </w:p>
          <w:p w14:paraId="3BAE91C7">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表3-2项目区大气环境现状监测结果一览表</w:t>
            </w:r>
          </w:p>
          <w:tbl>
            <w:tblPr>
              <w:tblStyle w:val="19"/>
              <w:tblW w:w="785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8"/>
              <w:gridCol w:w="989"/>
              <w:gridCol w:w="1038"/>
              <w:gridCol w:w="1050"/>
              <w:gridCol w:w="1281"/>
              <w:gridCol w:w="1175"/>
              <w:gridCol w:w="781"/>
              <w:gridCol w:w="828"/>
            </w:tblGrid>
            <w:tr w14:paraId="22F45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08" w:type="dxa"/>
                  <w:tcBorders>
                    <w:top w:val="single" w:color="auto" w:sz="8" w:space="0"/>
                  </w:tcBorders>
                  <w:vAlign w:val="center"/>
                </w:tcPr>
                <w:p w14:paraId="5DC8CE01">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监测点位</w:t>
                  </w:r>
                </w:p>
              </w:tc>
              <w:tc>
                <w:tcPr>
                  <w:tcW w:w="989" w:type="dxa"/>
                  <w:tcBorders>
                    <w:top w:val="single" w:color="auto" w:sz="8" w:space="0"/>
                  </w:tcBorders>
                  <w:vAlign w:val="center"/>
                </w:tcPr>
                <w:p w14:paraId="15CA5A7A">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监测因子</w:t>
                  </w:r>
                </w:p>
              </w:tc>
              <w:tc>
                <w:tcPr>
                  <w:tcW w:w="1038" w:type="dxa"/>
                  <w:tcBorders>
                    <w:top w:val="single" w:color="auto" w:sz="8" w:space="0"/>
                  </w:tcBorders>
                  <w:vAlign w:val="center"/>
                </w:tcPr>
                <w:p w14:paraId="1D6CD0DF">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平均时间</w:t>
                  </w:r>
                </w:p>
              </w:tc>
              <w:tc>
                <w:tcPr>
                  <w:tcW w:w="1050" w:type="dxa"/>
                  <w:tcBorders>
                    <w:top w:val="single" w:color="auto" w:sz="8" w:space="0"/>
                  </w:tcBorders>
                  <w:vAlign w:val="center"/>
                </w:tcPr>
                <w:p w14:paraId="3E839E57">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评价标准（mg/m</w:t>
                  </w:r>
                  <w:r>
                    <w:rPr>
                      <w:rFonts w:ascii="Times New Roman" w:hAnsi="Times New Roman" w:eastAsia="宋体" w:cs="Times New Roman"/>
                      <w:b/>
                      <w:color w:val="auto"/>
                      <w:kern w:val="0"/>
                      <w:sz w:val="18"/>
                      <w:szCs w:val="18"/>
                      <w:highlight w:val="none"/>
                      <w:vertAlign w:val="superscript"/>
                    </w:rPr>
                    <w:t>3</w:t>
                  </w:r>
                  <w:r>
                    <w:rPr>
                      <w:rFonts w:ascii="Times New Roman" w:hAnsi="Times New Roman" w:eastAsia="宋体" w:cs="Times New Roman"/>
                      <w:b/>
                      <w:color w:val="auto"/>
                      <w:kern w:val="0"/>
                      <w:sz w:val="18"/>
                      <w:szCs w:val="18"/>
                      <w:highlight w:val="none"/>
                    </w:rPr>
                    <w:t>）</w:t>
                  </w:r>
                </w:p>
              </w:tc>
              <w:tc>
                <w:tcPr>
                  <w:tcW w:w="1281" w:type="dxa"/>
                  <w:tcBorders>
                    <w:top w:val="single" w:color="auto" w:sz="8" w:space="0"/>
                  </w:tcBorders>
                  <w:vAlign w:val="center"/>
                </w:tcPr>
                <w:p w14:paraId="48A2231D">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监测浓度范围（mg/m</w:t>
                  </w:r>
                  <w:r>
                    <w:rPr>
                      <w:rFonts w:ascii="Times New Roman" w:hAnsi="Times New Roman" w:eastAsia="宋体" w:cs="Times New Roman"/>
                      <w:b/>
                      <w:color w:val="auto"/>
                      <w:kern w:val="0"/>
                      <w:sz w:val="18"/>
                      <w:szCs w:val="18"/>
                      <w:highlight w:val="none"/>
                      <w:vertAlign w:val="superscript"/>
                    </w:rPr>
                    <w:t>3</w:t>
                  </w:r>
                  <w:r>
                    <w:rPr>
                      <w:rFonts w:ascii="Times New Roman" w:hAnsi="Times New Roman" w:eastAsia="宋体" w:cs="Times New Roman"/>
                      <w:b/>
                      <w:color w:val="auto"/>
                      <w:kern w:val="0"/>
                      <w:sz w:val="18"/>
                      <w:szCs w:val="18"/>
                      <w:highlight w:val="none"/>
                    </w:rPr>
                    <w:t>）</w:t>
                  </w:r>
                </w:p>
              </w:tc>
              <w:tc>
                <w:tcPr>
                  <w:tcW w:w="1175" w:type="dxa"/>
                  <w:tcBorders>
                    <w:top w:val="single" w:color="auto" w:sz="8" w:space="0"/>
                  </w:tcBorders>
                  <w:vAlign w:val="center"/>
                </w:tcPr>
                <w:p w14:paraId="4766161E">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最大浓度占标率（%）</w:t>
                  </w:r>
                </w:p>
              </w:tc>
              <w:tc>
                <w:tcPr>
                  <w:tcW w:w="781" w:type="dxa"/>
                  <w:tcBorders>
                    <w:top w:val="single" w:color="auto" w:sz="8" w:space="0"/>
                  </w:tcBorders>
                  <w:vAlign w:val="center"/>
                </w:tcPr>
                <w:p w14:paraId="5AA14D94">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超标率（%）</w:t>
                  </w:r>
                </w:p>
              </w:tc>
              <w:tc>
                <w:tcPr>
                  <w:tcW w:w="828" w:type="dxa"/>
                  <w:tcBorders>
                    <w:top w:val="single" w:color="auto" w:sz="8" w:space="0"/>
                  </w:tcBorders>
                  <w:vAlign w:val="center"/>
                </w:tcPr>
                <w:p w14:paraId="2A65D2DF">
                  <w:pPr>
                    <w:adjustRightInd w:val="0"/>
                    <w:snapToGrid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达标情况</w:t>
                  </w:r>
                </w:p>
              </w:tc>
            </w:tr>
            <w:tr w14:paraId="4A6AA9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93" w:hRule="atLeast"/>
              </w:trPr>
              <w:tc>
                <w:tcPr>
                  <w:tcW w:w="708" w:type="dxa"/>
                  <w:tcBorders>
                    <w:bottom w:val="single" w:color="auto" w:sz="8" w:space="0"/>
                  </w:tcBorders>
                  <w:vAlign w:val="center"/>
                </w:tcPr>
                <w:p w14:paraId="330E6A49">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王庄西</w:t>
                  </w:r>
                </w:p>
              </w:tc>
              <w:tc>
                <w:tcPr>
                  <w:tcW w:w="989" w:type="dxa"/>
                  <w:tcBorders>
                    <w:bottom w:val="single" w:color="auto" w:sz="8" w:space="0"/>
                  </w:tcBorders>
                  <w:vAlign w:val="center"/>
                </w:tcPr>
                <w:p w14:paraId="28B285E8">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TSP</w:t>
                  </w:r>
                </w:p>
              </w:tc>
              <w:tc>
                <w:tcPr>
                  <w:tcW w:w="1038" w:type="dxa"/>
                  <w:tcBorders>
                    <w:bottom w:val="single" w:color="auto" w:sz="8" w:space="0"/>
                  </w:tcBorders>
                  <w:vAlign w:val="center"/>
                </w:tcPr>
                <w:p w14:paraId="507957C5">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snapToGrid w:val="0"/>
                      <w:color w:val="auto"/>
                      <w:kern w:val="0"/>
                      <w:sz w:val="18"/>
                      <w:szCs w:val="18"/>
                      <w:highlight w:val="none"/>
                    </w:rPr>
                    <w:t>日均值</w:t>
                  </w:r>
                </w:p>
              </w:tc>
              <w:tc>
                <w:tcPr>
                  <w:tcW w:w="1050" w:type="dxa"/>
                  <w:tcBorders>
                    <w:bottom w:val="single" w:color="auto" w:sz="8" w:space="0"/>
                  </w:tcBorders>
                  <w:vAlign w:val="center"/>
                </w:tcPr>
                <w:p w14:paraId="67B7BBB6">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0.3</w:t>
                  </w:r>
                </w:p>
              </w:tc>
              <w:tc>
                <w:tcPr>
                  <w:tcW w:w="1281" w:type="dxa"/>
                  <w:tcBorders>
                    <w:bottom w:val="single" w:color="auto" w:sz="8" w:space="0"/>
                  </w:tcBorders>
                  <w:vAlign w:val="center"/>
                </w:tcPr>
                <w:p w14:paraId="4D06E755">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0.056~0.063</w:t>
                  </w:r>
                </w:p>
              </w:tc>
              <w:tc>
                <w:tcPr>
                  <w:tcW w:w="1175" w:type="dxa"/>
                  <w:tcBorders>
                    <w:bottom w:val="single" w:color="auto" w:sz="8" w:space="0"/>
                  </w:tcBorders>
                  <w:vAlign w:val="center"/>
                </w:tcPr>
                <w:p w14:paraId="59688695">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21</w:t>
                  </w:r>
                </w:p>
              </w:tc>
              <w:tc>
                <w:tcPr>
                  <w:tcW w:w="781" w:type="dxa"/>
                  <w:tcBorders>
                    <w:bottom w:val="single" w:color="auto" w:sz="8" w:space="0"/>
                  </w:tcBorders>
                  <w:vAlign w:val="center"/>
                </w:tcPr>
                <w:p w14:paraId="045F05A1">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w:t>
                  </w:r>
                </w:p>
              </w:tc>
              <w:tc>
                <w:tcPr>
                  <w:tcW w:w="828" w:type="dxa"/>
                  <w:tcBorders>
                    <w:bottom w:val="single" w:color="auto" w:sz="8" w:space="0"/>
                  </w:tcBorders>
                  <w:vAlign w:val="center"/>
                </w:tcPr>
                <w:p w14:paraId="77C3769B">
                  <w:pPr>
                    <w:adjustRightInd w:val="0"/>
                    <w:snapToGrid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达标</w:t>
                  </w:r>
                </w:p>
              </w:tc>
            </w:tr>
          </w:tbl>
          <w:p w14:paraId="2D14D9A1">
            <w:pPr>
              <w:spacing w:line="360"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kern w:val="0"/>
                <w:sz w:val="24"/>
                <w:szCs w:val="24"/>
                <w:highlight w:val="none"/>
              </w:rPr>
              <w:t>根据上表可知，王庄西监测点的TSP日均值现状监测结果满足</w:t>
            </w:r>
            <w:r>
              <w:rPr>
                <w:rFonts w:hint="eastAsia" w:ascii="Times New Roman" w:hAnsi="Times New Roman" w:eastAsia="宋体" w:cs="Times New Roman"/>
                <w:color w:val="auto"/>
                <w:kern w:val="0"/>
                <w:sz w:val="24"/>
                <w:szCs w:val="24"/>
                <w:highlight w:val="none"/>
              </w:rPr>
              <w:t>《环境空气质量标准》（GB3095-2026）过渡阶段浓度限值</w:t>
            </w:r>
            <w:r>
              <w:rPr>
                <w:rFonts w:ascii="Times New Roman" w:hAnsi="Times New Roman" w:eastAsia="宋体" w:cs="Times New Roman"/>
                <w:color w:val="auto"/>
                <w:kern w:val="0"/>
                <w:sz w:val="24"/>
                <w:szCs w:val="24"/>
                <w:highlight w:val="none"/>
              </w:rPr>
              <w:t>。因此</w:t>
            </w:r>
            <w:r>
              <w:rPr>
                <w:rFonts w:ascii="Times New Roman" w:hAnsi="Times New Roman" w:eastAsia="宋体" w:cs="Times New Roman"/>
                <w:color w:val="auto"/>
                <w:sz w:val="24"/>
                <w:szCs w:val="24"/>
                <w:highlight w:val="none"/>
              </w:rPr>
              <w:t>项目区TSP满足</w:t>
            </w:r>
            <w:r>
              <w:rPr>
                <w:rFonts w:hint="eastAsia" w:ascii="Times New Roman" w:hAnsi="Times New Roman" w:eastAsia="宋体" w:cs="Times New Roman"/>
                <w:color w:val="auto"/>
                <w:sz w:val="24"/>
                <w:szCs w:val="24"/>
                <w:highlight w:val="none"/>
              </w:rPr>
              <w:t>《环境空气质量标准》（GB3095-2026）过渡阶段浓度限值</w:t>
            </w:r>
            <w:r>
              <w:rPr>
                <w:rFonts w:ascii="Times New Roman" w:hAnsi="Times New Roman" w:eastAsia="宋体" w:cs="Times New Roman"/>
                <w:color w:val="auto"/>
                <w:sz w:val="24"/>
                <w:szCs w:val="24"/>
                <w:highlight w:val="none"/>
              </w:rPr>
              <w:t>。</w:t>
            </w:r>
          </w:p>
          <w:p w14:paraId="45B4EE01">
            <w:pPr>
              <w:pStyle w:val="27"/>
              <w:snapToGrid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②非甲烷总烃</w:t>
            </w:r>
          </w:p>
          <w:p w14:paraId="323FA999">
            <w:pPr>
              <w:pStyle w:val="27"/>
              <w:snapToGrid w:val="0"/>
              <w:spacing w:line="360" w:lineRule="auto"/>
              <w:ind w:firstLine="480" w:firstLineChars="200"/>
              <w:rPr>
                <w:rFonts w:ascii="Times New Roman" w:cs="Times New Roman"/>
                <w:color w:val="auto"/>
                <w:highlight w:val="none"/>
              </w:rPr>
            </w:pPr>
            <w:r>
              <w:rPr>
                <w:rFonts w:hint="eastAsia" w:ascii="Times New Roman" w:cs="Times New Roman"/>
                <w:color w:val="auto"/>
                <w:highlight w:val="none"/>
              </w:rPr>
              <w:t>该项目生产过</w:t>
            </w:r>
            <w:r>
              <w:rPr>
                <w:rFonts w:hint="eastAsia" w:ascii="Times New Roman" w:cs="Times New Roman"/>
                <w:color w:val="auto"/>
                <w:highlight w:val="none"/>
                <w:lang w:eastAsia="zh-CN"/>
              </w:rPr>
              <w:t>程中</w:t>
            </w:r>
            <w:r>
              <w:rPr>
                <w:rFonts w:hint="eastAsia" w:ascii="Times New Roman" w:cs="Times New Roman"/>
                <w:color w:val="auto"/>
                <w:highlight w:val="none"/>
              </w:rPr>
              <w:t>产生的特征污染物为非甲烷总烃，《环境空气质量标准》</w:t>
            </w:r>
            <w:r>
              <w:rPr>
                <w:rFonts w:hint="eastAsia" w:ascii="Times New Roman" w:cs="Times New Roman"/>
                <w:color w:val="auto"/>
                <w:highlight w:val="none"/>
                <w:lang w:eastAsia="zh-CN"/>
              </w:rPr>
              <w:t>（</w:t>
            </w:r>
            <w:r>
              <w:rPr>
                <w:rFonts w:hint="eastAsia" w:ascii="Times New Roman" w:cs="Times New Roman"/>
                <w:color w:val="auto"/>
                <w:highlight w:val="none"/>
              </w:rPr>
              <w:t>GB3095-2012</w:t>
            </w:r>
            <w:r>
              <w:rPr>
                <w:rFonts w:hint="eastAsia" w:ascii="Times New Roman" w:cs="Times New Roman"/>
                <w:color w:val="auto"/>
                <w:highlight w:val="none"/>
                <w:lang w:eastAsia="zh-CN"/>
              </w:rPr>
              <w:t>）</w:t>
            </w:r>
            <w:r>
              <w:rPr>
                <w:rFonts w:hint="eastAsia" w:ascii="Times New Roman" w:cs="Times New Roman"/>
                <w:color w:val="auto"/>
                <w:highlight w:val="none"/>
              </w:rPr>
              <w:t>中未涉及其相应的标准值。根据全国环评技术评估服务咨询平台http://iconsult-eia.china-eia.com/index?aimModule=searching list2&amp;question-%E7%89%B9%E5%BE%81解答内容“技术指南中提到“排放国家、地方环境空气质量标准中有标准限值要求的特征污染物”，其中环境空气质量标准指《环境空气质量标准》</w:t>
            </w:r>
            <w:r>
              <w:rPr>
                <w:rFonts w:hint="eastAsia" w:ascii="Times New Roman" w:cs="Times New Roman"/>
                <w:color w:val="auto"/>
                <w:highlight w:val="none"/>
                <w:lang w:eastAsia="zh-CN"/>
              </w:rPr>
              <w:t>（</w:t>
            </w:r>
            <w:r>
              <w:rPr>
                <w:rFonts w:hint="eastAsia" w:ascii="Times New Roman" w:cs="Times New Roman"/>
                <w:color w:val="auto"/>
                <w:highlight w:val="none"/>
              </w:rPr>
              <w:t>GB3095</w:t>
            </w:r>
            <w:r>
              <w:rPr>
                <w:rFonts w:hint="eastAsia" w:ascii="Times New Roman" w:cs="Times New Roman"/>
                <w:color w:val="auto"/>
                <w:highlight w:val="none"/>
                <w:lang w:val="en-US" w:eastAsia="zh-CN"/>
              </w:rPr>
              <w:t>-2026）</w:t>
            </w:r>
            <w:r>
              <w:rPr>
                <w:rFonts w:hint="eastAsia" w:ascii="Times New Roman" w:cs="Times New Roman"/>
                <w:color w:val="auto"/>
                <w:highlight w:val="none"/>
              </w:rPr>
              <w:t>和地方的环境空气质量标准，不包括《环境影响评价技术导则大气环境》</w:t>
            </w:r>
            <w:r>
              <w:rPr>
                <w:rFonts w:hint="eastAsia" w:ascii="Times New Roman" w:cs="Times New Roman"/>
                <w:color w:val="auto"/>
                <w:highlight w:val="none"/>
                <w:lang w:eastAsia="zh-CN"/>
              </w:rPr>
              <w:t>（</w:t>
            </w:r>
            <w:r>
              <w:rPr>
                <w:rFonts w:hint="eastAsia" w:ascii="Times New Roman" w:cs="Times New Roman"/>
                <w:color w:val="auto"/>
                <w:highlight w:val="none"/>
              </w:rPr>
              <w:t>HJ2.2-2018</w:t>
            </w:r>
            <w:r>
              <w:rPr>
                <w:rFonts w:hint="eastAsia" w:ascii="Times New Roman" w:cs="Times New Roman"/>
                <w:color w:val="auto"/>
                <w:highlight w:val="none"/>
                <w:lang w:eastAsia="zh-CN"/>
              </w:rPr>
              <w:t>）</w:t>
            </w:r>
            <w:r>
              <w:rPr>
                <w:rFonts w:hint="eastAsia" w:ascii="Times New Roman" w:cs="Times New Roman"/>
                <w:color w:val="auto"/>
                <w:highlight w:val="none"/>
              </w:rPr>
              <w:t>附录D、工业企业设计卫生标准》</w:t>
            </w:r>
            <w:r>
              <w:rPr>
                <w:rFonts w:hint="eastAsia" w:ascii="Times New Roman" w:cs="Times New Roman"/>
                <w:color w:val="auto"/>
                <w:highlight w:val="none"/>
                <w:lang w:eastAsia="zh-CN"/>
              </w:rPr>
              <w:t>（</w:t>
            </w:r>
            <w:r>
              <w:rPr>
                <w:rFonts w:hint="eastAsia" w:ascii="Times New Roman" w:cs="Times New Roman"/>
                <w:color w:val="auto"/>
                <w:highlight w:val="none"/>
              </w:rPr>
              <w:t>TJ36-97</w:t>
            </w:r>
            <w:r>
              <w:rPr>
                <w:rFonts w:hint="eastAsia" w:ascii="Times New Roman" w:cs="Times New Roman"/>
                <w:color w:val="auto"/>
                <w:highlight w:val="none"/>
                <w:lang w:eastAsia="zh-CN"/>
              </w:rPr>
              <w:t>）</w:t>
            </w:r>
            <w:r>
              <w:rPr>
                <w:rFonts w:hint="eastAsia" w:ascii="Times New Roman" w:cs="Times New Roman"/>
                <w:color w:val="auto"/>
                <w:highlight w:val="none"/>
              </w:rPr>
              <w:t>《前苏联居住区标准》</w:t>
            </w:r>
            <w:r>
              <w:rPr>
                <w:rFonts w:hint="eastAsia" w:ascii="Times New Roman" w:cs="Times New Roman"/>
                <w:color w:val="auto"/>
                <w:highlight w:val="none"/>
                <w:lang w:eastAsia="zh-CN"/>
              </w:rPr>
              <w:t>（</w:t>
            </w:r>
            <w:r>
              <w:rPr>
                <w:rFonts w:hint="eastAsia" w:ascii="Times New Roman" w:cs="Times New Roman"/>
                <w:color w:val="auto"/>
                <w:highlight w:val="none"/>
              </w:rPr>
              <w:t>CH245-71</w:t>
            </w:r>
            <w:r>
              <w:rPr>
                <w:rFonts w:hint="eastAsia" w:ascii="Times New Roman" w:cs="Times New Roman"/>
                <w:color w:val="auto"/>
                <w:highlight w:val="none"/>
                <w:lang w:eastAsia="zh-CN"/>
              </w:rPr>
              <w:t>）</w:t>
            </w:r>
            <w:r>
              <w:rPr>
                <w:rFonts w:hint="eastAsia" w:ascii="Times New Roman" w:cs="Times New Roman"/>
                <w:color w:val="auto"/>
                <w:highlight w:val="none"/>
              </w:rPr>
              <w:t>《环境影响评价技术导则制药建设项目》</w:t>
            </w:r>
            <w:r>
              <w:rPr>
                <w:rFonts w:hint="eastAsia" w:ascii="Times New Roman" w:cs="Times New Roman"/>
                <w:color w:val="auto"/>
                <w:highlight w:val="none"/>
                <w:lang w:eastAsia="zh-CN"/>
              </w:rPr>
              <w:t>（</w:t>
            </w:r>
            <w:r>
              <w:rPr>
                <w:rFonts w:hint="eastAsia" w:ascii="Times New Roman" w:cs="Times New Roman"/>
                <w:color w:val="auto"/>
                <w:highlight w:val="none"/>
              </w:rPr>
              <w:t>HJ611-2011</w:t>
            </w:r>
            <w:r>
              <w:rPr>
                <w:rFonts w:hint="eastAsia" w:ascii="Times New Roman" w:cs="Times New Roman"/>
                <w:color w:val="auto"/>
                <w:highlight w:val="none"/>
                <w:lang w:eastAsia="zh-CN"/>
              </w:rPr>
              <w:t>）</w:t>
            </w:r>
            <w:r>
              <w:rPr>
                <w:rFonts w:hint="eastAsia" w:ascii="Times New Roman" w:cs="Times New Roman"/>
                <w:color w:val="auto"/>
                <w:highlight w:val="none"/>
              </w:rPr>
              <w:t>、《大气污染物综合排放标准详解》等导则或参考资料。排放的特征污染物需要在国家、地方环境空气质量标准中有限值要求才涉及现状监测，且优先引用现有监测数据。”，因此，本项目不需要对大气特征污染物非甲烷总烃进行现状监测。</w:t>
            </w:r>
          </w:p>
          <w:p w14:paraId="303FE2B7">
            <w:pPr>
              <w:keepNext w:val="0"/>
              <w:keepLines w:val="0"/>
              <w:pageBreakBefore w:val="0"/>
              <w:widowControl w:val="0"/>
              <w:kinsoku/>
              <w:overflowPunct/>
              <w:topLinePunct w:val="0"/>
              <w:bidi w:val="0"/>
              <w:snapToGrid w:val="0"/>
              <w:spacing w:line="360" w:lineRule="auto"/>
              <w:ind w:firstLine="482" w:firstLineChars="200"/>
              <w:jc w:val="left"/>
              <w:textAlignment w:val="auto"/>
              <w:rPr>
                <w:rFonts w:ascii="Times New Roman" w:hAnsi="Times New Roman" w:eastAsia="宋体" w:cs="Times New Roman"/>
                <w:b/>
                <w:color w:val="auto"/>
                <w:kern w:val="0"/>
                <w:sz w:val="24"/>
                <w:szCs w:val="24"/>
                <w:highlight w:val="none"/>
              </w:rPr>
            </w:pPr>
            <w:r>
              <w:rPr>
                <w:rFonts w:ascii="Times New Roman" w:hAnsi="Times New Roman" w:eastAsia="宋体" w:cs="Times New Roman"/>
                <w:b/>
                <w:color w:val="auto"/>
                <w:kern w:val="0"/>
                <w:sz w:val="24"/>
                <w:szCs w:val="24"/>
                <w:highlight w:val="none"/>
              </w:rPr>
              <w:t>2、地表水环境质量现状</w:t>
            </w:r>
          </w:p>
          <w:p w14:paraId="3C483BA2">
            <w:pPr>
              <w:keepNext w:val="0"/>
              <w:keepLines w:val="0"/>
              <w:pageBreakBefore w:val="0"/>
              <w:widowControl w:val="0"/>
              <w:kinsoku/>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pacing w:val="-2"/>
                <w:sz w:val="24"/>
                <w:highlight w:val="none"/>
              </w:rPr>
            </w:pPr>
            <w:r>
              <w:rPr>
                <w:rFonts w:ascii="Times New Roman" w:hAnsi="Times New Roman" w:eastAsia="宋体" w:cs="Times New Roman"/>
                <w:color w:val="auto"/>
                <w:sz w:val="24"/>
                <w:szCs w:val="24"/>
                <w:highlight w:val="none"/>
              </w:rPr>
              <w:t>本项目所在地周围地表水水系主要是</w:t>
            </w:r>
            <w:r>
              <w:rPr>
                <w:rFonts w:ascii="Times New Roman" w:hAnsi="Times New Roman" w:eastAsia="宋体" w:cs="Times New Roman"/>
                <w:color w:val="auto"/>
                <w:sz w:val="24"/>
                <w:highlight w:val="none"/>
              </w:rPr>
              <w:t>淮河，淮河水环境质量执行</w:t>
            </w:r>
            <w:r>
              <w:rPr>
                <w:rFonts w:ascii="Times New Roman" w:hAnsi="Times New Roman" w:eastAsia="宋体" w:cs="Times New Roman"/>
                <w:color w:val="auto"/>
                <w:spacing w:val="-2"/>
                <w:sz w:val="24"/>
                <w:highlight w:val="none"/>
              </w:rPr>
              <w:t>《地表水环境质量标准》中的Ⅲ类水质标准要求</w:t>
            </w:r>
            <w:r>
              <w:rPr>
                <w:rFonts w:hint="eastAsia" w:ascii="Times New Roman" w:hAnsi="Times New Roman" w:eastAsia="宋体" w:cs="Times New Roman"/>
                <w:color w:val="auto"/>
                <w:spacing w:val="-2"/>
                <w:sz w:val="24"/>
                <w:highlight w:val="none"/>
              </w:rPr>
              <w:t>。</w:t>
            </w:r>
          </w:p>
          <w:p w14:paraId="66029C29">
            <w:pPr>
              <w:keepNext w:val="0"/>
              <w:keepLines w:val="0"/>
              <w:pageBreakBefore w:val="0"/>
              <w:widowControl w:val="0"/>
              <w:kinsoku/>
              <w:overflowPunct/>
              <w:topLinePunct w:val="0"/>
              <w:autoSpaceDE w:val="0"/>
              <w:autoSpaceDN w:val="0"/>
              <w:bidi w:val="0"/>
              <w:adjustRightInd w:val="0"/>
              <w:snapToGrid w:val="0"/>
              <w:spacing w:line="360" w:lineRule="auto"/>
              <w:ind w:firstLine="480" w:firstLineChars="200"/>
              <w:textAlignment w:val="auto"/>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根据淮南市生态环境局发布的《2023年淮南市环境质量状况公报</w:t>
            </w:r>
            <w:r>
              <w:rPr>
                <w:rFonts w:ascii="Times New Roman" w:hAnsi="Times New Roman" w:eastAsia="宋体" w:cs="Times New Roman"/>
                <w:color w:val="auto"/>
                <w:sz w:val="24"/>
                <w:szCs w:val="24"/>
                <w:highlight w:val="none"/>
              </w:rPr>
              <w:t>》，全市辖区内淮河干流水质状况为优，西淝河水质状况为优，东淝河、永幸河、架河、泥河、瓦西干渠、陡涧河、万小河、便民沟和丁家沟水质状况为良好。20个监测断面中优良水质比例为100%，比上年提升了15个百分点。其中新城口、西淝河闸下断面水质均有所好转（Ⅲ类→Ⅱ类），泥河入河口、便民沟焦岗闸、丁家沟河口和安丰塘水质均有所好转（Ⅳ类→Ⅲ类），其他断面水质保持稳定。项目所在区域地表水淮河环境质量总体满足《地表水环境质量标准》（GB3838-2002）Ⅲ类标准，地表水水质良好。</w:t>
            </w:r>
          </w:p>
          <w:p w14:paraId="1EEEDC3E">
            <w:pPr>
              <w:keepNext w:val="0"/>
              <w:keepLines w:val="0"/>
              <w:pageBreakBefore w:val="0"/>
              <w:widowControl w:val="0"/>
              <w:numPr>
                <w:ilvl w:val="0"/>
                <w:numId w:val="3"/>
              </w:numPr>
              <w:kinsoku/>
              <w:wordWrap w:val="0"/>
              <w:overflowPunct/>
              <w:topLinePunct w:val="0"/>
              <w:autoSpaceDE w:val="0"/>
              <w:autoSpaceDN w:val="0"/>
              <w:bidi w:val="0"/>
              <w:snapToGrid w:val="0"/>
              <w:spacing w:line="360" w:lineRule="auto"/>
              <w:ind w:firstLine="482" w:firstLineChars="200"/>
              <w:jc w:val="left"/>
              <w:textAlignment w:val="auto"/>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声环境质量现状</w:t>
            </w:r>
          </w:p>
          <w:p w14:paraId="6E327767">
            <w:pPr>
              <w:pStyle w:val="27"/>
              <w:keepNext w:val="0"/>
              <w:keepLines w:val="0"/>
              <w:pageBreakBefore w:val="0"/>
              <w:widowControl w:val="0"/>
              <w:kinsoku/>
              <w:overflowPunct/>
              <w:topLinePunct w:val="0"/>
              <w:bidi w:val="0"/>
              <w:snapToGrid w:val="0"/>
              <w:spacing w:line="360" w:lineRule="auto"/>
              <w:ind w:firstLine="480" w:firstLineChars="200"/>
              <w:textAlignment w:val="auto"/>
              <w:rPr>
                <w:rFonts w:ascii="Times New Roman" w:cs="Times New Roman"/>
                <w:bCs/>
                <w:color w:val="auto"/>
                <w:highlight w:val="none"/>
              </w:rPr>
            </w:pPr>
            <w:r>
              <w:rPr>
                <w:rFonts w:ascii="Times New Roman" w:cs="Times New Roman"/>
                <w:bCs/>
                <w:color w:val="auto"/>
                <w:highlight w:val="none"/>
              </w:rPr>
              <w:t>本项目位于淮南市八公山区毕家岗街道新建社区，项目属于工业用地，2024年5月5日~5月6日，安徽福斯特智能科技有限公司委托安徽澳林检测技术有限公司对拟建项目50m内声环境保护目标的噪声进行检测。</w:t>
            </w:r>
          </w:p>
          <w:p w14:paraId="2DB2796F">
            <w:pPr>
              <w:pStyle w:val="27"/>
              <w:snapToGrid w:val="0"/>
              <w:spacing w:line="360" w:lineRule="auto"/>
              <w:ind w:firstLine="480" w:firstLineChars="200"/>
              <w:rPr>
                <w:rFonts w:ascii="Times New Roman" w:cs="Times New Roman"/>
                <w:bCs/>
                <w:color w:val="auto"/>
                <w:highlight w:val="none"/>
              </w:rPr>
            </w:pPr>
            <w:r>
              <w:rPr>
                <w:rFonts w:ascii="Times New Roman" w:cs="Times New Roman"/>
                <w:bCs/>
                <w:color w:val="auto"/>
                <w:highlight w:val="none"/>
              </w:rPr>
              <w:t>监测结果如下：</w:t>
            </w:r>
          </w:p>
          <w:p w14:paraId="50487B6B">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表3-</w:t>
            </w:r>
            <w:r>
              <w:rPr>
                <w:rFonts w:hint="eastAsia" w:ascii="Times New Roman" w:hAnsi="Times New Roman" w:eastAsia="黑体" w:cs="Times New Roman"/>
                <w:color w:val="auto"/>
                <w:sz w:val="24"/>
                <w:highlight w:val="none"/>
              </w:rPr>
              <w:t>4</w:t>
            </w:r>
            <w:r>
              <w:rPr>
                <w:rFonts w:ascii="Times New Roman" w:hAnsi="Times New Roman" w:eastAsia="黑体" w:cs="Times New Roman"/>
                <w:color w:val="auto"/>
                <w:sz w:val="24"/>
                <w:highlight w:val="none"/>
              </w:rPr>
              <w:t xml:space="preserve">  噪声监测结果统计表  单位：dB（A）</w:t>
            </w:r>
          </w:p>
          <w:tbl>
            <w:tblPr>
              <w:tblStyle w:val="18"/>
              <w:tblW w:w="4994" w:type="pct"/>
              <w:jc w:val="center"/>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1"/>
              <w:gridCol w:w="1577"/>
              <w:gridCol w:w="1517"/>
              <w:gridCol w:w="1549"/>
              <w:gridCol w:w="1511"/>
            </w:tblGrid>
            <w:tr w14:paraId="2B6491ED">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3" w:type="pct"/>
                  <w:vMerge w:val="restart"/>
                  <w:tcBorders>
                    <w:top w:val="single" w:color="auto" w:sz="8" w:space="0"/>
                    <w:right w:val="single" w:color="auto" w:sz="4" w:space="0"/>
                  </w:tcBorders>
                  <w:vAlign w:val="center"/>
                </w:tcPr>
                <w:p w14:paraId="24B8428C">
                  <w:pPr>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监测点位</w:t>
                  </w:r>
                </w:p>
              </w:tc>
              <w:tc>
                <w:tcPr>
                  <w:tcW w:w="1974" w:type="pct"/>
                  <w:gridSpan w:val="2"/>
                  <w:tcBorders>
                    <w:top w:val="single" w:color="auto" w:sz="8" w:space="0"/>
                    <w:left w:val="single" w:color="auto" w:sz="4" w:space="0"/>
                    <w:bottom w:val="single" w:color="auto" w:sz="4" w:space="0"/>
                    <w:right w:val="single" w:color="auto" w:sz="4" w:space="0"/>
                  </w:tcBorders>
                  <w:vAlign w:val="center"/>
                </w:tcPr>
                <w:p w14:paraId="6F9CF412">
                  <w:pPr>
                    <w:snapToGrid w:val="0"/>
                    <w:jc w:val="center"/>
                    <w:textAlignment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2024.05.05</w:t>
                  </w:r>
                </w:p>
              </w:tc>
              <w:tc>
                <w:tcPr>
                  <w:tcW w:w="1952" w:type="pct"/>
                  <w:gridSpan w:val="2"/>
                  <w:tcBorders>
                    <w:top w:val="single" w:color="auto" w:sz="8" w:space="0"/>
                    <w:left w:val="single" w:color="auto" w:sz="4" w:space="0"/>
                    <w:bottom w:val="single" w:color="auto" w:sz="4" w:space="0"/>
                    <w:right w:val="nil"/>
                  </w:tcBorders>
                  <w:vAlign w:val="center"/>
                </w:tcPr>
                <w:p w14:paraId="4E470884">
                  <w:pPr>
                    <w:snapToGrid w:val="0"/>
                    <w:jc w:val="center"/>
                    <w:textAlignment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2024.05.06</w:t>
                  </w:r>
                </w:p>
              </w:tc>
            </w:tr>
            <w:tr w14:paraId="4EBFC8BA">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3" w:type="pct"/>
                  <w:vMerge w:val="continue"/>
                  <w:tcBorders>
                    <w:right w:val="single" w:color="auto" w:sz="4" w:space="0"/>
                  </w:tcBorders>
                  <w:vAlign w:val="center"/>
                </w:tcPr>
                <w:p w14:paraId="70E848CA">
                  <w:pPr>
                    <w:widowControl/>
                    <w:snapToGrid w:val="0"/>
                    <w:jc w:val="center"/>
                    <w:rPr>
                      <w:rFonts w:ascii="Times New Roman" w:hAnsi="Times New Roman" w:eastAsia="宋体" w:cs="Times New Roman"/>
                      <w:b/>
                      <w:color w:val="auto"/>
                      <w:sz w:val="18"/>
                      <w:szCs w:val="18"/>
                      <w:highlight w:val="none"/>
                    </w:rPr>
                  </w:pPr>
                </w:p>
              </w:tc>
              <w:tc>
                <w:tcPr>
                  <w:tcW w:w="1006" w:type="pct"/>
                  <w:tcBorders>
                    <w:top w:val="single" w:color="auto" w:sz="4" w:space="0"/>
                    <w:left w:val="single" w:color="auto" w:sz="4" w:space="0"/>
                    <w:right w:val="single" w:color="auto" w:sz="4" w:space="0"/>
                  </w:tcBorders>
                  <w:vAlign w:val="center"/>
                </w:tcPr>
                <w:p w14:paraId="40E56FF6">
                  <w:pPr>
                    <w:snapToGrid w:val="0"/>
                    <w:jc w:val="center"/>
                    <w:textAlignment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昼间（10:00~10:30）</w:t>
                  </w:r>
                </w:p>
              </w:tc>
              <w:tc>
                <w:tcPr>
                  <w:tcW w:w="967" w:type="pct"/>
                  <w:tcBorders>
                    <w:top w:val="single" w:color="auto" w:sz="4" w:space="0"/>
                    <w:left w:val="single" w:color="auto" w:sz="4" w:space="0"/>
                    <w:right w:val="single" w:color="auto" w:sz="4" w:space="0"/>
                  </w:tcBorders>
                  <w:vAlign w:val="center"/>
                </w:tcPr>
                <w:p w14:paraId="1DE4891B">
                  <w:pPr>
                    <w:snapToGrid w:val="0"/>
                    <w:jc w:val="center"/>
                    <w:textAlignment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夜间（22:00~22:30）</w:t>
                  </w:r>
                </w:p>
              </w:tc>
              <w:tc>
                <w:tcPr>
                  <w:tcW w:w="988" w:type="pct"/>
                  <w:tcBorders>
                    <w:top w:val="single" w:color="auto" w:sz="4" w:space="0"/>
                    <w:left w:val="single" w:color="auto" w:sz="4" w:space="0"/>
                    <w:right w:val="single" w:color="auto" w:sz="4" w:space="0"/>
                  </w:tcBorders>
                  <w:vAlign w:val="center"/>
                </w:tcPr>
                <w:p w14:paraId="3DFFDE78">
                  <w:pPr>
                    <w:snapToGrid w:val="0"/>
                    <w:jc w:val="center"/>
                    <w:textAlignment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昼间（10:00~11:00）</w:t>
                  </w:r>
                </w:p>
              </w:tc>
              <w:tc>
                <w:tcPr>
                  <w:tcW w:w="964" w:type="pct"/>
                  <w:tcBorders>
                    <w:top w:val="single" w:color="auto" w:sz="4" w:space="0"/>
                    <w:left w:val="single" w:color="auto" w:sz="4" w:space="0"/>
                    <w:right w:val="nil"/>
                  </w:tcBorders>
                  <w:vAlign w:val="center"/>
                </w:tcPr>
                <w:p w14:paraId="22BFF319">
                  <w:pPr>
                    <w:snapToGrid w:val="0"/>
                    <w:jc w:val="center"/>
                    <w:textAlignment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夜间（22:00~22:30）</w:t>
                  </w:r>
                </w:p>
              </w:tc>
            </w:tr>
            <w:tr w14:paraId="2C35A902">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3" w:type="pct"/>
                  <w:tcBorders>
                    <w:top w:val="single" w:color="auto" w:sz="4" w:space="0"/>
                    <w:bottom w:val="single" w:color="auto" w:sz="4" w:space="0"/>
                    <w:right w:val="single" w:color="auto" w:sz="4" w:space="0"/>
                  </w:tcBorders>
                  <w:vAlign w:val="center"/>
                </w:tcPr>
                <w:p w14:paraId="20A72491">
                  <w:pPr>
                    <w:autoSpaceDE w:val="0"/>
                    <w:autoSpaceDN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新建村-b区居民点1</w:t>
                  </w:r>
                  <w:r>
                    <w:rPr>
                      <w:rFonts w:ascii="Times New Roman" w:hAnsi="Times New Roman" w:eastAsia="宋体" w:cs="Times New Roman"/>
                      <w:color w:val="auto"/>
                      <w:kern w:val="0"/>
                      <w:sz w:val="18"/>
                      <w:szCs w:val="18"/>
                      <w:highlight w:val="none"/>
                    </w:rPr>
                    <w:t xml:space="preserve"> N</w:t>
                  </w:r>
                  <w:r>
                    <w:rPr>
                      <w:rFonts w:ascii="Times New Roman" w:hAnsi="Times New Roman" w:eastAsia="宋体" w:cs="Times New Roman"/>
                      <w:color w:val="auto"/>
                      <w:kern w:val="0"/>
                      <w:sz w:val="18"/>
                      <w:szCs w:val="18"/>
                      <w:highlight w:val="none"/>
                      <w:vertAlign w:val="subscript"/>
                    </w:rPr>
                    <w:t>5</w:t>
                  </w:r>
                </w:p>
              </w:tc>
              <w:tc>
                <w:tcPr>
                  <w:tcW w:w="1006" w:type="pct"/>
                  <w:tcBorders>
                    <w:left w:val="single" w:color="auto" w:sz="4" w:space="0"/>
                    <w:right w:val="single" w:color="auto" w:sz="4" w:space="0"/>
                  </w:tcBorders>
                  <w:vAlign w:val="center"/>
                </w:tcPr>
                <w:p w14:paraId="2D30333C">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57</w:t>
                  </w:r>
                </w:p>
              </w:tc>
              <w:tc>
                <w:tcPr>
                  <w:tcW w:w="967" w:type="pct"/>
                  <w:tcBorders>
                    <w:left w:val="single" w:color="auto" w:sz="4" w:space="0"/>
                    <w:right w:val="single" w:color="auto" w:sz="4" w:space="0"/>
                  </w:tcBorders>
                  <w:vAlign w:val="center"/>
                </w:tcPr>
                <w:p w14:paraId="1485E3E4">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46</w:t>
                  </w:r>
                </w:p>
              </w:tc>
              <w:tc>
                <w:tcPr>
                  <w:tcW w:w="988" w:type="pct"/>
                  <w:tcBorders>
                    <w:left w:val="single" w:color="auto" w:sz="4" w:space="0"/>
                    <w:right w:val="single" w:color="auto" w:sz="4" w:space="0"/>
                  </w:tcBorders>
                  <w:vAlign w:val="center"/>
                </w:tcPr>
                <w:p w14:paraId="02EA6382">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57</w:t>
                  </w:r>
                </w:p>
              </w:tc>
              <w:tc>
                <w:tcPr>
                  <w:tcW w:w="964" w:type="pct"/>
                  <w:tcBorders>
                    <w:left w:val="single" w:color="auto" w:sz="4" w:space="0"/>
                    <w:right w:val="nil"/>
                  </w:tcBorders>
                  <w:vAlign w:val="center"/>
                </w:tcPr>
                <w:p w14:paraId="62D7A028">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45</w:t>
                  </w:r>
                </w:p>
              </w:tc>
            </w:tr>
            <w:tr w14:paraId="7E94FD27">
              <w:tblPrEx>
                <w:tblBorders>
                  <w:top w:val="single" w:color="auto" w:sz="4" w:space="0"/>
                  <w:left w:val="none" w:color="auto" w:sz="0"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3" w:type="pct"/>
                  <w:tcBorders>
                    <w:top w:val="single" w:color="auto" w:sz="4" w:space="0"/>
                    <w:bottom w:val="single" w:color="auto" w:sz="8" w:space="0"/>
                    <w:right w:val="single" w:color="auto" w:sz="4" w:space="0"/>
                  </w:tcBorders>
                  <w:vAlign w:val="center"/>
                </w:tcPr>
                <w:p w14:paraId="3C581C0F">
                  <w:pPr>
                    <w:autoSpaceDE w:val="0"/>
                    <w:autoSpaceDN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新建村-b区居民点2</w:t>
                  </w:r>
                  <w:r>
                    <w:rPr>
                      <w:rFonts w:ascii="Times New Roman" w:hAnsi="Times New Roman" w:eastAsia="宋体" w:cs="Times New Roman"/>
                      <w:color w:val="auto"/>
                      <w:kern w:val="0"/>
                      <w:sz w:val="18"/>
                      <w:szCs w:val="18"/>
                      <w:highlight w:val="none"/>
                    </w:rPr>
                    <w:t xml:space="preserve"> N</w:t>
                  </w:r>
                  <w:r>
                    <w:rPr>
                      <w:rFonts w:ascii="Times New Roman" w:hAnsi="Times New Roman" w:eastAsia="宋体" w:cs="Times New Roman"/>
                      <w:color w:val="auto"/>
                      <w:kern w:val="0"/>
                      <w:sz w:val="18"/>
                      <w:szCs w:val="18"/>
                      <w:highlight w:val="none"/>
                      <w:vertAlign w:val="subscript"/>
                    </w:rPr>
                    <w:t>6</w:t>
                  </w:r>
                </w:p>
              </w:tc>
              <w:tc>
                <w:tcPr>
                  <w:tcW w:w="1006" w:type="pct"/>
                  <w:tcBorders>
                    <w:left w:val="single" w:color="auto" w:sz="4" w:space="0"/>
                    <w:bottom w:val="single" w:color="auto" w:sz="8" w:space="0"/>
                    <w:right w:val="single" w:color="auto" w:sz="4" w:space="0"/>
                  </w:tcBorders>
                  <w:vAlign w:val="center"/>
                </w:tcPr>
                <w:p w14:paraId="72F50814">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54</w:t>
                  </w:r>
                </w:p>
              </w:tc>
              <w:tc>
                <w:tcPr>
                  <w:tcW w:w="967" w:type="pct"/>
                  <w:tcBorders>
                    <w:left w:val="single" w:color="auto" w:sz="4" w:space="0"/>
                    <w:bottom w:val="single" w:color="auto" w:sz="8" w:space="0"/>
                    <w:right w:val="single" w:color="auto" w:sz="4" w:space="0"/>
                  </w:tcBorders>
                  <w:vAlign w:val="center"/>
                </w:tcPr>
                <w:p w14:paraId="37EBF68D">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44</w:t>
                  </w:r>
                </w:p>
              </w:tc>
              <w:tc>
                <w:tcPr>
                  <w:tcW w:w="988" w:type="pct"/>
                  <w:tcBorders>
                    <w:left w:val="single" w:color="auto" w:sz="4" w:space="0"/>
                    <w:bottom w:val="single" w:color="auto" w:sz="8" w:space="0"/>
                    <w:right w:val="single" w:color="auto" w:sz="4" w:space="0"/>
                  </w:tcBorders>
                  <w:vAlign w:val="center"/>
                </w:tcPr>
                <w:p w14:paraId="3D3DEA92">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55</w:t>
                  </w:r>
                </w:p>
              </w:tc>
              <w:tc>
                <w:tcPr>
                  <w:tcW w:w="964" w:type="pct"/>
                  <w:tcBorders>
                    <w:left w:val="single" w:color="auto" w:sz="4" w:space="0"/>
                    <w:bottom w:val="single" w:color="auto" w:sz="8" w:space="0"/>
                    <w:right w:val="nil"/>
                  </w:tcBorders>
                  <w:vAlign w:val="center"/>
                </w:tcPr>
                <w:p w14:paraId="13E95A61">
                  <w:pPr>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44</w:t>
                  </w:r>
                </w:p>
              </w:tc>
            </w:tr>
          </w:tbl>
          <w:p w14:paraId="4AA51FDB">
            <w:pPr>
              <w:autoSpaceDE w:val="0"/>
              <w:autoSpaceDN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kern w:val="0"/>
                <w:sz w:val="24"/>
                <w:szCs w:val="24"/>
                <w:highlight w:val="none"/>
              </w:rPr>
              <w:t>根据上表可知，声环境保护目标的监测结果满足《</w:t>
            </w:r>
            <w:r>
              <w:rPr>
                <w:rFonts w:ascii="Times New Roman" w:hAnsi="Times New Roman" w:eastAsia="宋体" w:cs="Times New Roman"/>
                <w:color w:val="auto"/>
                <w:sz w:val="24"/>
                <w:szCs w:val="21"/>
                <w:highlight w:val="none"/>
              </w:rPr>
              <w:t>声环境质量标准》（GB3096-2008）中的2类标准。</w:t>
            </w:r>
          </w:p>
          <w:p w14:paraId="560D91D5">
            <w:pPr>
              <w:autoSpaceDE w:val="0"/>
              <w:autoSpaceDN w:val="0"/>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4、生态环境</w:t>
            </w:r>
          </w:p>
          <w:p w14:paraId="63695E8C">
            <w:pPr>
              <w:autoSpaceDE w:val="0"/>
              <w:autoSpaceDN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本项目位于淮南市八公山区毕家岗街道新建社区，项目属于工业用地，用地范围内不存在生态环境</w:t>
            </w:r>
            <w:r>
              <w:rPr>
                <w:rFonts w:hint="eastAsia" w:ascii="Times New Roman" w:hAnsi="Times New Roman" w:eastAsia="宋体" w:cs="Times New Roman"/>
                <w:bCs/>
                <w:color w:val="auto"/>
                <w:sz w:val="24"/>
                <w:highlight w:val="none"/>
              </w:rPr>
              <w:t>保护目标</w:t>
            </w:r>
            <w:r>
              <w:rPr>
                <w:rFonts w:ascii="Times New Roman" w:hAnsi="Times New Roman" w:eastAsia="宋体" w:cs="Times New Roman"/>
                <w:bCs/>
                <w:color w:val="auto"/>
                <w:sz w:val="24"/>
                <w:highlight w:val="none"/>
              </w:rPr>
              <w:t>，无需进行生态现状调查。</w:t>
            </w:r>
          </w:p>
          <w:p w14:paraId="4B525A2B">
            <w:pPr>
              <w:wordWrap w:val="0"/>
              <w:autoSpaceDE w:val="0"/>
              <w:autoSpaceDN w:val="0"/>
              <w:spacing w:line="360" w:lineRule="auto"/>
              <w:ind w:firstLine="482" w:firstLineChars="200"/>
              <w:jc w:val="left"/>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5、地下水、土壤环境质量现状</w:t>
            </w:r>
          </w:p>
          <w:p w14:paraId="04C9A01B">
            <w:pPr>
              <w:autoSpaceDE w:val="0"/>
              <w:autoSpaceDN w:val="0"/>
              <w:spacing w:line="360" w:lineRule="auto"/>
              <w:ind w:firstLine="480" w:firstLineChars="200"/>
              <w:rPr>
                <w:rFonts w:ascii="Times New Roman" w:hAnsi="Times New Roman" w:eastAsia="宋体" w:cs="Times New Roman"/>
                <w:bCs/>
                <w:color w:val="auto"/>
                <w:sz w:val="24"/>
                <w:highlight w:val="none"/>
              </w:rPr>
            </w:pPr>
            <w:r>
              <w:rPr>
                <w:rFonts w:ascii="Times New Roman" w:hAnsi="Times New Roman" w:eastAsia="宋体" w:cs="Times New Roman"/>
                <w:bCs/>
                <w:color w:val="auto"/>
                <w:sz w:val="24"/>
                <w:highlight w:val="none"/>
              </w:rPr>
              <w:t>根据《建设项目环境影响报告表编制技术指南（污染影响类）</w:t>
            </w:r>
            <w:r>
              <w:rPr>
                <w:rFonts w:hint="eastAsia" w:ascii="Times New Roman" w:hAnsi="Times New Roman" w:eastAsia="宋体" w:cs="Times New Roman"/>
                <w:bCs/>
                <w:color w:val="auto"/>
                <w:sz w:val="24"/>
                <w:highlight w:val="none"/>
                <w:lang w:eastAsia="zh-CN"/>
              </w:rPr>
              <w:t>（试行）》</w:t>
            </w:r>
            <w:r>
              <w:rPr>
                <w:rFonts w:ascii="Times New Roman" w:hAnsi="Times New Roman" w:eastAsia="宋体" w:cs="Times New Roman"/>
                <w:bCs/>
                <w:color w:val="auto"/>
                <w:sz w:val="24"/>
                <w:highlight w:val="none"/>
              </w:rPr>
              <w:t>，原则上对地下水和土壤不开展环境质量现状调查，本项目位于淮南市八公山区毕家岗街道新建社区，</w:t>
            </w:r>
            <w:r>
              <w:rPr>
                <w:rFonts w:ascii="Times New Roman" w:hAnsi="Times New Roman" w:eastAsia="宋体" w:cs="Times New Roman"/>
                <w:bCs/>
                <w:color w:val="auto"/>
                <w:sz w:val="24"/>
                <w:szCs w:val="28"/>
                <w:highlight w:val="none"/>
              </w:rPr>
              <w:t>重点防渗区采取全面防腐、防渗处理，一般防渗区采用防渗水泥进行硬化方式处理，基本上不存在地下水</w:t>
            </w:r>
            <w:r>
              <w:rPr>
                <w:rFonts w:hint="eastAsia" w:ascii="Times New Roman" w:hAnsi="Times New Roman" w:eastAsia="宋体" w:cs="Times New Roman"/>
                <w:bCs/>
                <w:color w:val="auto"/>
                <w:sz w:val="24"/>
                <w:szCs w:val="28"/>
                <w:highlight w:val="none"/>
                <w:lang w:eastAsia="zh-CN"/>
              </w:rPr>
              <w:t>和</w:t>
            </w:r>
            <w:r>
              <w:rPr>
                <w:rFonts w:ascii="Times New Roman" w:hAnsi="Times New Roman" w:eastAsia="宋体" w:cs="Times New Roman"/>
                <w:bCs/>
                <w:color w:val="auto"/>
                <w:sz w:val="24"/>
                <w:szCs w:val="28"/>
                <w:highlight w:val="none"/>
              </w:rPr>
              <w:t>土壤污染途径。</w:t>
            </w:r>
            <w:r>
              <w:rPr>
                <w:rFonts w:ascii="Times New Roman" w:hAnsi="Times New Roman" w:eastAsia="宋体" w:cs="Times New Roman"/>
                <w:bCs/>
                <w:color w:val="auto"/>
                <w:sz w:val="24"/>
                <w:highlight w:val="none"/>
              </w:rPr>
              <w:t>因此，本次不开展地下水</w:t>
            </w:r>
            <w:r>
              <w:rPr>
                <w:rFonts w:hint="eastAsia" w:ascii="Times New Roman" w:hAnsi="Times New Roman" w:eastAsia="宋体" w:cs="Times New Roman"/>
                <w:bCs/>
                <w:color w:val="auto"/>
                <w:sz w:val="24"/>
                <w:highlight w:val="none"/>
                <w:lang w:eastAsia="zh-CN"/>
              </w:rPr>
              <w:t>和</w:t>
            </w:r>
            <w:r>
              <w:rPr>
                <w:rFonts w:ascii="Times New Roman" w:hAnsi="Times New Roman" w:eastAsia="宋体" w:cs="Times New Roman"/>
                <w:bCs/>
                <w:color w:val="auto"/>
                <w:sz w:val="24"/>
                <w:highlight w:val="none"/>
              </w:rPr>
              <w:t>土壤环境现状监测。</w:t>
            </w:r>
          </w:p>
          <w:p w14:paraId="0AB33B4E">
            <w:pPr>
              <w:autoSpaceDE w:val="0"/>
              <w:autoSpaceDN w:val="0"/>
              <w:spacing w:line="360" w:lineRule="auto"/>
              <w:ind w:firstLine="480" w:firstLineChars="200"/>
              <w:rPr>
                <w:rFonts w:ascii="Times New Roman" w:hAnsi="Times New Roman" w:eastAsia="宋体" w:cs="Times New Roman"/>
                <w:bCs/>
                <w:color w:val="auto"/>
                <w:sz w:val="24"/>
                <w:highlight w:val="none"/>
              </w:rPr>
            </w:pPr>
          </w:p>
        </w:tc>
      </w:tr>
      <w:tr w14:paraId="431E9E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72" w:hRule="atLeast"/>
          <w:jc w:val="center"/>
        </w:trPr>
        <w:tc>
          <w:tcPr>
            <w:tcW w:w="457" w:type="dxa"/>
            <w:vAlign w:val="center"/>
          </w:tcPr>
          <w:p w14:paraId="15E7F91B">
            <w:pPr>
              <w:spacing w:line="240" w:lineRule="atLeast"/>
              <w:jc w:val="center"/>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环境保护目标</w:t>
            </w:r>
          </w:p>
        </w:tc>
        <w:tc>
          <w:tcPr>
            <w:tcW w:w="8065" w:type="dxa"/>
          </w:tcPr>
          <w:p w14:paraId="04293020">
            <w:pPr>
              <w:wordWrap w:val="0"/>
              <w:spacing w:line="360" w:lineRule="auto"/>
              <w:ind w:firstLine="482" w:firstLineChars="200"/>
              <w:jc w:val="left"/>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1、大气环境</w:t>
            </w:r>
          </w:p>
          <w:p w14:paraId="443A96FE">
            <w:pPr>
              <w:wordWrap w:val="0"/>
              <w:spacing w:line="360"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项目厂界500m范围内有居住区</w:t>
            </w:r>
            <w:r>
              <w:rPr>
                <w:rFonts w:hint="eastAsia" w:ascii="Times New Roman" w:hAnsi="Times New Roman" w:eastAsia="宋体" w:cs="Times New Roman"/>
                <w:color w:val="auto"/>
                <w:sz w:val="24"/>
                <w:szCs w:val="24"/>
                <w:highlight w:val="none"/>
              </w:rPr>
              <w:t>等大气环境保护目标</w:t>
            </w:r>
            <w:r>
              <w:rPr>
                <w:rFonts w:ascii="Times New Roman" w:hAnsi="Times New Roman" w:eastAsia="宋体" w:cs="Times New Roman"/>
                <w:color w:val="auto"/>
                <w:sz w:val="24"/>
                <w:szCs w:val="24"/>
                <w:highlight w:val="none"/>
              </w:rPr>
              <w:t>，具体信息见下表。</w:t>
            </w:r>
          </w:p>
          <w:p w14:paraId="1E3994C6">
            <w:pPr>
              <w:wordWrap w:val="0"/>
              <w:spacing w:line="360" w:lineRule="auto"/>
              <w:ind w:firstLine="482" w:firstLineChars="200"/>
              <w:jc w:val="left"/>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2、声环境</w:t>
            </w:r>
          </w:p>
          <w:p w14:paraId="3B0604D0">
            <w:pPr>
              <w:wordWrap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ascii="Times New Roman" w:hAnsi="Times New Roman" w:eastAsia="宋体" w:cs="Times New Roman"/>
                <w:color w:val="auto"/>
                <w:sz w:val="24"/>
                <w:szCs w:val="21"/>
                <w:highlight w:val="none"/>
              </w:rPr>
              <w:t>本项目厂界外50米范围内有1个声环境保护目标，执行《声环境质量标准》（GB3096-2008）中的2类标准</w:t>
            </w:r>
            <w:r>
              <w:rPr>
                <w:rFonts w:hint="eastAsia" w:ascii="Times New Roman" w:hAnsi="Times New Roman" w:eastAsia="宋体" w:cs="Times New Roman"/>
                <w:color w:val="auto"/>
                <w:sz w:val="24"/>
                <w:szCs w:val="21"/>
                <w:highlight w:val="none"/>
                <w:lang w:eastAsia="zh-CN"/>
              </w:rPr>
              <w:t>，</w:t>
            </w:r>
            <w:r>
              <w:rPr>
                <w:rFonts w:hint="eastAsia" w:ascii="Times New Roman" w:hAnsi="Times New Roman" w:eastAsia="宋体" w:cs="Times New Roman"/>
                <w:color w:val="auto"/>
                <w:sz w:val="24"/>
                <w:szCs w:val="21"/>
                <w:highlight w:val="none"/>
                <w:lang w:val="en-US" w:eastAsia="zh-CN"/>
              </w:rPr>
              <w:t>具体信息见下表。</w:t>
            </w:r>
          </w:p>
          <w:p w14:paraId="4DED86CB">
            <w:pPr>
              <w:wordWrap w:val="0"/>
              <w:spacing w:line="360" w:lineRule="auto"/>
              <w:ind w:firstLine="482" w:firstLineChars="200"/>
              <w:jc w:val="left"/>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3、地下水环境</w:t>
            </w:r>
          </w:p>
          <w:p w14:paraId="295F7890">
            <w:pPr>
              <w:wordWrap w:val="0"/>
              <w:spacing w:line="360"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厂界外500米范围内无地下水集中式饮用水水源和热水、矿泉水、温泉等特殊地下水资源，无地下水环境保护目标。</w:t>
            </w:r>
          </w:p>
          <w:p w14:paraId="208812AF">
            <w:pPr>
              <w:spacing w:line="360" w:lineRule="auto"/>
              <w:ind w:firstLine="482" w:firstLineChars="200"/>
              <w:rPr>
                <w:rFonts w:ascii="Times New Roman" w:hAnsi="Times New Roman" w:eastAsia="宋体" w:cs="Times New Roman"/>
                <w:b/>
                <w:snapToGrid w:val="0"/>
                <w:color w:val="auto"/>
                <w:sz w:val="24"/>
                <w:highlight w:val="none"/>
              </w:rPr>
            </w:pPr>
            <w:r>
              <w:rPr>
                <w:rFonts w:ascii="Times New Roman" w:hAnsi="Times New Roman" w:eastAsia="宋体" w:cs="Times New Roman"/>
                <w:b/>
                <w:snapToGrid w:val="0"/>
                <w:color w:val="auto"/>
                <w:sz w:val="24"/>
                <w:highlight w:val="none"/>
              </w:rPr>
              <w:t>4、生态环境</w:t>
            </w:r>
          </w:p>
          <w:p w14:paraId="7C57D0F8">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本项目位于淮南市八公山区毕家岗街道新建社区，利用已有的工业用地，本项目用地范围内无生态环境保护目标。</w:t>
            </w:r>
          </w:p>
          <w:p w14:paraId="715CC6BF">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表3-</w:t>
            </w:r>
            <w:r>
              <w:rPr>
                <w:rFonts w:hint="eastAsia" w:ascii="Times New Roman" w:hAnsi="Times New Roman" w:eastAsia="黑体" w:cs="Times New Roman"/>
                <w:color w:val="auto"/>
                <w:sz w:val="24"/>
                <w:highlight w:val="none"/>
              </w:rPr>
              <w:t>5</w:t>
            </w:r>
            <w:r>
              <w:rPr>
                <w:rFonts w:ascii="Times New Roman" w:hAnsi="Times New Roman" w:eastAsia="黑体" w:cs="Times New Roman"/>
                <w:color w:val="auto"/>
                <w:sz w:val="24"/>
                <w:highlight w:val="none"/>
              </w:rPr>
              <w:t xml:space="preserve">  主要环境保护目标一览表</w:t>
            </w:r>
          </w:p>
          <w:tbl>
            <w:tblPr>
              <w:tblStyle w:val="18"/>
              <w:tblW w:w="7849"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23"/>
              <w:gridCol w:w="1403"/>
              <w:gridCol w:w="9"/>
              <w:gridCol w:w="387"/>
              <w:gridCol w:w="485"/>
              <w:gridCol w:w="561"/>
              <w:gridCol w:w="710"/>
              <w:gridCol w:w="2129"/>
              <w:gridCol w:w="885"/>
              <w:gridCol w:w="757"/>
            </w:tblGrid>
            <w:tr w14:paraId="0D5B56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tcBorders>
                    <w:tl2br w:val="nil"/>
                    <w:tr2bl w:val="nil"/>
                  </w:tcBorders>
                  <w:vAlign w:val="center"/>
                </w:tcPr>
                <w:p w14:paraId="5A9CFFD5">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环境</w:t>
                  </w:r>
                </w:p>
                <w:p w14:paraId="6BE9BBCD">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要素</w:t>
                  </w:r>
                </w:p>
              </w:tc>
              <w:tc>
                <w:tcPr>
                  <w:tcW w:w="1403" w:type="dxa"/>
                  <w:tcBorders>
                    <w:tl2br w:val="nil"/>
                    <w:tr2bl w:val="nil"/>
                  </w:tcBorders>
                  <w:vAlign w:val="center"/>
                </w:tcPr>
                <w:p w14:paraId="6667B4F8">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保护目标</w:t>
                  </w:r>
                </w:p>
              </w:tc>
              <w:tc>
                <w:tcPr>
                  <w:tcW w:w="881" w:type="dxa"/>
                  <w:gridSpan w:val="3"/>
                  <w:tcBorders>
                    <w:tl2br w:val="nil"/>
                    <w:tr2bl w:val="nil"/>
                  </w:tcBorders>
                  <w:vAlign w:val="center"/>
                </w:tcPr>
                <w:p w14:paraId="7D8593EF">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坐标/m</w:t>
                  </w:r>
                </w:p>
                <w:p w14:paraId="4BE41B7E">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（X，Y）</w:t>
                  </w:r>
                </w:p>
              </w:tc>
              <w:tc>
                <w:tcPr>
                  <w:tcW w:w="561" w:type="dxa"/>
                  <w:tcBorders>
                    <w:tl2br w:val="nil"/>
                    <w:tr2bl w:val="nil"/>
                  </w:tcBorders>
                  <w:vAlign w:val="center"/>
                </w:tcPr>
                <w:p w14:paraId="516E739C">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保护对象</w:t>
                  </w:r>
                </w:p>
              </w:tc>
              <w:tc>
                <w:tcPr>
                  <w:tcW w:w="710" w:type="dxa"/>
                  <w:tcBorders>
                    <w:tl2br w:val="nil"/>
                    <w:tr2bl w:val="nil"/>
                  </w:tcBorders>
                  <w:vAlign w:val="center"/>
                </w:tcPr>
                <w:p w14:paraId="4EE10775">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保护内容</w:t>
                  </w:r>
                </w:p>
              </w:tc>
              <w:tc>
                <w:tcPr>
                  <w:tcW w:w="2129" w:type="dxa"/>
                  <w:tcBorders>
                    <w:tl2br w:val="nil"/>
                    <w:tr2bl w:val="nil"/>
                  </w:tcBorders>
                  <w:vAlign w:val="center"/>
                </w:tcPr>
                <w:p w14:paraId="5B008403">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保护级别</w:t>
                  </w:r>
                </w:p>
              </w:tc>
              <w:tc>
                <w:tcPr>
                  <w:tcW w:w="885" w:type="dxa"/>
                  <w:tcBorders>
                    <w:tl2br w:val="nil"/>
                    <w:tr2bl w:val="nil"/>
                  </w:tcBorders>
                  <w:vAlign w:val="center"/>
                </w:tcPr>
                <w:p w14:paraId="64CEFFEB">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相对厂址方位</w:t>
                  </w:r>
                </w:p>
              </w:tc>
              <w:tc>
                <w:tcPr>
                  <w:tcW w:w="757" w:type="dxa"/>
                  <w:tcBorders>
                    <w:tl2br w:val="nil"/>
                    <w:tr2bl w:val="nil"/>
                  </w:tcBorders>
                  <w:vAlign w:val="center"/>
                </w:tcPr>
                <w:p w14:paraId="081DD956">
                  <w:pPr>
                    <w:adjustRightInd w:val="0"/>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相对厂界距离/m</w:t>
                  </w:r>
                </w:p>
              </w:tc>
            </w:tr>
            <w:tr w14:paraId="75D993F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vMerge w:val="restart"/>
                  <w:tcBorders>
                    <w:tl2br w:val="nil"/>
                    <w:tr2bl w:val="nil"/>
                  </w:tcBorders>
                  <w:vAlign w:val="center"/>
                </w:tcPr>
                <w:p w14:paraId="46492C86">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大气</w:t>
                  </w:r>
                </w:p>
                <w:p w14:paraId="614E679D">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环境</w:t>
                  </w:r>
                </w:p>
              </w:tc>
              <w:tc>
                <w:tcPr>
                  <w:tcW w:w="1403" w:type="dxa"/>
                  <w:tcBorders>
                    <w:tl2br w:val="nil"/>
                    <w:tr2bl w:val="nil"/>
                  </w:tcBorders>
                  <w:vAlign w:val="center"/>
                </w:tcPr>
                <w:p w14:paraId="11F7D878">
                  <w:pPr>
                    <w:adjustRightInd w:val="0"/>
                    <w:jc w:val="center"/>
                    <w:textAlignment w:val="baseline"/>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新建村-b区</w:t>
                  </w:r>
                </w:p>
              </w:tc>
              <w:tc>
                <w:tcPr>
                  <w:tcW w:w="396" w:type="dxa"/>
                  <w:gridSpan w:val="2"/>
                  <w:tcBorders>
                    <w:tl2br w:val="nil"/>
                    <w:tr2bl w:val="nil"/>
                  </w:tcBorders>
                  <w:vAlign w:val="center"/>
                </w:tcPr>
                <w:p w14:paraId="21A37D24">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-32</w:t>
                  </w:r>
                </w:p>
              </w:tc>
              <w:tc>
                <w:tcPr>
                  <w:tcW w:w="485" w:type="dxa"/>
                  <w:tcBorders>
                    <w:tl2br w:val="nil"/>
                    <w:tr2bl w:val="nil"/>
                  </w:tcBorders>
                  <w:vAlign w:val="center"/>
                </w:tcPr>
                <w:p w14:paraId="039913A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14</w:t>
                  </w:r>
                </w:p>
              </w:tc>
              <w:tc>
                <w:tcPr>
                  <w:tcW w:w="561" w:type="dxa"/>
                  <w:tcBorders>
                    <w:tl2br w:val="nil"/>
                    <w:tr2bl w:val="nil"/>
                  </w:tcBorders>
                  <w:vAlign w:val="center"/>
                </w:tcPr>
                <w:p w14:paraId="229A32A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居民</w:t>
                  </w:r>
                </w:p>
              </w:tc>
              <w:tc>
                <w:tcPr>
                  <w:tcW w:w="710" w:type="dxa"/>
                  <w:tcBorders>
                    <w:tl2br w:val="nil"/>
                    <w:tr2bl w:val="nil"/>
                  </w:tcBorders>
                  <w:vAlign w:val="center"/>
                </w:tcPr>
                <w:p w14:paraId="4D773CB4">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约525人</w:t>
                  </w:r>
                </w:p>
              </w:tc>
              <w:tc>
                <w:tcPr>
                  <w:tcW w:w="2129" w:type="dxa"/>
                  <w:vMerge w:val="restart"/>
                  <w:tcBorders>
                    <w:tl2br w:val="nil"/>
                    <w:tr2bl w:val="nil"/>
                  </w:tcBorders>
                  <w:vAlign w:val="center"/>
                </w:tcPr>
                <w:p w14:paraId="1C4A5980">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《环境空气质量标准》（GB3095-2026）过渡阶段浓度限值</w:t>
                  </w:r>
                </w:p>
              </w:tc>
              <w:tc>
                <w:tcPr>
                  <w:tcW w:w="885" w:type="dxa"/>
                  <w:tcBorders>
                    <w:tl2br w:val="nil"/>
                    <w:tr2bl w:val="nil"/>
                  </w:tcBorders>
                  <w:vAlign w:val="center"/>
                </w:tcPr>
                <w:p w14:paraId="492B0CCF">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w:t>
                  </w:r>
                </w:p>
              </w:tc>
              <w:tc>
                <w:tcPr>
                  <w:tcW w:w="757" w:type="dxa"/>
                  <w:tcBorders>
                    <w:tl2br w:val="nil"/>
                    <w:tr2bl w:val="nil"/>
                  </w:tcBorders>
                  <w:vAlign w:val="center"/>
                </w:tcPr>
                <w:p w14:paraId="2CB1056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37</w:t>
                  </w:r>
                </w:p>
              </w:tc>
            </w:tr>
            <w:tr w14:paraId="45B5B8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567" w:hRule="atLeast"/>
                <w:jc w:val="center"/>
              </w:trPr>
              <w:tc>
                <w:tcPr>
                  <w:tcW w:w="523" w:type="dxa"/>
                  <w:vMerge w:val="continue"/>
                  <w:tcBorders>
                    <w:tl2br w:val="nil"/>
                    <w:tr2bl w:val="nil"/>
                  </w:tcBorders>
                  <w:vAlign w:val="center"/>
                </w:tcPr>
                <w:p w14:paraId="7B649841">
                  <w:pPr>
                    <w:snapToGrid w:val="0"/>
                    <w:spacing w:line="276" w:lineRule="auto"/>
                    <w:jc w:val="center"/>
                    <w:rPr>
                      <w:rFonts w:ascii="Times New Roman" w:hAnsi="Times New Roman" w:eastAsia="宋体" w:cs="Times New Roman"/>
                      <w:color w:val="auto"/>
                      <w:sz w:val="18"/>
                      <w:szCs w:val="18"/>
                      <w:highlight w:val="none"/>
                    </w:rPr>
                  </w:pPr>
                </w:p>
              </w:tc>
              <w:tc>
                <w:tcPr>
                  <w:tcW w:w="1403" w:type="dxa"/>
                  <w:tcBorders>
                    <w:tl2br w:val="nil"/>
                    <w:tr2bl w:val="nil"/>
                  </w:tcBorders>
                  <w:vAlign w:val="center"/>
                </w:tcPr>
                <w:p w14:paraId="113F2DCF">
                  <w:pPr>
                    <w:adjustRightInd w:val="0"/>
                    <w:jc w:val="center"/>
                    <w:textAlignment w:val="baseline"/>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新建村-a区</w:t>
                  </w:r>
                </w:p>
              </w:tc>
              <w:tc>
                <w:tcPr>
                  <w:tcW w:w="396" w:type="dxa"/>
                  <w:gridSpan w:val="2"/>
                  <w:tcBorders>
                    <w:tl2br w:val="nil"/>
                    <w:tr2bl w:val="nil"/>
                  </w:tcBorders>
                  <w:vAlign w:val="center"/>
                </w:tcPr>
                <w:p w14:paraId="01CB17F6">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w:t>
                  </w:r>
                </w:p>
              </w:tc>
              <w:tc>
                <w:tcPr>
                  <w:tcW w:w="485" w:type="dxa"/>
                  <w:tcBorders>
                    <w:tl2br w:val="nil"/>
                    <w:tr2bl w:val="nil"/>
                  </w:tcBorders>
                  <w:vAlign w:val="center"/>
                </w:tcPr>
                <w:p w14:paraId="5165D27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-231</w:t>
                  </w:r>
                </w:p>
              </w:tc>
              <w:tc>
                <w:tcPr>
                  <w:tcW w:w="561" w:type="dxa"/>
                  <w:tcBorders>
                    <w:tl2br w:val="nil"/>
                    <w:tr2bl w:val="nil"/>
                  </w:tcBorders>
                  <w:vAlign w:val="center"/>
                </w:tcPr>
                <w:p w14:paraId="444AA46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居民</w:t>
                  </w:r>
                </w:p>
              </w:tc>
              <w:tc>
                <w:tcPr>
                  <w:tcW w:w="710" w:type="dxa"/>
                  <w:tcBorders>
                    <w:tl2br w:val="nil"/>
                    <w:tr2bl w:val="nil"/>
                  </w:tcBorders>
                  <w:vAlign w:val="center"/>
                </w:tcPr>
                <w:p w14:paraId="35CF48E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约350人</w:t>
                  </w:r>
                </w:p>
              </w:tc>
              <w:tc>
                <w:tcPr>
                  <w:tcW w:w="2129" w:type="dxa"/>
                  <w:vMerge w:val="continue"/>
                  <w:tcBorders>
                    <w:tl2br w:val="nil"/>
                    <w:tr2bl w:val="nil"/>
                  </w:tcBorders>
                  <w:vAlign w:val="center"/>
                </w:tcPr>
                <w:p w14:paraId="01ACFD9B">
                  <w:pPr>
                    <w:snapToGrid w:val="0"/>
                    <w:spacing w:line="276" w:lineRule="auto"/>
                    <w:jc w:val="center"/>
                    <w:rPr>
                      <w:rFonts w:ascii="Times New Roman" w:hAnsi="Times New Roman" w:eastAsia="宋体" w:cs="Times New Roman"/>
                      <w:color w:val="auto"/>
                      <w:sz w:val="18"/>
                      <w:szCs w:val="18"/>
                      <w:highlight w:val="none"/>
                    </w:rPr>
                  </w:pPr>
                </w:p>
              </w:tc>
              <w:tc>
                <w:tcPr>
                  <w:tcW w:w="885" w:type="dxa"/>
                  <w:tcBorders>
                    <w:tl2br w:val="nil"/>
                    <w:tr2bl w:val="nil"/>
                  </w:tcBorders>
                  <w:vAlign w:val="center"/>
                </w:tcPr>
                <w:p w14:paraId="551BF3A0">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S</w:t>
                  </w:r>
                </w:p>
              </w:tc>
              <w:tc>
                <w:tcPr>
                  <w:tcW w:w="757" w:type="dxa"/>
                  <w:tcBorders>
                    <w:tl2br w:val="nil"/>
                    <w:tr2bl w:val="nil"/>
                  </w:tcBorders>
                  <w:vAlign w:val="center"/>
                </w:tcPr>
                <w:p w14:paraId="48604E5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231</w:t>
                  </w:r>
                </w:p>
              </w:tc>
            </w:tr>
            <w:tr w14:paraId="53C0A1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vMerge w:val="continue"/>
                  <w:tcBorders>
                    <w:tl2br w:val="nil"/>
                    <w:tr2bl w:val="nil"/>
                  </w:tcBorders>
                  <w:vAlign w:val="center"/>
                </w:tcPr>
                <w:p w14:paraId="088187A3">
                  <w:pPr>
                    <w:snapToGrid w:val="0"/>
                    <w:spacing w:line="276" w:lineRule="auto"/>
                    <w:jc w:val="center"/>
                    <w:rPr>
                      <w:rFonts w:ascii="Times New Roman" w:hAnsi="Times New Roman" w:eastAsia="宋体" w:cs="Times New Roman"/>
                      <w:color w:val="auto"/>
                      <w:sz w:val="18"/>
                      <w:szCs w:val="18"/>
                      <w:highlight w:val="none"/>
                    </w:rPr>
                  </w:pPr>
                </w:p>
              </w:tc>
              <w:tc>
                <w:tcPr>
                  <w:tcW w:w="1403" w:type="dxa"/>
                  <w:tcBorders>
                    <w:tl2br w:val="nil"/>
                    <w:tr2bl w:val="nil"/>
                  </w:tcBorders>
                  <w:vAlign w:val="center"/>
                </w:tcPr>
                <w:p w14:paraId="38C97C66">
                  <w:pPr>
                    <w:adjustRightInd w:val="0"/>
                    <w:jc w:val="center"/>
                    <w:textAlignment w:val="baseline"/>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毕岗村</w:t>
                  </w:r>
                </w:p>
              </w:tc>
              <w:tc>
                <w:tcPr>
                  <w:tcW w:w="396" w:type="dxa"/>
                  <w:gridSpan w:val="2"/>
                  <w:tcBorders>
                    <w:tl2br w:val="nil"/>
                    <w:tr2bl w:val="nil"/>
                  </w:tcBorders>
                  <w:vAlign w:val="center"/>
                </w:tcPr>
                <w:p w14:paraId="549CEC7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-345</w:t>
                  </w:r>
                </w:p>
              </w:tc>
              <w:tc>
                <w:tcPr>
                  <w:tcW w:w="485" w:type="dxa"/>
                  <w:tcBorders>
                    <w:tl2br w:val="nil"/>
                    <w:tr2bl w:val="nil"/>
                  </w:tcBorders>
                  <w:vAlign w:val="center"/>
                </w:tcPr>
                <w:p w14:paraId="66432105">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w:t>
                  </w:r>
                </w:p>
              </w:tc>
              <w:tc>
                <w:tcPr>
                  <w:tcW w:w="561" w:type="dxa"/>
                  <w:tcBorders>
                    <w:tl2br w:val="nil"/>
                    <w:tr2bl w:val="nil"/>
                  </w:tcBorders>
                  <w:vAlign w:val="center"/>
                </w:tcPr>
                <w:p w14:paraId="264B22CF">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居民</w:t>
                  </w:r>
                </w:p>
              </w:tc>
              <w:tc>
                <w:tcPr>
                  <w:tcW w:w="710" w:type="dxa"/>
                  <w:tcBorders>
                    <w:tl2br w:val="nil"/>
                    <w:tr2bl w:val="nil"/>
                  </w:tcBorders>
                  <w:vAlign w:val="center"/>
                </w:tcPr>
                <w:p w14:paraId="13B04D3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约150人</w:t>
                  </w:r>
                </w:p>
              </w:tc>
              <w:tc>
                <w:tcPr>
                  <w:tcW w:w="2129" w:type="dxa"/>
                  <w:vMerge w:val="continue"/>
                  <w:tcBorders>
                    <w:tl2br w:val="nil"/>
                    <w:tr2bl w:val="nil"/>
                  </w:tcBorders>
                  <w:vAlign w:val="center"/>
                </w:tcPr>
                <w:p w14:paraId="6A36C0E4">
                  <w:pPr>
                    <w:snapToGrid w:val="0"/>
                    <w:spacing w:line="276" w:lineRule="auto"/>
                    <w:jc w:val="center"/>
                    <w:rPr>
                      <w:rFonts w:ascii="Times New Roman" w:hAnsi="Times New Roman" w:eastAsia="宋体" w:cs="Times New Roman"/>
                      <w:color w:val="auto"/>
                      <w:sz w:val="18"/>
                      <w:szCs w:val="18"/>
                      <w:highlight w:val="none"/>
                    </w:rPr>
                  </w:pPr>
                </w:p>
              </w:tc>
              <w:tc>
                <w:tcPr>
                  <w:tcW w:w="885" w:type="dxa"/>
                  <w:tcBorders>
                    <w:tl2br w:val="nil"/>
                    <w:tr2bl w:val="nil"/>
                  </w:tcBorders>
                  <w:vAlign w:val="center"/>
                </w:tcPr>
                <w:p w14:paraId="0938EC0F">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w:t>
                  </w:r>
                </w:p>
              </w:tc>
              <w:tc>
                <w:tcPr>
                  <w:tcW w:w="757" w:type="dxa"/>
                  <w:tcBorders>
                    <w:tl2br w:val="nil"/>
                    <w:tr2bl w:val="nil"/>
                  </w:tcBorders>
                  <w:vAlign w:val="center"/>
                </w:tcPr>
                <w:p w14:paraId="0AF0DB9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323</w:t>
                  </w:r>
                </w:p>
              </w:tc>
            </w:tr>
            <w:tr w14:paraId="689DC3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vMerge w:val="continue"/>
                  <w:tcBorders>
                    <w:tl2br w:val="nil"/>
                    <w:tr2bl w:val="nil"/>
                  </w:tcBorders>
                  <w:vAlign w:val="center"/>
                </w:tcPr>
                <w:p w14:paraId="5AEFE7F0">
                  <w:pPr>
                    <w:snapToGrid w:val="0"/>
                    <w:spacing w:line="276" w:lineRule="auto"/>
                    <w:jc w:val="center"/>
                    <w:rPr>
                      <w:rFonts w:ascii="Times New Roman" w:hAnsi="Times New Roman" w:eastAsia="宋体" w:cs="Times New Roman"/>
                      <w:color w:val="auto"/>
                      <w:sz w:val="18"/>
                      <w:szCs w:val="18"/>
                      <w:highlight w:val="none"/>
                    </w:rPr>
                  </w:pPr>
                </w:p>
              </w:tc>
              <w:tc>
                <w:tcPr>
                  <w:tcW w:w="1403" w:type="dxa"/>
                  <w:tcBorders>
                    <w:tl2br w:val="nil"/>
                    <w:tr2bl w:val="nil"/>
                  </w:tcBorders>
                  <w:vAlign w:val="center"/>
                </w:tcPr>
                <w:p w14:paraId="0A814351">
                  <w:pPr>
                    <w:adjustRightInd w:val="0"/>
                    <w:jc w:val="center"/>
                    <w:textAlignment w:val="baseline"/>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淮滨村</w:t>
                  </w:r>
                </w:p>
              </w:tc>
              <w:tc>
                <w:tcPr>
                  <w:tcW w:w="396" w:type="dxa"/>
                  <w:gridSpan w:val="2"/>
                  <w:tcBorders>
                    <w:tl2br w:val="nil"/>
                    <w:tr2bl w:val="nil"/>
                  </w:tcBorders>
                  <w:vAlign w:val="center"/>
                </w:tcPr>
                <w:p w14:paraId="0B7BB090">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-440</w:t>
                  </w:r>
                </w:p>
              </w:tc>
              <w:tc>
                <w:tcPr>
                  <w:tcW w:w="485" w:type="dxa"/>
                  <w:tcBorders>
                    <w:tl2br w:val="nil"/>
                    <w:tr2bl w:val="nil"/>
                  </w:tcBorders>
                  <w:vAlign w:val="center"/>
                </w:tcPr>
                <w:p w14:paraId="73DB9397">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-138</w:t>
                  </w:r>
                </w:p>
              </w:tc>
              <w:tc>
                <w:tcPr>
                  <w:tcW w:w="561" w:type="dxa"/>
                  <w:tcBorders>
                    <w:tl2br w:val="nil"/>
                    <w:tr2bl w:val="nil"/>
                  </w:tcBorders>
                  <w:vAlign w:val="center"/>
                </w:tcPr>
                <w:p w14:paraId="768E7F2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居民</w:t>
                  </w:r>
                </w:p>
              </w:tc>
              <w:tc>
                <w:tcPr>
                  <w:tcW w:w="710" w:type="dxa"/>
                  <w:tcBorders>
                    <w:tl2br w:val="nil"/>
                    <w:tr2bl w:val="nil"/>
                  </w:tcBorders>
                  <w:vAlign w:val="center"/>
                </w:tcPr>
                <w:p w14:paraId="6B87923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约350人</w:t>
                  </w:r>
                </w:p>
              </w:tc>
              <w:tc>
                <w:tcPr>
                  <w:tcW w:w="2129" w:type="dxa"/>
                  <w:vMerge w:val="continue"/>
                  <w:tcBorders>
                    <w:tl2br w:val="nil"/>
                    <w:tr2bl w:val="nil"/>
                  </w:tcBorders>
                  <w:vAlign w:val="center"/>
                </w:tcPr>
                <w:p w14:paraId="704FA13B">
                  <w:pPr>
                    <w:snapToGrid w:val="0"/>
                    <w:spacing w:line="276" w:lineRule="auto"/>
                    <w:jc w:val="center"/>
                    <w:rPr>
                      <w:rFonts w:ascii="Times New Roman" w:hAnsi="Times New Roman" w:eastAsia="宋体" w:cs="Times New Roman"/>
                      <w:color w:val="auto"/>
                      <w:sz w:val="18"/>
                      <w:szCs w:val="18"/>
                      <w:highlight w:val="none"/>
                    </w:rPr>
                  </w:pPr>
                </w:p>
              </w:tc>
              <w:tc>
                <w:tcPr>
                  <w:tcW w:w="885" w:type="dxa"/>
                  <w:tcBorders>
                    <w:tl2br w:val="nil"/>
                    <w:tr2bl w:val="nil"/>
                  </w:tcBorders>
                  <w:vAlign w:val="center"/>
                </w:tcPr>
                <w:p w14:paraId="6EEC7C6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NW</w:t>
                  </w:r>
                </w:p>
              </w:tc>
              <w:tc>
                <w:tcPr>
                  <w:tcW w:w="757" w:type="dxa"/>
                  <w:tcBorders>
                    <w:tl2br w:val="nil"/>
                    <w:tr2bl w:val="nil"/>
                  </w:tcBorders>
                  <w:vAlign w:val="center"/>
                </w:tcPr>
                <w:p w14:paraId="39004CEB">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478</w:t>
                  </w:r>
                </w:p>
              </w:tc>
            </w:tr>
            <w:tr w14:paraId="770A77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tcBorders>
                    <w:tl2br w:val="nil"/>
                    <w:tr2bl w:val="nil"/>
                  </w:tcBorders>
                  <w:vAlign w:val="center"/>
                </w:tcPr>
                <w:p w14:paraId="186CE5C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地下水环境</w:t>
                  </w:r>
                </w:p>
              </w:tc>
              <w:tc>
                <w:tcPr>
                  <w:tcW w:w="7326" w:type="dxa"/>
                  <w:gridSpan w:val="9"/>
                  <w:tcBorders>
                    <w:tl2br w:val="nil"/>
                    <w:tr2bl w:val="nil"/>
                  </w:tcBorders>
                  <w:vAlign w:val="center"/>
                </w:tcPr>
                <w:p w14:paraId="1BAA84BF">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本项目位于淮南市八公山区毕家岗街道新建社区，项目所在区域均采用自来水作为饮用水源，项目厂界外500m范围内无地下水集中式饮用水水源、矿泉水、温泉等特殊地下水资源</w:t>
                  </w:r>
                </w:p>
              </w:tc>
            </w:tr>
            <w:tr w14:paraId="43AB02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tcBorders>
                    <w:tl2br w:val="nil"/>
                    <w:tr2bl w:val="nil"/>
                  </w:tcBorders>
                  <w:vAlign w:val="center"/>
                </w:tcPr>
                <w:p w14:paraId="4D74750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声环境</w:t>
                  </w:r>
                </w:p>
              </w:tc>
              <w:tc>
                <w:tcPr>
                  <w:tcW w:w="1412" w:type="dxa"/>
                  <w:gridSpan w:val="2"/>
                  <w:tcBorders>
                    <w:right w:val="single" w:color="auto" w:sz="4" w:space="0"/>
                  </w:tcBorders>
                  <w:vAlign w:val="center"/>
                </w:tcPr>
                <w:p w14:paraId="7C0B6D7C">
                  <w:pPr>
                    <w:adjustRightInd w:val="0"/>
                    <w:jc w:val="center"/>
                    <w:textAlignment w:val="baseline"/>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新建村-b区</w:t>
                  </w:r>
                </w:p>
              </w:tc>
              <w:tc>
                <w:tcPr>
                  <w:tcW w:w="387" w:type="dxa"/>
                  <w:tcBorders>
                    <w:left w:val="single" w:color="auto" w:sz="4" w:space="0"/>
                    <w:right w:val="single" w:color="auto" w:sz="4" w:space="0"/>
                  </w:tcBorders>
                  <w:vAlign w:val="center"/>
                </w:tcPr>
                <w:p w14:paraId="59798193">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-32</w:t>
                  </w:r>
                </w:p>
              </w:tc>
              <w:tc>
                <w:tcPr>
                  <w:tcW w:w="485" w:type="dxa"/>
                  <w:tcBorders>
                    <w:left w:val="single" w:color="auto" w:sz="4" w:space="0"/>
                    <w:right w:val="single" w:color="auto" w:sz="4" w:space="0"/>
                  </w:tcBorders>
                  <w:vAlign w:val="center"/>
                </w:tcPr>
                <w:p w14:paraId="09299D77">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14</w:t>
                  </w:r>
                </w:p>
              </w:tc>
              <w:tc>
                <w:tcPr>
                  <w:tcW w:w="561" w:type="dxa"/>
                  <w:tcBorders>
                    <w:left w:val="single" w:color="auto" w:sz="4" w:space="0"/>
                    <w:right w:val="single" w:color="auto" w:sz="4" w:space="0"/>
                  </w:tcBorders>
                  <w:vAlign w:val="center"/>
                </w:tcPr>
                <w:p w14:paraId="44528E1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居民</w:t>
                  </w:r>
                </w:p>
              </w:tc>
              <w:tc>
                <w:tcPr>
                  <w:tcW w:w="710" w:type="dxa"/>
                  <w:tcBorders>
                    <w:left w:val="single" w:color="auto" w:sz="4" w:space="0"/>
                    <w:right w:val="single" w:color="auto" w:sz="4" w:space="0"/>
                  </w:tcBorders>
                  <w:vAlign w:val="center"/>
                </w:tcPr>
                <w:p w14:paraId="280212C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约525人</w:t>
                  </w:r>
                </w:p>
              </w:tc>
              <w:tc>
                <w:tcPr>
                  <w:tcW w:w="2129" w:type="dxa"/>
                  <w:tcBorders>
                    <w:left w:val="single" w:color="auto" w:sz="4" w:space="0"/>
                    <w:right w:val="single" w:color="auto" w:sz="4" w:space="0"/>
                  </w:tcBorders>
                  <w:vAlign w:val="center"/>
                </w:tcPr>
                <w:p w14:paraId="275F31A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《声环境质量标准》（GB3096-2008）2类标准</w:t>
                  </w:r>
                </w:p>
              </w:tc>
              <w:tc>
                <w:tcPr>
                  <w:tcW w:w="885" w:type="dxa"/>
                  <w:tcBorders>
                    <w:left w:val="single" w:color="auto" w:sz="4" w:space="0"/>
                    <w:right w:val="single" w:color="auto" w:sz="4" w:space="0"/>
                  </w:tcBorders>
                  <w:vAlign w:val="center"/>
                </w:tcPr>
                <w:p w14:paraId="28DBCB86">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w:t>
                  </w:r>
                </w:p>
              </w:tc>
              <w:tc>
                <w:tcPr>
                  <w:tcW w:w="757" w:type="dxa"/>
                  <w:tcBorders>
                    <w:left w:val="single" w:color="auto" w:sz="4" w:space="0"/>
                    <w:right w:val="nil"/>
                  </w:tcBorders>
                  <w:vAlign w:val="center"/>
                </w:tcPr>
                <w:p w14:paraId="7C1F35E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37</w:t>
                  </w:r>
                </w:p>
              </w:tc>
            </w:tr>
            <w:tr w14:paraId="574AC8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23" w:type="dxa"/>
                  <w:tcBorders>
                    <w:tl2br w:val="nil"/>
                    <w:tr2bl w:val="nil"/>
                  </w:tcBorders>
                  <w:vAlign w:val="center"/>
                </w:tcPr>
                <w:p w14:paraId="19AE2DE6">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生态环境</w:t>
                  </w:r>
                </w:p>
              </w:tc>
              <w:tc>
                <w:tcPr>
                  <w:tcW w:w="7326" w:type="dxa"/>
                  <w:gridSpan w:val="9"/>
                  <w:tcBorders>
                    <w:tl2br w:val="nil"/>
                    <w:tr2bl w:val="nil"/>
                  </w:tcBorders>
                  <w:vAlign w:val="center"/>
                </w:tcPr>
                <w:p w14:paraId="54EB2CE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本项目利用已有的工业用地进行项目建设，本项目用地范围内无生态环境保护目标</w:t>
                  </w:r>
                </w:p>
              </w:tc>
            </w:tr>
          </w:tbl>
          <w:p w14:paraId="666D9F50">
            <w:pPr>
              <w:wordWrap w:val="0"/>
              <w:snapToGrid w:val="0"/>
              <w:jc w:val="left"/>
              <w:rPr>
                <w:rFonts w:ascii="Times New Roman" w:hAnsi="Times New Roman" w:eastAsia="宋体" w:cs="Times New Roman"/>
                <w:snapToGrid w:val="0"/>
                <w:color w:val="auto"/>
                <w:sz w:val="18"/>
                <w:szCs w:val="18"/>
                <w:highlight w:val="none"/>
              </w:rPr>
            </w:pPr>
            <w:r>
              <w:rPr>
                <w:rFonts w:ascii="Times New Roman" w:hAnsi="Times New Roman" w:eastAsia="宋体" w:cs="Times New Roman"/>
                <w:snapToGrid w:val="0"/>
                <w:color w:val="auto"/>
                <w:sz w:val="18"/>
                <w:szCs w:val="18"/>
                <w:highlight w:val="none"/>
              </w:rPr>
              <w:t>注：以项目西南角为坐标原点（0，0）。</w:t>
            </w:r>
          </w:p>
          <w:p w14:paraId="035B8DBA">
            <w:pPr>
              <w:wordWrap w:val="0"/>
              <w:spacing w:line="360" w:lineRule="auto"/>
              <w:jc w:val="left"/>
              <w:rPr>
                <w:rFonts w:ascii="Times New Roman" w:hAnsi="Times New Roman" w:eastAsia="宋体" w:cs="Times New Roman"/>
                <w:snapToGrid w:val="0"/>
                <w:color w:val="auto"/>
                <w:sz w:val="24"/>
                <w:szCs w:val="24"/>
                <w:highlight w:val="none"/>
              </w:rPr>
            </w:pPr>
          </w:p>
        </w:tc>
      </w:tr>
    </w:tbl>
    <w:p w14:paraId="1E837A56">
      <w:pPr>
        <w:rPr>
          <w:rFonts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8"/>
        <w:tblW w:w="852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4"/>
      </w:tblGrid>
      <w:tr w14:paraId="3E203E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1" w:hRule="atLeast"/>
          <w:jc w:val="center"/>
        </w:trPr>
        <w:tc>
          <w:tcPr>
            <w:tcW w:w="457" w:type="dxa"/>
            <w:tcMar>
              <w:left w:w="28" w:type="dxa"/>
              <w:right w:w="28" w:type="dxa"/>
            </w:tcMar>
            <w:vAlign w:val="center"/>
          </w:tcPr>
          <w:p w14:paraId="76909088">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污染</w:t>
            </w:r>
          </w:p>
          <w:p w14:paraId="7A843B14">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物排</w:t>
            </w:r>
          </w:p>
          <w:p w14:paraId="79879B87">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放控</w:t>
            </w:r>
          </w:p>
          <w:p w14:paraId="74F3CC53">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制标</w:t>
            </w:r>
          </w:p>
          <w:p w14:paraId="2E47882B">
            <w:pPr>
              <w:jc w:val="center"/>
              <w:rPr>
                <w:rFonts w:ascii="Times New Roman" w:hAnsi="Times New Roman" w:eastAsia="宋体" w:cs="Times New Roman"/>
                <w:color w:val="auto"/>
                <w:kern w:val="0"/>
                <w:szCs w:val="21"/>
                <w:highlight w:val="none"/>
              </w:rPr>
            </w:pPr>
            <w:r>
              <w:rPr>
                <w:rFonts w:ascii="Times New Roman" w:hAnsi="Times New Roman" w:eastAsia="宋体" w:cs="Times New Roman"/>
                <w:bCs/>
                <w:color w:val="auto"/>
                <w:sz w:val="24"/>
                <w:szCs w:val="24"/>
                <w:highlight w:val="none"/>
              </w:rPr>
              <w:t>准</w:t>
            </w:r>
          </w:p>
        </w:tc>
        <w:tc>
          <w:tcPr>
            <w:tcW w:w="8064" w:type="dxa"/>
            <w:vAlign w:val="center"/>
          </w:tcPr>
          <w:p w14:paraId="5C7B215F">
            <w:pPr>
              <w:widowControl/>
              <w:spacing w:line="360" w:lineRule="auto"/>
              <w:ind w:firstLine="482" w:firstLineChars="200"/>
              <w:jc w:val="left"/>
              <w:rPr>
                <w:rFonts w:ascii="Times New Roman" w:hAnsi="Times New Roman" w:eastAsia="宋体" w:cs="Times New Roman"/>
                <w:b/>
                <w:bCs/>
                <w:color w:val="auto"/>
                <w:kern w:val="0"/>
                <w:sz w:val="24"/>
                <w:szCs w:val="24"/>
                <w:highlight w:val="none"/>
              </w:rPr>
            </w:pPr>
            <w:r>
              <w:rPr>
                <w:rFonts w:ascii="Times New Roman" w:hAnsi="Times New Roman" w:eastAsia="宋体" w:cs="Times New Roman"/>
                <w:b/>
                <w:bCs/>
                <w:color w:val="auto"/>
                <w:kern w:val="0"/>
                <w:sz w:val="24"/>
                <w:szCs w:val="24"/>
                <w:highlight w:val="none"/>
              </w:rPr>
              <w:t>1、大气污染物排放标准</w:t>
            </w:r>
          </w:p>
          <w:p w14:paraId="321F6572">
            <w:pPr>
              <w:widowControl/>
              <w:kinsoku w:val="0"/>
              <w:autoSpaceDE w:val="0"/>
              <w:autoSpaceDN w:val="0"/>
              <w:adjustRightInd w:val="0"/>
              <w:snapToGrid w:val="0"/>
              <w:spacing w:line="360" w:lineRule="auto"/>
              <w:ind w:firstLine="480" w:firstLineChars="200"/>
              <w:jc w:val="left"/>
              <w:textAlignment w:val="baseline"/>
              <w:rPr>
                <w:rFonts w:ascii="Times New Roman" w:hAnsi="Times New Roman" w:eastAsia="宋体" w:cs="Times New Roman"/>
                <w:snapToGrid w:val="0"/>
                <w:color w:val="auto"/>
                <w:spacing w:val="-9"/>
                <w:kern w:val="0"/>
                <w:sz w:val="24"/>
                <w:szCs w:val="24"/>
                <w:highlight w:val="none"/>
              </w:rPr>
            </w:pPr>
            <w:r>
              <w:rPr>
                <w:rFonts w:ascii="Times New Roman" w:hAnsi="Times New Roman" w:eastAsia="宋体" w:cs="Times New Roman"/>
                <w:color w:val="auto"/>
                <w:sz w:val="24"/>
                <w:highlight w:val="none"/>
              </w:rPr>
              <w:t>项目切割、焊接产生的</w:t>
            </w:r>
            <w:r>
              <w:rPr>
                <w:rFonts w:hint="eastAsia" w:ascii="Times New Roman" w:hAnsi="Times New Roman" w:eastAsia="宋体" w:cs="Times New Roman"/>
                <w:color w:val="auto"/>
                <w:sz w:val="24"/>
                <w:highlight w:val="none"/>
              </w:rPr>
              <w:t>颗粒物</w:t>
            </w:r>
            <w:r>
              <w:rPr>
                <w:rFonts w:hint="eastAsia" w:ascii="Times New Roman" w:hAnsi="Times New Roman" w:eastAsia="宋体" w:cs="Times New Roman"/>
                <w:color w:val="auto"/>
                <w:sz w:val="24"/>
                <w:highlight w:val="none"/>
                <w:lang w:val="en-US" w:eastAsia="zh-CN"/>
              </w:rPr>
              <w:t>和</w:t>
            </w:r>
            <w:r>
              <w:rPr>
                <w:rFonts w:ascii="Times New Roman" w:hAnsi="Times New Roman" w:eastAsia="宋体" w:cs="Times New Roman"/>
                <w:color w:val="auto"/>
                <w:sz w:val="24"/>
                <w:highlight w:val="none"/>
              </w:rPr>
              <w:t>喷塑产生的颗粒物排放执行</w:t>
            </w:r>
            <w:r>
              <w:rPr>
                <w:rFonts w:ascii="Times New Roman" w:hAnsi="Times New Roman" w:eastAsia="宋体" w:cs="Times New Roman"/>
                <w:bCs/>
                <w:color w:val="auto"/>
                <w:kern w:val="0"/>
                <w:sz w:val="24"/>
                <w:szCs w:val="24"/>
                <w:highlight w:val="none"/>
              </w:rPr>
              <w:t>《大气污染物综合排放标准》（GB16297-1996）表2中浓度限值</w:t>
            </w:r>
            <w:r>
              <w:rPr>
                <w:rFonts w:ascii="Times New Roman" w:hAnsi="Times New Roman" w:eastAsia="宋体" w:cs="Times New Roman"/>
                <w:color w:val="auto"/>
                <w:sz w:val="24"/>
                <w:highlight w:val="none"/>
              </w:rPr>
              <w:t>，固化产生的非甲烷总烃</w:t>
            </w:r>
            <w:r>
              <w:rPr>
                <w:rFonts w:hint="eastAsia" w:ascii="Times New Roman" w:hAnsi="Times New Roman" w:eastAsia="宋体" w:cs="Times New Roman"/>
                <w:color w:val="auto"/>
                <w:sz w:val="24"/>
                <w:highlight w:val="none"/>
                <w:lang w:val="en-US" w:eastAsia="zh-CN"/>
              </w:rPr>
              <w:t>有组织和无组织排放执</w:t>
            </w:r>
            <w:r>
              <w:rPr>
                <w:rFonts w:hint="eastAsia" w:ascii="Times New Roman" w:hAnsi="Times New Roman" w:eastAsia="宋体" w:cs="Times New Roman"/>
                <w:bCs/>
                <w:color w:val="auto"/>
                <w:kern w:val="0"/>
                <w:sz w:val="24"/>
                <w:szCs w:val="24"/>
                <w:highlight w:val="none"/>
                <w:lang w:val="en-US" w:eastAsia="zh-CN"/>
              </w:rPr>
              <w:t>行</w:t>
            </w:r>
            <w:r>
              <w:rPr>
                <w:rFonts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lang w:val="en-US" w:eastAsia="zh-CN"/>
              </w:rPr>
              <w:t xml:space="preserve">固定源挥发性有机物综合排放标准 </w:t>
            </w:r>
            <w:r>
              <w:rPr>
                <w:rFonts w:hint="eastAsia" w:ascii="Times New Roman" w:hAnsi="Times New Roman" w:eastAsia="宋体" w:cs="Times New Roman"/>
                <w:bCs/>
                <w:color w:val="auto"/>
                <w:kern w:val="0"/>
                <w:sz w:val="24"/>
                <w:szCs w:val="24"/>
                <w:highlight w:val="none"/>
                <w:lang w:val="en-US" w:eastAsia="zh-CN"/>
              </w:rPr>
              <w:t>第6部分：其他行业</w:t>
            </w:r>
            <w:r>
              <w:rPr>
                <w:rFonts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kern w:val="0"/>
                <w:sz w:val="24"/>
                <w:szCs w:val="24"/>
                <w:highlight w:val="none"/>
                <w:lang w:val="en-US" w:eastAsia="zh-CN"/>
              </w:rPr>
              <w:t>DB 34/ 4812.6</w:t>
            </w:r>
            <w:r>
              <w:rPr>
                <w:rFonts w:hint="eastAsia" w:ascii="Times New Roman" w:hAnsi="Times New Roman" w:eastAsia="宋体" w:cs="Times New Roman"/>
                <w:bCs/>
                <w:color w:val="auto"/>
                <w:kern w:val="0"/>
                <w:sz w:val="24"/>
                <w:szCs w:val="24"/>
                <w:highlight w:val="none"/>
                <w:lang w:val="en-US" w:eastAsia="zh-CN"/>
              </w:rPr>
              <w:t>-</w:t>
            </w:r>
            <w:r>
              <w:rPr>
                <w:rFonts w:ascii="Times New Roman" w:hAnsi="Times New Roman" w:eastAsia="宋体" w:cs="Times New Roman"/>
                <w:bCs/>
                <w:color w:val="auto"/>
                <w:kern w:val="0"/>
                <w:sz w:val="24"/>
                <w:szCs w:val="24"/>
                <w:highlight w:val="none"/>
                <w:lang w:val="en-US" w:eastAsia="zh-CN"/>
              </w:rPr>
              <w:t>2024</w:t>
            </w:r>
            <w:r>
              <w:rPr>
                <w:rFonts w:hint="eastAsia" w:ascii="Times New Roman" w:hAnsi="Times New Roman" w:eastAsia="宋体" w:cs="Times New Roman"/>
                <w:bCs/>
                <w:color w:val="auto"/>
                <w:kern w:val="0"/>
                <w:sz w:val="24"/>
                <w:szCs w:val="24"/>
                <w:highlight w:val="none"/>
                <w:lang w:eastAsia="zh-CN"/>
              </w:rPr>
              <w:t>）</w:t>
            </w:r>
            <w:r>
              <w:rPr>
                <w:rFonts w:ascii="Times New Roman" w:hAnsi="Times New Roman" w:eastAsia="宋体" w:cs="Times New Roman"/>
                <w:bCs/>
                <w:color w:val="auto"/>
                <w:kern w:val="0"/>
                <w:sz w:val="24"/>
                <w:szCs w:val="24"/>
                <w:highlight w:val="none"/>
              </w:rPr>
              <w:t>中要求</w:t>
            </w:r>
            <w:r>
              <w:rPr>
                <w:rFonts w:hint="eastAsia" w:ascii="Times New Roman" w:hAnsi="Times New Roman" w:eastAsia="宋体" w:cs="Times New Roman"/>
                <w:bCs/>
                <w:color w:val="auto"/>
                <w:kern w:val="0"/>
                <w:sz w:val="24"/>
                <w:szCs w:val="24"/>
                <w:highlight w:val="none"/>
              </w:rPr>
              <w:t>，</w:t>
            </w:r>
            <w:r>
              <w:rPr>
                <w:rFonts w:ascii="Times New Roman" w:hAnsi="Times New Roman" w:eastAsia="宋体" w:cs="Times New Roman"/>
                <w:snapToGrid w:val="0"/>
                <w:color w:val="auto"/>
                <w:spacing w:val="1"/>
                <w:kern w:val="0"/>
                <w:sz w:val="24"/>
                <w:szCs w:val="24"/>
                <w:highlight w:val="none"/>
              </w:rPr>
              <w:t>具体内容见表</w:t>
            </w:r>
            <w:r>
              <w:rPr>
                <w:rFonts w:ascii="Times New Roman" w:hAnsi="Times New Roman" w:eastAsia="宋体" w:cs="Times New Roman"/>
                <w:snapToGrid w:val="0"/>
                <w:color w:val="auto"/>
                <w:spacing w:val="-9"/>
                <w:kern w:val="0"/>
                <w:sz w:val="24"/>
                <w:szCs w:val="24"/>
                <w:highlight w:val="none"/>
              </w:rPr>
              <w:t>3-</w:t>
            </w:r>
            <w:r>
              <w:rPr>
                <w:rFonts w:ascii="Times New Roman" w:hAnsi="Times New Roman" w:eastAsia="宋体" w:cs="Times New Roman"/>
                <w:snapToGrid w:val="0"/>
                <w:color w:val="auto"/>
                <w:spacing w:val="-33"/>
                <w:kern w:val="0"/>
                <w:sz w:val="24"/>
                <w:szCs w:val="24"/>
                <w:highlight w:val="none"/>
              </w:rPr>
              <w:t xml:space="preserve"> </w:t>
            </w:r>
            <w:r>
              <w:rPr>
                <w:rFonts w:ascii="Times New Roman" w:hAnsi="Times New Roman" w:eastAsia="宋体" w:cs="Times New Roman"/>
                <w:snapToGrid w:val="0"/>
                <w:color w:val="auto"/>
                <w:spacing w:val="-9"/>
                <w:kern w:val="0"/>
                <w:sz w:val="24"/>
                <w:szCs w:val="24"/>
                <w:highlight w:val="none"/>
              </w:rPr>
              <w:t>6</w:t>
            </w:r>
            <w:r>
              <w:rPr>
                <w:rFonts w:hint="eastAsia" w:ascii="Times New Roman" w:hAnsi="Times New Roman" w:eastAsia="宋体" w:cs="Times New Roman"/>
                <w:snapToGrid w:val="0"/>
                <w:color w:val="auto"/>
                <w:spacing w:val="-9"/>
                <w:kern w:val="0"/>
                <w:sz w:val="24"/>
                <w:szCs w:val="24"/>
                <w:highlight w:val="none"/>
                <w:lang w:eastAsia="zh-CN"/>
              </w:rPr>
              <w:t>、</w:t>
            </w:r>
            <w:r>
              <w:rPr>
                <w:rFonts w:hint="eastAsia" w:ascii="Times New Roman" w:hAnsi="Times New Roman" w:eastAsia="宋体" w:cs="Times New Roman"/>
                <w:snapToGrid w:val="0"/>
                <w:color w:val="auto"/>
                <w:spacing w:val="-9"/>
                <w:kern w:val="0"/>
                <w:sz w:val="24"/>
                <w:szCs w:val="24"/>
                <w:highlight w:val="none"/>
                <w:lang w:val="en-US" w:eastAsia="zh-CN"/>
              </w:rPr>
              <w:t>表3-7</w:t>
            </w:r>
            <w:r>
              <w:rPr>
                <w:rFonts w:ascii="Times New Roman" w:hAnsi="Times New Roman" w:eastAsia="宋体" w:cs="Times New Roman"/>
                <w:snapToGrid w:val="0"/>
                <w:color w:val="auto"/>
                <w:spacing w:val="-9"/>
                <w:kern w:val="0"/>
                <w:sz w:val="24"/>
                <w:szCs w:val="24"/>
                <w:highlight w:val="none"/>
              </w:rPr>
              <w:t>。</w:t>
            </w:r>
          </w:p>
          <w:p w14:paraId="01583525">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表3-</w:t>
            </w:r>
            <w:r>
              <w:rPr>
                <w:rFonts w:hint="eastAsia" w:ascii="Times New Roman" w:hAnsi="Times New Roman" w:eastAsia="黑体" w:cs="Times New Roman"/>
                <w:color w:val="auto"/>
                <w:sz w:val="24"/>
                <w:highlight w:val="none"/>
              </w:rPr>
              <w:t>6</w:t>
            </w:r>
            <w:r>
              <w:rPr>
                <w:rFonts w:ascii="Times New Roman" w:hAnsi="Times New Roman" w:eastAsia="黑体" w:cs="Times New Roman"/>
                <w:color w:val="auto"/>
                <w:sz w:val="24"/>
                <w:highlight w:val="none"/>
              </w:rPr>
              <w:t xml:space="preserve"> 本项目大气污染物排放限值      单位：mg/m</w:t>
            </w:r>
            <w:r>
              <w:rPr>
                <w:rFonts w:ascii="Times New Roman" w:hAnsi="Times New Roman" w:eastAsia="黑体" w:cs="Times New Roman"/>
                <w:color w:val="auto"/>
                <w:sz w:val="24"/>
                <w:highlight w:val="none"/>
                <w:vertAlign w:val="superscript"/>
              </w:rPr>
              <w:t>3</w:t>
            </w:r>
          </w:p>
          <w:tbl>
            <w:tblPr>
              <w:tblStyle w:val="18"/>
              <w:tblW w:w="4992" w:type="pct"/>
              <w:jc w:val="center"/>
              <w:tblBorders>
                <w:top w:val="single" w:color="auto" w:sz="6" w:space="0"/>
                <w:left w:val="none" w:color="auto" w:sz="0"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15"/>
              <w:gridCol w:w="1242"/>
              <w:gridCol w:w="1019"/>
              <w:gridCol w:w="941"/>
              <w:gridCol w:w="1296"/>
              <w:gridCol w:w="2214"/>
            </w:tblGrid>
            <w:tr w14:paraId="26ED1662">
              <w:tblPrEx>
                <w:tblBorders>
                  <w:top w:val="single" w:color="auto" w:sz="6" w:space="0"/>
                  <w:left w:val="none" w:color="auto" w:sz="0"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2" w:type="pct"/>
                  <w:vMerge w:val="restart"/>
                  <w:tcBorders>
                    <w:top w:val="single" w:color="auto" w:sz="8" w:space="0"/>
                    <w:bottom w:val="single" w:color="auto" w:sz="4" w:space="0"/>
                    <w:right w:val="single" w:color="auto" w:sz="4" w:space="0"/>
                  </w:tcBorders>
                  <w:vAlign w:val="center"/>
                </w:tcPr>
                <w:p w14:paraId="3B1E3A96">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污染物名称</w:t>
                  </w:r>
                </w:p>
              </w:tc>
              <w:tc>
                <w:tcPr>
                  <w:tcW w:w="793" w:type="pct"/>
                  <w:vMerge w:val="restart"/>
                  <w:tcBorders>
                    <w:top w:val="single" w:color="auto" w:sz="8" w:space="0"/>
                    <w:left w:val="single" w:color="auto" w:sz="4" w:space="0"/>
                    <w:bottom w:val="single" w:color="auto" w:sz="4" w:space="0"/>
                    <w:right w:val="single" w:color="auto" w:sz="4" w:space="0"/>
                  </w:tcBorders>
                  <w:vAlign w:val="center"/>
                </w:tcPr>
                <w:p w14:paraId="0CB497BA">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最高允许排放浓度</w:t>
                  </w:r>
                  <w:r>
                    <w:rPr>
                      <w:rFonts w:ascii="Times New Roman" w:hAnsi="Times New Roman" w:eastAsia="宋体" w:cs="Times New Roman"/>
                      <w:color w:val="auto"/>
                      <w:sz w:val="18"/>
                      <w:szCs w:val="18"/>
                      <w:highlight w:val="none"/>
                      <w:lang w:val="en-GB"/>
                    </w:rPr>
                    <w:t>（</w:t>
                  </w:r>
                  <w:r>
                    <w:rPr>
                      <w:rFonts w:ascii="Times New Roman" w:hAnsi="Times New Roman" w:eastAsia="宋体" w:cs="Times New Roman"/>
                      <w:color w:val="auto"/>
                      <w:sz w:val="18"/>
                      <w:szCs w:val="18"/>
                      <w:highlight w:val="none"/>
                    </w:rPr>
                    <w:t>mg/m</w:t>
                  </w:r>
                  <w:r>
                    <w:rPr>
                      <w:rFonts w:ascii="Times New Roman" w:hAnsi="Times New Roman" w:eastAsia="宋体" w:cs="Times New Roman"/>
                      <w:color w:val="auto"/>
                      <w:sz w:val="18"/>
                      <w:szCs w:val="18"/>
                      <w:highlight w:val="none"/>
                      <w:vertAlign w:val="superscript"/>
                    </w:rPr>
                    <w:t>3</w:t>
                  </w:r>
                  <w:r>
                    <w:rPr>
                      <w:rFonts w:ascii="Times New Roman" w:hAnsi="Times New Roman" w:eastAsia="宋体" w:cs="Times New Roman"/>
                      <w:color w:val="auto"/>
                      <w:sz w:val="18"/>
                      <w:szCs w:val="18"/>
                      <w:highlight w:val="none"/>
                      <w:lang w:val="en-GB"/>
                    </w:rPr>
                    <w:t>）</w:t>
                  </w:r>
                </w:p>
              </w:tc>
              <w:tc>
                <w:tcPr>
                  <w:tcW w:w="1252" w:type="pct"/>
                  <w:gridSpan w:val="2"/>
                  <w:tcBorders>
                    <w:top w:val="single" w:color="auto" w:sz="8" w:space="0"/>
                    <w:left w:val="single" w:color="auto" w:sz="4" w:space="0"/>
                    <w:bottom w:val="single" w:color="auto" w:sz="4" w:space="0"/>
                    <w:right w:val="single" w:color="auto" w:sz="4" w:space="0"/>
                  </w:tcBorders>
                  <w:vAlign w:val="center"/>
                </w:tcPr>
                <w:p w14:paraId="4CAD63B5">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最高允许排放速率（kg/h）</w:t>
                  </w:r>
                </w:p>
              </w:tc>
              <w:tc>
                <w:tcPr>
                  <w:tcW w:w="828" w:type="pct"/>
                  <w:vMerge w:val="restart"/>
                  <w:tcBorders>
                    <w:top w:val="single" w:color="auto" w:sz="8" w:space="0"/>
                    <w:left w:val="single" w:color="auto" w:sz="4" w:space="0"/>
                    <w:bottom w:val="single" w:color="auto" w:sz="4" w:space="0"/>
                    <w:right w:val="nil"/>
                  </w:tcBorders>
                  <w:vAlign w:val="center"/>
                </w:tcPr>
                <w:p w14:paraId="57D78D11">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无组织排放监控浓度限</w:t>
                  </w:r>
                  <w:r>
                    <w:rPr>
                      <w:rFonts w:ascii="Times New Roman" w:hAnsi="Times New Roman" w:eastAsia="宋体" w:cs="Times New Roman"/>
                      <w:color w:val="auto"/>
                      <w:sz w:val="18"/>
                      <w:szCs w:val="18"/>
                      <w:highlight w:val="none"/>
                      <w:lang w:val="en-GB"/>
                    </w:rPr>
                    <w:t>（</w:t>
                  </w:r>
                  <w:r>
                    <w:rPr>
                      <w:rFonts w:ascii="Times New Roman" w:hAnsi="Times New Roman" w:eastAsia="宋体" w:cs="Times New Roman"/>
                      <w:color w:val="auto"/>
                      <w:sz w:val="18"/>
                      <w:szCs w:val="18"/>
                      <w:highlight w:val="none"/>
                    </w:rPr>
                    <w:t>mg/m</w:t>
                  </w:r>
                  <w:r>
                    <w:rPr>
                      <w:rFonts w:ascii="Times New Roman" w:hAnsi="Times New Roman" w:eastAsia="宋体" w:cs="Times New Roman"/>
                      <w:color w:val="auto"/>
                      <w:sz w:val="18"/>
                      <w:szCs w:val="18"/>
                      <w:highlight w:val="none"/>
                      <w:vertAlign w:val="superscript"/>
                    </w:rPr>
                    <w:t>3</w:t>
                  </w:r>
                  <w:r>
                    <w:rPr>
                      <w:rFonts w:ascii="Times New Roman" w:hAnsi="Times New Roman" w:eastAsia="宋体" w:cs="Times New Roman"/>
                      <w:color w:val="auto"/>
                      <w:sz w:val="18"/>
                      <w:szCs w:val="18"/>
                      <w:highlight w:val="none"/>
                      <w:lang w:val="en-GB"/>
                    </w:rPr>
                    <w:t>）</w:t>
                  </w:r>
                </w:p>
              </w:tc>
              <w:tc>
                <w:tcPr>
                  <w:tcW w:w="1414" w:type="pct"/>
                  <w:vMerge w:val="restart"/>
                  <w:tcBorders>
                    <w:top w:val="single" w:color="auto" w:sz="8" w:space="0"/>
                    <w:left w:val="single" w:color="auto" w:sz="4" w:space="0"/>
                    <w:right w:val="nil"/>
                  </w:tcBorders>
                  <w:vAlign w:val="center"/>
                </w:tcPr>
                <w:p w14:paraId="34DD3C90">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执行标准</w:t>
                  </w:r>
                </w:p>
              </w:tc>
            </w:tr>
            <w:tr w14:paraId="79BB1362">
              <w:tblPrEx>
                <w:tblBorders>
                  <w:top w:val="single" w:color="auto" w:sz="6" w:space="0"/>
                  <w:left w:val="none" w:color="auto" w:sz="0"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12" w:type="pct"/>
                  <w:vMerge w:val="continue"/>
                  <w:tcBorders>
                    <w:top w:val="single" w:color="auto" w:sz="4" w:space="0"/>
                    <w:bottom w:val="single" w:color="auto" w:sz="4" w:space="0"/>
                    <w:right w:val="single" w:color="auto" w:sz="4" w:space="0"/>
                  </w:tcBorders>
                  <w:vAlign w:val="center"/>
                </w:tcPr>
                <w:p w14:paraId="3CFC5624">
                  <w:pPr>
                    <w:adjustRightInd w:val="0"/>
                    <w:snapToGrid w:val="0"/>
                    <w:jc w:val="center"/>
                    <w:rPr>
                      <w:rFonts w:ascii="Times New Roman" w:hAnsi="Times New Roman" w:eastAsia="宋体" w:cs="Times New Roman"/>
                      <w:color w:val="auto"/>
                      <w:sz w:val="18"/>
                      <w:szCs w:val="18"/>
                      <w:highlight w:val="none"/>
                    </w:rPr>
                  </w:pPr>
                </w:p>
              </w:tc>
              <w:tc>
                <w:tcPr>
                  <w:tcW w:w="793" w:type="pct"/>
                  <w:vMerge w:val="continue"/>
                  <w:tcBorders>
                    <w:top w:val="single" w:color="auto" w:sz="4" w:space="0"/>
                    <w:left w:val="single" w:color="auto" w:sz="4" w:space="0"/>
                    <w:bottom w:val="single" w:color="auto" w:sz="4" w:space="0"/>
                    <w:right w:val="single" w:color="auto" w:sz="4" w:space="0"/>
                  </w:tcBorders>
                  <w:vAlign w:val="center"/>
                </w:tcPr>
                <w:p w14:paraId="49F98151">
                  <w:pPr>
                    <w:adjustRightInd w:val="0"/>
                    <w:snapToGrid w:val="0"/>
                    <w:jc w:val="center"/>
                    <w:rPr>
                      <w:rFonts w:ascii="Times New Roman" w:hAnsi="Times New Roman" w:eastAsia="宋体" w:cs="Times New Roman"/>
                      <w:color w:val="auto"/>
                      <w:sz w:val="18"/>
                      <w:szCs w:val="18"/>
                      <w:highlight w:val="none"/>
                    </w:rPr>
                  </w:pPr>
                </w:p>
              </w:tc>
              <w:tc>
                <w:tcPr>
                  <w:tcW w:w="651" w:type="pct"/>
                  <w:tcBorders>
                    <w:top w:val="single" w:color="auto" w:sz="4" w:space="0"/>
                    <w:left w:val="single" w:color="auto" w:sz="4" w:space="0"/>
                    <w:bottom w:val="single" w:color="auto" w:sz="4" w:space="0"/>
                    <w:right w:val="single" w:color="auto" w:sz="4" w:space="0"/>
                  </w:tcBorders>
                  <w:vAlign w:val="center"/>
                </w:tcPr>
                <w:p w14:paraId="04643DC1">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排气筒（m）</w:t>
                  </w:r>
                </w:p>
              </w:tc>
              <w:tc>
                <w:tcPr>
                  <w:tcW w:w="600" w:type="pct"/>
                  <w:tcBorders>
                    <w:top w:val="single" w:color="auto" w:sz="4" w:space="0"/>
                    <w:left w:val="single" w:color="auto" w:sz="4" w:space="0"/>
                    <w:bottom w:val="single" w:color="auto" w:sz="4" w:space="0"/>
                    <w:right w:val="single" w:color="auto" w:sz="4" w:space="0"/>
                  </w:tcBorders>
                  <w:vAlign w:val="center"/>
                </w:tcPr>
                <w:p w14:paraId="0A869B19">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二级</w:t>
                  </w:r>
                </w:p>
              </w:tc>
              <w:tc>
                <w:tcPr>
                  <w:tcW w:w="828" w:type="pct"/>
                  <w:vMerge w:val="continue"/>
                  <w:tcBorders>
                    <w:top w:val="single" w:color="auto" w:sz="4" w:space="0"/>
                    <w:left w:val="single" w:color="auto" w:sz="4" w:space="0"/>
                    <w:bottom w:val="single" w:color="auto" w:sz="4" w:space="0"/>
                    <w:right w:val="nil"/>
                  </w:tcBorders>
                  <w:vAlign w:val="center"/>
                </w:tcPr>
                <w:p w14:paraId="30FB6FE9">
                  <w:pPr>
                    <w:adjustRightInd w:val="0"/>
                    <w:snapToGrid w:val="0"/>
                    <w:jc w:val="center"/>
                    <w:rPr>
                      <w:rFonts w:ascii="Times New Roman" w:hAnsi="Times New Roman" w:eastAsia="宋体" w:cs="Times New Roman"/>
                      <w:color w:val="auto"/>
                      <w:sz w:val="18"/>
                      <w:szCs w:val="18"/>
                      <w:highlight w:val="none"/>
                    </w:rPr>
                  </w:pPr>
                </w:p>
              </w:tc>
              <w:tc>
                <w:tcPr>
                  <w:tcW w:w="1414" w:type="pct"/>
                  <w:vMerge w:val="continue"/>
                  <w:tcBorders>
                    <w:left w:val="single" w:color="auto" w:sz="4" w:space="0"/>
                    <w:bottom w:val="single" w:color="auto" w:sz="4" w:space="0"/>
                    <w:right w:val="nil"/>
                  </w:tcBorders>
                  <w:vAlign w:val="center"/>
                </w:tcPr>
                <w:p w14:paraId="1460CF14">
                  <w:pPr>
                    <w:adjustRightInd w:val="0"/>
                    <w:snapToGrid w:val="0"/>
                    <w:jc w:val="center"/>
                    <w:rPr>
                      <w:rFonts w:ascii="Times New Roman" w:hAnsi="Times New Roman" w:eastAsia="宋体" w:cs="Times New Roman"/>
                      <w:color w:val="auto"/>
                      <w:sz w:val="18"/>
                      <w:szCs w:val="18"/>
                      <w:highlight w:val="none"/>
                    </w:rPr>
                  </w:pPr>
                </w:p>
              </w:tc>
            </w:tr>
            <w:tr w14:paraId="79281366">
              <w:tblPrEx>
                <w:tblBorders>
                  <w:top w:val="single" w:color="auto" w:sz="6" w:space="0"/>
                  <w:left w:val="none" w:color="auto" w:sz="0"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2" w:type="pct"/>
                  <w:tcBorders>
                    <w:top w:val="single" w:color="auto" w:sz="4" w:space="0"/>
                    <w:bottom w:val="single" w:color="auto" w:sz="4" w:space="0"/>
                    <w:right w:val="single" w:color="auto" w:sz="4" w:space="0"/>
                  </w:tcBorders>
                  <w:vAlign w:val="center"/>
                </w:tcPr>
                <w:p w14:paraId="3C89B3E8">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颗粒物</w:t>
                  </w:r>
                </w:p>
              </w:tc>
              <w:tc>
                <w:tcPr>
                  <w:tcW w:w="793" w:type="pct"/>
                  <w:tcBorders>
                    <w:top w:val="single" w:color="auto" w:sz="4" w:space="0"/>
                    <w:left w:val="single" w:color="auto" w:sz="4" w:space="0"/>
                    <w:bottom w:val="single" w:color="auto" w:sz="4" w:space="0"/>
                    <w:right w:val="single" w:color="auto" w:sz="4" w:space="0"/>
                  </w:tcBorders>
                  <w:vAlign w:val="center"/>
                </w:tcPr>
                <w:p w14:paraId="1C4C299C">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120</w:t>
                  </w:r>
                </w:p>
              </w:tc>
              <w:tc>
                <w:tcPr>
                  <w:tcW w:w="651" w:type="pct"/>
                  <w:tcBorders>
                    <w:top w:val="single" w:color="auto" w:sz="4" w:space="0"/>
                    <w:left w:val="single" w:color="auto" w:sz="4" w:space="0"/>
                    <w:bottom w:val="single" w:color="auto" w:sz="4" w:space="0"/>
                    <w:right w:val="single" w:color="auto" w:sz="4" w:space="0"/>
                  </w:tcBorders>
                  <w:vAlign w:val="center"/>
                </w:tcPr>
                <w:p w14:paraId="3CF555CB">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600" w:type="pct"/>
                  <w:tcBorders>
                    <w:top w:val="single" w:color="auto" w:sz="4" w:space="0"/>
                    <w:left w:val="single" w:color="auto" w:sz="4" w:space="0"/>
                    <w:bottom w:val="single" w:color="auto" w:sz="4" w:space="0"/>
                    <w:right w:val="single" w:color="auto" w:sz="4" w:space="0"/>
                  </w:tcBorders>
                  <w:vAlign w:val="center"/>
                </w:tcPr>
                <w:p w14:paraId="50AAB207">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3.5</w:t>
                  </w:r>
                </w:p>
              </w:tc>
              <w:tc>
                <w:tcPr>
                  <w:tcW w:w="828" w:type="pct"/>
                  <w:tcBorders>
                    <w:top w:val="single" w:color="auto" w:sz="4" w:space="0"/>
                    <w:left w:val="single" w:color="auto" w:sz="4" w:space="0"/>
                    <w:bottom w:val="single" w:color="auto" w:sz="4" w:space="0"/>
                    <w:right w:val="nil"/>
                  </w:tcBorders>
                  <w:vAlign w:val="center"/>
                </w:tcPr>
                <w:p w14:paraId="61490EC5">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w:t>
                  </w:r>
                </w:p>
              </w:tc>
              <w:tc>
                <w:tcPr>
                  <w:tcW w:w="1414" w:type="pct"/>
                  <w:tcBorders>
                    <w:top w:val="single" w:color="auto" w:sz="4" w:space="0"/>
                    <w:left w:val="single" w:color="auto" w:sz="4" w:space="0"/>
                    <w:bottom w:val="single" w:color="auto" w:sz="4" w:space="0"/>
                    <w:right w:val="nil"/>
                  </w:tcBorders>
                  <w:vAlign w:val="center"/>
                </w:tcPr>
                <w:p w14:paraId="1DA0C826">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《大气污染物综合排放标准》（GB16297-1996）</w:t>
                  </w:r>
                </w:p>
              </w:tc>
            </w:tr>
            <w:tr w14:paraId="64AA9C20">
              <w:tblPrEx>
                <w:tblBorders>
                  <w:top w:val="single" w:color="auto" w:sz="6" w:space="0"/>
                  <w:left w:val="none" w:color="auto" w:sz="0"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712" w:type="pct"/>
                  <w:tcBorders>
                    <w:top w:val="single" w:color="auto" w:sz="4" w:space="0"/>
                    <w:bottom w:val="single" w:color="auto" w:sz="8" w:space="0"/>
                    <w:right w:val="single" w:color="auto" w:sz="4" w:space="0"/>
                  </w:tcBorders>
                  <w:vAlign w:val="center"/>
                </w:tcPr>
                <w:p w14:paraId="433C1B0E">
                  <w:pPr>
                    <w:adjustRightInd w:val="0"/>
                    <w:snapToGrid w:val="0"/>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 xml:space="preserve">非甲烷总烃 </w:t>
                  </w:r>
                </w:p>
              </w:tc>
              <w:tc>
                <w:tcPr>
                  <w:tcW w:w="793" w:type="pct"/>
                  <w:tcBorders>
                    <w:top w:val="single" w:color="auto" w:sz="4" w:space="0"/>
                    <w:left w:val="single" w:color="auto" w:sz="4" w:space="0"/>
                    <w:bottom w:val="single" w:color="auto" w:sz="8" w:space="0"/>
                    <w:right w:val="single" w:color="auto" w:sz="4" w:space="0"/>
                  </w:tcBorders>
                  <w:vAlign w:val="center"/>
                </w:tcPr>
                <w:p w14:paraId="5819109A">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40</w:t>
                  </w:r>
                </w:p>
              </w:tc>
              <w:tc>
                <w:tcPr>
                  <w:tcW w:w="1252" w:type="pct"/>
                  <w:gridSpan w:val="2"/>
                  <w:tcBorders>
                    <w:top w:val="single" w:color="auto" w:sz="4" w:space="0"/>
                    <w:left w:val="single" w:color="auto" w:sz="4" w:space="0"/>
                    <w:bottom w:val="single" w:color="auto" w:sz="8" w:space="0"/>
                    <w:right w:val="single" w:color="auto" w:sz="4" w:space="0"/>
                  </w:tcBorders>
                  <w:vAlign w:val="center"/>
                </w:tcPr>
                <w:p w14:paraId="575CF549">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1.6</w:t>
                  </w:r>
                </w:p>
              </w:tc>
              <w:tc>
                <w:tcPr>
                  <w:tcW w:w="828" w:type="pct"/>
                  <w:tcBorders>
                    <w:top w:val="single" w:color="auto" w:sz="4" w:space="0"/>
                    <w:left w:val="single" w:color="auto" w:sz="4" w:space="0"/>
                    <w:bottom w:val="single" w:color="auto" w:sz="8" w:space="0"/>
                    <w:right w:val="nil"/>
                  </w:tcBorders>
                  <w:vAlign w:val="center"/>
                </w:tcPr>
                <w:p w14:paraId="6A4F18CA">
                  <w:pPr>
                    <w:adjustRightInd w:val="0"/>
                    <w:snapToGrid w:val="0"/>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w:t>
                  </w:r>
                </w:p>
              </w:tc>
              <w:tc>
                <w:tcPr>
                  <w:tcW w:w="1414" w:type="pct"/>
                  <w:tcBorders>
                    <w:top w:val="single" w:color="auto" w:sz="4" w:space="0"/>
                    <w:left w:val="single" w:color="auto" w:sz="4" w:space="0"/>
                    <w:bottom w:val="single" w:color="auto" w:sz="8" w:space="0"/>
                    <w:right w:val="nil"/>
                  </w:tcBorders>
                  <w:vAlign w:val="center"/>
                </w:tcPr>
                <w:p w14:paraId="218CA25F">
                  <w:pPr>
                    <w:adjustRightInd w:val="0"/>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lang w:val="en-US" w:eastAsia="zh-CN"/>
                    </w:rPr>
                    <w:t xml:space="preserve">固定源挥发性有机物综合排放标准 </w:t>
                  </w:r>
                  <w:r>
                    <w:rPr>
                      <w:rFonts w:hint="eastAsia" w:ascii="Times New Roman" w:hAnsi="Times New Roman" w:eastAsia="宋体" w:cs="Times New Roman"/>
                      <w:color w:val="auto"/>
                      <w:sz w:val="18"/>
                      <w:szCs w:val="18"/>
                      <w:highlight w:val="none"/>
                      <w:lang w:val="en-US" w:eastAsia="zh-CN"/>
                    </w:rPr>
                    <w:t>第6部分：其他行业</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lang w:val="en-US" w:eastAsia="zh-CN"/>
                    </w:rPr>
                    <w:t>DB 34/ 4812.6</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lang w:val="en-US" w:eastAsia="zh-CN"/>
                    </w:rPr>
                    <w:t>2024</w:t>
                  </w:r>
                  <w:r>
                    <w:rPr>
                      <w:rFonts w:hint="eastAsia" w:ascii="Times New Roman" w:hAnsi="Times New Roman" w:eastAsia="宋体" w:cs="Times New Roman"/>
                      <w:color w:val="auto"/>
                      <w:sz w:val="18"/>
                      <w:szCs w:val="18"/>
                      <w:highlight w:val="none"/>
                      <w:lang w:eastAsia="zh-CN"/>
                    </w:rPr>
                    <w:t>）</w:t>
                  </w:r>
                </w:p>
              </w:tc>
            </w:tr>
          </w:tbl>
          <w:p w14:paraId="3D553B41">
            <w:pPr>
              <w:jc w:val="center"/>
              <w:rPr>
                <w:rFonts w:ascii="Times New Roman" w:hAnsi="Times New Roman" w:eastAsia="宋体" w:cs="Times New Roman"/>
                <w:b/>
                <w:color w:val="auto"/>
                <w:sz w:val="24"/>
                <w:highlight w:val="none"/>
              </w:rPr>
            </w:pPr>
            <w:r>
              <w:rPr>
                <w:rFonts w:ascii="Times New Roman" w:hAnsi="Times New Roman" w:eastAsia="黑体" w:cs="Times New Roman"/>
                <w:color w:val="auto"/>
                <w:sz w:val="24"/>
                <w:highlight w:val="none"/>
              </w:rPr>
              <w:t>表3-</w:t>
            </w:r>
            <w:r>
              <w:rPr>
                <w:rFonts w:hint="eastAsia" w:ascii="Times New Roman" w:hAnsi="Times New Roman" w:eastAsia="黑体" w:cs="Times New Roman"/>
                <w:color w:val="auto"/>
                <w:sz w:val="24"/>
                <w:highlight w:val="none"/>
                <w:lang w:val="en-US" w:eastAsia="zh-CN"/>
              </w:rPr>
              <w:t>7</w:t>
            </w:r>
            <w:r>
              <w:rPr>
                <w:rFonts w:ascii="Times New Roman" w:hAnsi="Times New Roman" w:eastAsia="黑体" w:cs="Times New Roman"/>
                <w:color w:val="auto"/>
                <w:sz w:val="24"/>
                <w:highlight w:val="none"/>
              </w:rPr>
              <w:tab/>
            </w:r>
            <w:r>
              <w:rPr>
                <w:rFonts w:hint="eastAsia" w:ascii="Times New Roman" w:hAnsi="Times New Roman" w:eastAsia="黑体" w:cs="Times New Roman"/>
                <w:color w:val="auto"/>
                <w:sz w:val="24"/>
                <w:highlight w:val="none"/>
                <w:lang w:val="en-US" w:eastAsia="zh-CN"/>
              </w:rPr>
              <w:t>本项目</w:t>
            </w:r>
            <w:r>
              <w:rPr>
                <w:rFonts w:ascii="Times New Roman" w:hAnsi="Times New Roman" w:eastAsia="黑体" w:cs="Times New Roman"/>
                <w:color w:val="auto"/>
                <w:sz w:val="24"/>
                <w:highlight w:val="none"/>
              </w:rPr>
              <w:t>挥发性有机物无组织排放要求  单位：mg/</w:t>
            </w:r>
            <w:r>
              <w:rPr>
                <w:rFonts w:hint="eastAsia" w:ascii="Times New Roman" w:hAnsi="Times New Roman" w:eastAsia="黑体" w:cs="Times New Roman"/>
                <w:color w:val="auto"/>
                <w:sz w:val="24"/>
                <w:highlight w:val="none"/>
              </w:rPr>
              <w:t>m</w:t>
            </w:r>
            <w:r>
              <w:rPr>
                <w:rFonts w:hint="eastAsia" w:ascii="Times New Roman" w:hAnsi="Times New Roman" w:eastAsia="宋体" w:cs="Times New Roman"/>
                <w:b/>
                <w:color w:val="auto"/>
                <w:sz w:val="24"/>
                <w:highlight w:val="none"/>
                <w:vertAlign w:val="superscript"/>
              </w:rPr>
              <w:t>3</w:t>
            </w:r>
          </w:p>
          <w:tbl>
            <w:tblPr>
              <w:tblStyle w:val="18"/>
              <w:tblW w:w="4998" w:type="pct"/>
              <w:tblInd w:w="5"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8"/>
              <w:gridCol w:w="1792"/>
              <w:gridCol w:w="2541"/>
              <w:gridCol w:w="1914"/>
            </w:tblGrid>
            <w:tr w14:paraId="0D0520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tcBorders>
                    <w:tl2br w:val="nil"/>
                    <w:tr2bl w:val="nil"/>
                  </w:tcBorders>
                  <w:vAlign w:val="center"/>
                </w:tcPr>
                <w:p w14:paraId="313E1517">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污染物</w:t>
                  </w:r>
                </w:p>
              </w:tc>
              <w:tc>
                <w:tcPr>
                  <w:tcW w:w="1142" w:type="pct"/>
                  <w:tcBorders>
                    <w:tl2br w:val="nil"/>
                    <w:tr2bl w:val="nil"/>
                  </w:tcBorders>
                  <w:vAlign w:val="center"/>
                </w:tcPr>
                <w:p w14:paraId="5A1D43C2">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特别排放限值</w:t>
                  </w:r>
                </w:p>
              </w:tc>
              <w:tc>
                <w:tcPr>
                  <w:tcW w:w="1619" w:type="pct"/>
                  <w:tcBorders>
                    <w:tl2br w:val="nil"/>
                    <w:tr2bl w:val="nil"/>
                  </w:tcBorders>
                  <w:vAlign w:val="center"/>
                </w:tcPr>
                <w:p w14:paraId="3BB9390C">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限值含义</w:t>
                  </w:r>
                </w:p>
              </w:tc>
              <w:tc>
                <w:tcPr>
                  <w:tcW w:w="1219" w:type="pct"/>
                  <w:tcBorders>
                    <w:tl2br w:val="nil"/>
                    <w:tr2bl w:val="nil"/>
                  </w:tcBorders>
                  <w:vAlign w:val="center"/>
                </w:tcPr>
                <w:p w14:paraId="07EDFF36">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无组织排放监控位置</w:t>
                  </w:r>
                </w:p>
              </w:tc>
            </w:tr>
            <w:tr w14:paraId="35D67A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Merge w:val="restart"/>
                  <w:tcBorders>
                    <w:tl2br w:val="nil"/>
                    <w:tr2bl w:val="nil"/>
                  </w:tcBorders>
                  <w:vAlign w:val="center"/>
                </w:tcPr>
                <w:p w14:paraId="37EFE511">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NMHC</w:t>
                  </w:r>
                </w:p>
              </w:tc>
              <w:tc>
                <w:tcPr>
                  <w:tcW w:w="1142" w:type="pct"/>
                  <w:tcBorders>
                    <w:tl2br w:val="nil"/>
                    <w:tr2bl w:val="nil"/>
                  </w:tcBorders>
                  <w:vAlign w:val="center"/>
                </w:tcPr>
                <w:p w14:paraId="238ABEE0">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6</w:t>
                  </w:r>
                </w:p>
              </w:tc>
              <w:tc>
                <w:tcPr>
                  <w:tcW w:w="1619" w:type="pct"/>
                  <w:tcBorders>
                    <w:tl2br w:val="nil"/>
                    <w:tr2bl w:val="nil"/>
                  </w:tcBorders>
                  <w:vAlign w:val="center"/>
                </w:tcPr>
                <w:p w14:paraId="3A41CC0E">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监控点处1h平均浓度值</w:t>
                  </w:r>
                </w:p>
              </w:tc>
              <w:tc>
                <w:tcPr>
                  <w:tcW w:w="1219" w:type="pct"/>
                  <w:vMerge w:val="restart"/>
                  <w:tcBorders>
                    <w:tl2br w:val="nil"/>
                    <w:tr2bl w:val="nil"/>
                  </w:tcBorders>
                  <w:vAlign w:val="center"/>
                </w:tcPr>
                <w:p w14:paraId="44C47294">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在厂房外设置监控点</w:t>
                  </w:r>
                </w:p>
              </w:tc>
            </w:tr>
            <w:tr w14:paraId="71945B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18" w:type="pct"/>
                  <w:vMerge w:val="continue"/>
                  <w:tcBorders>
                    <w:tl2br w:val="nil"/>
                    <w:tr2bl w:val="nil"/>
                  </w:tcBorders>
                  <w:vAlign w:val="center"/>
                </w:tcPr>
                <w:p w14:paraId="6F6B19F6">
                  <w:pPr>
                    <w:pStyle w:val="90"/>
                    <w:ind w:firstLine="0"/>
                    <w:jc w:val="center"/>
                    <w:rPr>
                      <w:rFonts w:ascii="Times New Roman" w:hAnsi="Times New Roman" w:cs="Times New Roman"/>
                      <w:color w:val="auto"/>
                      <w:sz w:val="18"/>
                      <w:szCs w:val="18"/>
                      <w:highlight w:val="none"/>
                    </w:rPr>
                  </w:pPr>
                </w:p>
              </w:tc>
              <w:tc>
                <w:tcPr>
                  <w:tcW w:w="1142" w:type="pct"/>
                  <w:tcBorders>
                    <w:tl2br w:val="nil"/>
                    <w:tr2bl w:val="nil"/>
                  </w:tcBorders>
                  <w:vAlign w:val="center"/>
                </w:tcPr>
                <w:p w14:paraId="4207E46C">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20</w:t>
                  </w:r>
                </w:p>
              </w:tc>
              <w:tc>
                <w:tcPr>
                  <w:tcW w:w="1619" w:type="pct"/>
                  <w:tcBorders>
                    <w:tl2br w:val="nil"/>
                    <w:tr2bl w:val="nil"/>
                  </w:tcBorders>
                  <w:vAlign w:val="center"/>
                </w:tcPr>
                <w:p w14:paraId="3D5E9572">
                  <w:pPr>
                    <w:pStyle w:val="90"/>
                    <w:ind w:firstLine="0"/>
                    <w:jc w:val="center"/>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监控点处任意一次浓度值</w:t>
                  </w:r>
                </w:p>
              </w:tc>
              <w:tc>
                <w:tcPr>
                  <w:tcW w:w="1219" w:type="pct"/>
                  <w:vMerge w:val="continue"/>
                  <w:tcBorders>
                    <w:tl2br w:val="nil"/>
                    <w:tr2bl w:val="nil"/>
                  </w:tcBorders>
                  <w:vAlign w:val="center"/>
                </w:tcPr>
                <w:p w14:paraId="0D6FC67B">
                  <w:pPr>
                    <w:pStyle w:val="90"/>
                    <w:ind w:firstLine="0"/>
                    <w:jc w:val="center"/>
                    <w:rPr>
                      <w:rFonts w:ascii="Times New Roman" w:hAnsi="Times New Roman" w:cs="Times New Roman"/>
                      <w:color w:val="auto"/>
                      <w:sz w:val="18"/>
                      <w:szCs w:val="18"/>
                      <w:highlight w:val="none"/>
                    </w:rPr>
                  </w:pPr>
                </w:p>
              </w:tc>
            </w:tr>
          </w:tbl>
          <w:p w14:paraId="16568836">
            <w:pPr>
              <w:spacing w:line="360" w:lineRule="auto"/>
              <w:ind w:firstLine="482" w:firstLineChars="200"/>
              <w:jc w:val="left"/>
              <w:rPr>
                <w:rFonts w:ascii="Times New Roman" w:hAnsi="Times New Roman"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2</w:t>
            </w:r>
            <w:r>
              <w:rPr>
                <w:rFonts w:ascii="Times New Roman" w:hAnsi="Times New Roman" w:eastAsia="宋体" w:cs="Times New Roman"/>
                <w:b/>
                <w:color w:val="auto"/>
                <w:sz w:val="24"/>
                <w:szCs w:val="24"/>
                <w:highlight w:val="none"/>
              </w:rPr>
              <w:t>、水污染物排放标准</w:t>
            </w:r>
          </w:p>
          <w:p w14:paraId="00901080">
            <w:pPr>
              <w:widowControl/>
              <w:kinsoku w:val="0"/>
              <w:autoSpaceDE w:val="0"/>
              <w:autoSpaceDN w:val="0"/>
              <w:adjustRightInd w:val="0"/>
              <w:snapToGrid w:val="0"/>
              <w:spacing w:line="360" w:lineRule="auto"/>
              <w:ind w:firstLine="480" w:firstLineChars="200"/>
              <w:jc w:val="left"/>
              <w:textAlignment w:val="baseline"/>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项目废水排放需满足《污水综合排放标准》</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GB8978-1996</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三级标准及八公山污水处理厂接管限值中较严限值要求，八公山污水处理厂出水执行《城镇污水处理厂污染物排放标准》</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GB18918-2002</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及其修改单中一级A标准，具体标准值见下表。</w:t>
            </w:r>
          </w:p>
          <w:p w14:paraId="2FD6719D">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表3-</w:t>
            </w:r>
            <w:r>
              <w:rPr>
                <w:rFonts w:hint="eastAsia" w:ascii="Times New Roman" w:hAnsi="Times New Roman" w:eastAsia="黑体" w:cs="Times New Roman"/>
                <w:color w:val="auto"/>
                <w:sz w:val="24"/>
                <w:highlight w:val="none"/>
                <w:lang w:val="en-US" w:eastAsia="zh-CN"/>
              </w:rPr>
              <w:t>8</w:t>
            </w:r>
            <w:r>
              <w:rPr>
                <w:rFonts w:ascii="Times New Roman" w:hAnsi="Times New Roman" w:eastAsia="黑体" w:cs="Times New Roman"/>
                <w:color w:val="auto"/>
                <w:sz w:val="24"/>
                <w:highlight w:val="none"/>
              </w:rPr>
              <w:t xml:space="preserve">  废水污染物排放限值  单位：mg/L，pH无量纲</w:t>
            </w:r>
          </w:p>
          <w:tbl>
            <w:tblPr>
              <w:tblStyle w:val="19"/>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175"/>
              <w:gridCol w:w="1746"/>
              <w:gridCol w:w="1017"/>
              <w:gridCol w:w="916"/>
              <w:gridCol w:w="2287"/>
            </w:tblGrid>
            <w:tr w14:paraId="7055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444" w:type="pct"/>
                  <w:tcBorders>
                    <w:top w:val="single" w:color="auto" w:sz="8" w:space="0"/>
                    <w:left w:val="nil"/>
                  </w:tcBorders>
                  <w:vAlign w:val="center"/>
                </w:tcPr>
                <w:p w14:paraId="49CA17BA">
                  <w:pPr>
                    <w:adjustRightInd w:val="0"/>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序号</w:t>
                  </w:r>
                </w:p>
              </w:tc>
              <w:tc>
                <w:tcPr>
                  <w:tcW w:w="749" w:type="pct"/>
                  <w:tcBorders>
                    <w:top w:val="single" w:color="auto" w:sz="8" w:space="0"/>
                  </w:tcBorders>
                  <w:vAlign w:val="center"/>
                </w:tcPr>
                <w:p w14:paraId="20AE189C">
                  <w:pPr>
                    <w:adjustRightInd w:val="0"/>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污染物项目</w:t>
                  </w:r>
                </w:p>
              </w:tc>
              <w:tc>
                <w:tcPr>
                  <w:tcW w:w="1113" w:type="pct"/>
                  <w:tcBorders>
                    <w:top w:val="single" w:color="auto" w:sz="8" w:space="0"/>
                  </w:tcBorders>
                  <w:vAlign w:val="center"/>
                </w:tcPr>
                <w:p w14:paraId="31D1EFD2">
                  <w:pPr>
                    <w:adjustRightInd w:val="0"/>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《污水综合排放标准》</w:t>
                  </w:r>
                  <w:r>
                    <w:rPr>
                      <w:rFonts w:hint="eastAsia" w:ascii="Times New Roman" w:hAnsi="Times New Roman" w:eastAsia="宋体" w:cs="Times New Roman"/>
                      <w:b/>
                      <w:color w:val="auto"/>
                      <w:sz w:val="18"/>
                      <w:szCs w:val="18"/>
                      <w:highlight w:val="none"/>
                      <w:lang w:eastAsia="zh-CN"/>
                    </w:rPr>
                    <w:t>（</w:t>
                  </w:r>
                  <w:r>
                    <w:rPr>
                      <w:rFonts w:ascii="Times New Roman" w:hAnsi="Times New Roman" w:eastAsia="宋体" w:cs="Times New Roman"/>
                      <w:b/>
                      <w:color w:val="auto"/>
                      <w:sz w:val="18"/>
                      <w:szCs w:val="18"/>
                      <w:highlight w:val="none"/>
                    </w:rPr>
                    <w:t>GB8978-1996</w:t>
                  </w:r>
                  <w:r>
                    <w:rPr>
                      <w:rFonts w:hint="eastAsia" w:ascii="Times New Roman" w:hAnsi="Times New Roman" w:eastAsia="宋体" w:cs="Times New Roman"/>
                      <w:b/>
                      <w:color w:val="auto"/>
                      <w:sz w:val="18"/>
                      <w:szCs w:val="18"/>
                      <w:highlight w:val="none"/>
                      <w:lang w:eastAsia="zh-CN"/>
                    </w:rPr>
                    <w:t>）</w:t>
                  </w:r>
                  <w:r>
                    <w:rPr>
                      <w:rFonts w:ascii="Times New Roman" w:hAnsi="Times New Roman" w:eastAsia="宋体" w:cs="Times New Roman"/>
                      <w:b/>
                      <w:color w:val="auto"/>
                      <w:sz w:val="18"/>
                      <w:szCs w:val="18"/>
                      <w:highlight w:val="none"/>
                    </w:rPr>
                    <w:t>三级标准</w:t>
                  </w:r>
                </w:p>
              </w:tc>
              <w:tc>
                <w:tcPr>
                  <w:tcW w:w="648" w:type="pct"/>
                  <w:tcBorders>
                    <w:top w:val="single" w:color="auto" w:sz="8" w:space="0"/>
                  </w:tcBorders>
                  <w:vAlign w:val="center"/>
                </w:tcPr>
                <w:p w14:paraId="19AFDD9F">
                  <w:pPr>
                    <w:adjustRightInd w:val="0"/>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八公山污水处理厂接管标准</w:t>
                  </w:r>
                </w:p>
              </w:tc>
              <w:tc>
                <w:tcPr>
                  <w:tcW w:w="584" w:type="pct"/>
                  <w:tcBorders>
                    <w:top w:val="single" w:color="auto" w:sz="8" w:space="0"/>
                  </w:tcBorders>
                  <w:vAlign w:val="center"/>
                </w:tcPr>
                <w:p w14:paraId="1B8A7230">
                  <w:pPr>
                    <w:adjustRightInd w:val="0"/>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本项目执行标准</w:t>
                  </w:r>
                </w:p>
              </w:tc>
              <w:tc>
                <w:tcPr>
                  <w:tcW w:w="1458" w:type="pct"/>
                  <w:tcBorders>
                    <w:top w:val="single" w:color="auto" w:sz="8" w:space="0"/>
                    <w:right w:val="nil"/>
                  </w:tcBorders>
                  <w:vAlign w:val="center"/>
                </w:tcPr>
                <w:p w14:paraId="7C45712F">
                  <w:pPr>
                    <w:adjustRightInd w:val="0"/>
                    <w:snapToGrid w:val="0"/>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《城镇污水处理厂污染物排放标准》</w:t>
                  </w:r>
                  <w:r>
                    <w:rPr>
                      <w:rFonts w:hint="eastAsia" w:ascii="Times New Roman" w:hAnsi="Times New Roman" w:eastAsia="宋体" w:cs="Times New Roman"/>
                      <w:b/>
                      <w:color w:val="auto"/>
                      <w:sz w:val="18"/>
                      <w:szCs w:val="18"/>
                      <w:highlight w:val="none"/>
                      <w:lang w:eastAsia="zh-CN"/>
                    </w:rPr>
                    <w:t>（</w:t>
                  </w:r>
                  <w:r>
                    <w:rPr>
                      <w:rFonts w:ascii="Times New Roman" w:hAnsi="Times New Roman" w:eastAsia="宋体" w:cs="Times New Roman"/>
                      <w:b/>
                      <w:color w:val="auto"/>
                      <w:sz w:val="18"/>
                      <w:szCs w:val="18"/>
                      <w:highlight w:val="none"/>
                    </w:rPr>
                    <w:t>GB18918-2002</w:t>
                  </w:r>
                  <w:r>
                    <w:rPr>
                      <w:rFonts w:hint="eastAsia" w:ascii="Times New Roman" w:hAnsi="Times New Roman" w:eastAsia="宋体" w:cs="Times New Roman"/>
                      <w:b/>
                      <w:color w:val="auto"/>
                      <w:sz w:val="18"/>
                      <w:szCs w:val="18"/>
                      <w:highlight w:val="none"/>
                      <w:lang w:eastAsia="zh-CN"/>
                    </w:rPr>
                    <w:t>）</w:t>
                  </w:r>
                  <w:r>
                    <w:rPr>
                      <w:rFonts w:ascii="Times New Roman" w:hAnsi="Times New Roman" w:eastAsia="宋体" w:cs="Times New Roman"/>
                      <w:b/>
                      <w:color w:val="auto"/>
                      <w:sz w:val="18"/>
                      <w:szCs w:val="18"/>
                      <w:highlight w:val="none"/>
                    </w:rPr>
                    <w:t>及其修改单中一级A 标准</w:t>
                  </w:r>
                </w:p>
              </w:tc>
            </w:tr>
            <w:tr w14:paraId="263B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left w:val="nil"/>
                  </w:tcBorders>
                  <w:vAlign w:val="center"/>
                </w:tcPr>
                <w:p w14:paraId="7F2A37FE">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1</w:t>
                  </w:r>
                </w:p>
              </w:tc>
              <w:tc>
                <w:tcPr>
                  <w:tcW w:w="749" w:type="pct"/>
                  <w:vAlign w:val="center"/>
                </w:tcPr>
                <w:p w14:paraId="33D2CE9C">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pH</w:t>
                  </w:r>
                </w:p>
              </w:tc>
              <w:tc>
                <w:tcPr>
                  <w:tcW w:w="1113" w:type="pct"/>
                  <w:vAlign w:val="center"/>
                </w:tcPr>
                <w:p w14:paraId="45CEC3FB">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6~9</w:t>
                  </w:r>
                </w:p>
              </w:tc>
              <w:tc>
                <w:tcPr>
                  <w:tcW w:w="648" w:type="pct"/>
                  <w:vAlign w:val="center"/>
                </w:tcPr>
                <w:p w14:paraId="73A7C6D4">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6~9</w:t>
                  </w:r>
                </w:p>
              </w:tc>
              <w:tc>
                <w:tcPr>
                  <w:tcW w:w="584" w:type="pct"/>
                  <w:vAlign w:val="center"/>
                </w:tcPr>
                <w:p w14:paraId="5B6E6D46">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6~9</w:t>
                  </w:r>
                </w:p>
              </w:tc>
              <w:tc>
                <w:tcPr>
                  <w:tcW w:w="1458" w:type="pct"/>
                  <w:tcBorders>
                    <w:right w:val="nil"/>
                  </w:tcBorders>
                  <w:vAlign w:val="center"/>
                </w:tcPr>
                <w:p w14:paraId="4550A224">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6~9</w:t>
                  </w:r>
                </w:p>
              </w:tc>
            </w:tr>
            <w:tr w14:paraId="7629F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left w:val="nil"/>
                  </w:tcBorders>
                  <w:vAlign w:val="center"/>
                </w:tcPr>
                <w:p w14:paraId="4BB55401">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2</w:t>
                  </w:r>
                </w:p>
              </w:tc>
              <w:tc>
                <w:tcPr>
                  <w:tcW w:w="749" w:type="pct"/>
                  <w:vAlign w:val="center"/>
                </w:tcPr>
                <w:p w14:paraId="53AEC918">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CODcr</w:t>
                  </w:r>
                </w:p>
              </w:tc>
              <w:tc>
                <w:tcPr>
                  <w:tcW w:w="1113" w:type="pct"/>
                  <w:vAlign w:val="center"/>
                </w:tcPr>
                <w:p w14:paraId="4178AEC1">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≤500</w:t>
                  </w:r>
                </w:p>
              </w:tc>
              <w:tc>
                <w:tcPr>
                  <w:tcW w:w="648" w:type="pct"/>
                  <w:vAlign w:val="center"/>
                </w:tcPr>
                <w:p w14:paraId="2A1EACFF">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380</w:t>
                  </w:r>
                </w:p>
              </w:tc>
              <w:tc>
                <w:tcPr>
                  <w:tcW w:w="584" w:type="pct"/>
                  <w:vAlign w:val="center"/>
                </w:tcPr>
                <w:p w14:paraId="61ABCD14">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ascii="Times New Roman" w:hAnsi="Times New Roman" w:eastAsia="宋体" w:cs="Times New Roman"/>
                      <w:bCs/>
                      <w:color w:val="auto"/>
                      <w:sz w:val="18"/>
                      <w:szCs w:val="18"/>
                      <w:highlight w:val="none"/>
                    </w:rPr>
                    <w:t>≤</w:t>
                  </w:r>
                  <w:r>
                    <w:rPr>
                      <w:rFonts w:hint="eastAsia" w:ascii="Times New Roman" w:hAnsi="Times New Roman" w:eastAsia="宋体" w:cs="Times New Roman"/>
                      <w:bCs/>
                      <w:color w:val="auto"/>
                      <w:sz w:val="18"/>
                      <w:szCs w:val="18"/>
                      <w:highlight w:val="none"/>
                      <w:lang w:val="en-US" w:eastAsia="zh-CN"/>
                    </w:rPr>
                    <w:t>380</w:t>
                  </w:r>
                </w:p>
              </w:tc>
              <w:tc>
                <w:tcPr>
                  <w:tcW w:w="1458" w:type="pct"/>
                  <w:tcBorders>
                    <w:right w:val="nil"/>
                  </w:tcBorders>
                  <w:vAlign w:val="center"/>
                </w:tcPr>
                <w:p w14:paraId="61F1A2E5">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50</w:t>
                  </w:r>
                </w:p>
              </w:tc>
            </w:tr>
            <w:tr w14:paraId="1F5BD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left w:val="nil"/>
                  </w:tcBorders>
                  <w:vAlign w:val="center"/>
                </w:tcPr>
                <w:p w14:paraId="1BE64F9D">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3</w:t>
                  </w:r>
                </w:p>
              </w:tc>
              <w:tc>
                <w:tcPr>
                  <w:tcW w:w="749" w:type="pct"/>
                  <w:vAlign w:val="center"/>
                </w:tcPr>
                <w:p w14:paraId="2C10511A">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BOD</w:t>
                  </w:r>
                  <w:r>
                    <w:rPr>
                      <w:rFonts w:ascii="Times New Roman" w:hAnsi="Times New Roman" w:eastAsia="宋体" w:cs="Times New Roman"/>
                      <w:bCs/>
                      <w:color w:val="auto"/>
                      <w:sz w:val="18"/>
                      <w:szCs w:val="18"/>
                      <w:highlight w:val="none"/>
                      <w:vertAlign w:val="subscript"/>
                    </w:rPr>
                    <w:t>5</w:t>
                  </w:r>
                </w:p>
              </w:tc>
              <w:tc>
                <w:tcPr>
                  <w:tcW w:w="1113" w:type="pct"/>
                  <w:vAlign w:val="center"/>
                </w:tcPr>
                <w:p w14:paraId="0C2A7C0F">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≤300</w:t>
                  </w:r>
                </w:p>
              </w:tc>
              <w:tc>
                <w:tcPr>
                  <w:tcW w:w="648" w:type="pct"/>
                  <w:vAlign w:val="center"/>
                </w:tcPr>
                <w:p w14:paraId="68B6E8A2">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160</w:t>
                  </w:r>
                </w:p>
              </w:tc>
              <w:tc>
                <w:tcPr>
                  <w:tcW w:w="584" w:type="pct"/>
                  <w:vAlign w:val="center"/>
                </w:tcPr>
                <w:p w14:paraId="1AC34D86">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ascii="Times New Roman" w:hAnsi="Times New Roman" w:eastAsia="宋体" w:cs="Times New Roman"/>
                      <w:bCs/>
                      <w:color w:val="auto"/>
                      <w:sz w:val="18"/>
                      <w:szCs w:val="18"/>
                      <w:highlight w:val="none"/>
                    </w:rPr>
                    <w:t>≤</w:t>
                  </w:r>
                  <w:r>
                    <w:rPr>
                      <w:rFonts w:hint="eastAsia" w:ascii="Times New Roman" w:hAnsi="Times New Roman" w:eastAsia="宋体" w:cs="Times New Roman"/>
                      <w:bCs/>
                      <w:color w:val="auto"/>
                      <w:sz w:val="18"/>
                      <w:szCs w:val="18"/>
                      <w:highlight w:val="none"/>
                      <w:lang w:val="en-US" w:eastAsia="zh-CN"/>
                    </w:rPr>
                    <w:t>160</w:t>
                  </w:r>
                </w:p>
              </w:tc>
              <w:tc>
                <w:tcPr>
                  <w:tcW w:w="1458" w:type="pct"/>
                  <w:tcBorders>
                    <w:right w:val="nil"/>
                  </w:tcBorders>
                  <w:vAlign w:val="center"/>
                </w:tcPr>
                <w:p w14:paraId="19398E64">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10</w:t>
                  </w:r>
                </w:p>
              </w:tc>
            </w:tr>
            <w:tr w14:paraId="4508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left w:val="nil"/>
                  </w:tcBorders>
                  <w:vAlign w:val="center"/>
                </w:tcPr>
                <w:p w14:paraId="3DA8C4CA">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4</w:t>
                  </w:r>
                </w:p>
              </w:tc>
              <w:tc>
                <w:tcPr>
                  <w:tcW w:w="749" w:type="pct"/>
                  <w:vAlign w:val="center"/>
                </w:tcPr>
                <w:p w14:paraId="19E52746">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SS</w:t>
                  </w:r>
                </w:p>
              </w:tc>
              <w:tc>
                <w:tcPr>
                  <w:tcW w:w="1113" w:type="pct"/>
                  <w:vAlign w:val="center"/>
                </w:tcPr>
                <w:p w14:paraId="3F8E8A06">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≤400</w:t>
                  </w:r>
                </w:p>
              </w:tc>
              <w:tc>
                <w:tcPr>
                  <w:tcW w:w="648" w:type="pct"/>
                  <w:vAlign w:val="center"/>
                </w:tcPr>
                <w:p w14:paraId="0A43BFAB">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200</w:t>
                  </w:r>
                </w:p>
              </w:tc>
              <w:tc>
                <w:tcPr>
                  <w:tcW w:w="584" w:type="pct"/>
                  <w:vAlign w:val="center"/>
                </w:tcPr>
                <w:p w14:paraId="380BFA9A">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ascii="Times New Roman" w:hAnsi="Times New Roman" w:eastAsia="宋体" w:cs="Times New Roman"/>
                      <w:bCs/>
                      <w:color w:val="auto"/>
                      <w:sz w:val="18"/>
                      <w:szCs w:val="18"/>
                      <w:highlight w:val="none"/>
                    </w:rPr>
                    <w:t>≤</w:t>
                  </w:r>
                  <w:r>
                    <w:rPr>
                      <w:rFonts w:hint="eastAsia" w:ascii="Times New Roman" w:hAnsi="Times New Roman" w:eastAsia="宋体" w:cs="Times New Roman"/>
                      <w:bCs/>
                      <w:color w:val="auto"/>
                      <w:sz w:val="18"/>
                      <w:szCs w:val="18"/>
                      <w:highlight w:val="none"/>
                      <w:lang w:val="en-US" w:eastAsia="zh-CN"/>
                    </w:rPr>
                    <w:t>200</w:t>
                  </w:r>
                </w:p>
              </w:tc>
              <w:tc>
                <w:tcPr>
                  <w:tcW w:w="1458" w:type="pct"/>
                  <w:tcBorders>
                    <w:right w:val="nil"/>
                  </w:tcBorders>
                  <w:vAlign w:val="center"/>
                </w:tcPr>
                <w:p w14:paraId="377F0B77">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10</w:t>
                  </w:r>
                </w:p>
              </w:tc>
            </w:tr>
            <w:tr w14:paraId="29D24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4" w:type="pct"/>
                  <w:tcBorders>
                    <w:left w:val="nil"/>
                    <w:bottom w:val="single" w:color="auto" w:sz="8" w:space="0"/>
                  </w:tcBorders>
                  <w:vAlign w:val="center"/>
                </w:tcPr>
                <w:p w14:paraId="1E31EBE7">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5</w:t>
                  </w:r>
                </w:p>
              </w:tc>
              <w:tc>
                <w:tcPr>
                  <w:tcW w:w="749" w:type="pct"/>
                  <w:tcBorders>
                    <w:bottom w:val="single" w:color="auto" w:sz="8" w:space="0"/>
                  </w:tcBorders>
                  <w:vAlign w:val="center"/>
                </w:tcPr>
                <w:p w14:paraId="448A476D">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NH</w:t>
                  </w:r>
                  <w:r>
                    <w:rPr>
                      <w:rFonts w:ascii="Times New Roman" w:hAnsi="Times New Roman" w:eastAsia="宋体" w:cs="Times New Roman"/>
                      <w:bCs/>
                      <w:color w:val="auto"/>
                      <w:sz w:val="18"/>
                      <w:szCs w:val="18"/>
                      <w:highlight w:val="none"/>
                      <w:vertAlign w:val="subscript"/>
                    </w:rPr>
                    <w:t>3</w:t>
                  </w:r>
                  <w:r>
                    <w:rPr>
                      <w:rFonts w:ascii="Times New Roman" w:hAnsi="Times New Roman" w:eastAsia="宋体" w:cs="Times New Roman"/>
                      <w:bCs/>
                      <w:color w:val="auto"/>
                      <w:sz w:val="18"/>
                      <w:szCs w:val="18"/>
                      <w:highlight w:val="none"/>
                    </w:rPr>
                    <w:t>-N</w:t>
                  </w:r>
                </w:p>
              </w:tc>
              <w:tc>
                <w:tcPr>
                  <w:tcW w:w="1113" w:type="pct"/>
                  <w:tcBorders>
                    <w:bottom w:val="single" w:color="auto" w:sz="8" w:space="0"/>
                  </w:tcBorders>
                  <w:vAlign w:val="center"/>
                </w:tcPr>
                <w:p w14:paraId="13C6EC6E">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w:t>
                  </w:r>
                </w:p>
              </w:tc>
              <w:tc>
                <w:tcPr>
                  <w:tcW w:w="648" w:type="pct"/>
                  <w:tcBorders>
                    <w:bottom w:val="single" w:color="auto" w:sz="8" w:space="0"/>
                  </w:tcBorders>
                  <w:vAlign w:val="center"/>
                </w:tcPr>
                <w:p w14:paraId="77A9F1EC">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hint="eastAsia" w:ascii="Times New Roman" w:hAnsi="Times New Roman" w:eastAsia="宋体" w:cs="Times New Roman"/>
                      <w:bCs/>
                      <w:color w:val="auto"/>
                      <w:sz w:val="18"/>
                      <w:szCs w:val="18"/>
                      <w:highlight w:val="none"/>
                      <w:lang w:val="en-US" w:eastAsia="zh-CN"/>
                    </w:rPr>
                    <w:t>25</w:t>
                  </w:r>
                </w:p>
              </w:tc>
              <w:tc>
                <w:tcPr>
                  <w:tcW w:w="584" w:type="pct"/>
                  <w:tcBorders>
                    <w:bottom w:val="single" w:color="auto" w:sz="8" w:space="0"/>
                  </w:tcBorders>
                  <w:vAlign w:val="center"/>
                </w:tcPr>
                <w:p w14:paraId="216B565F">
                  <w:pPr>
                    <w:adjustRightInd w:val="0"/>
                    <w:snapToGrid w:val="0"/>
                    <w:jc w:val="center"/>
                    <w:rPr>
                      <w:rFonts w:hint="default" w:ascii="Times New Roman" w:hAnsi="Times New Roman" w:eastAsia="宋体" w:cs="Times New Roman"/>
                      <w:bCs/>
                      <w:color w:val="auto"/>
                      <w:sz w:val="18"/>
                      <w:szCs w:val="18"/>
                      <w:highlight w:val="none"/>
                      <w:lang w:val="en-US" w:eastAsia="zh-CN"/>
                    </w:rPr>
                  </w:pPr>
                  <w:r>
                    <w:rPr>
                      <w:rFonts w:ascii="Times New Roman" w:hAnsi="Times New Roman" w:eastAsia="宋体" w:cs="Times New Roman"/>
                      <w:bCs/>
                      <w:color w:val="auto"/>
                      <w:sz w:val="18"/>
                      <w:szCs w:val="18"/>
                      <w:highlight w:val="none"/>
                    </w:rPr>
                    <w:t>≤</w:t>
                  </w:r>
                  <w:r>
                    <w:rPr>
                      <w:rFonts w:hint="eastAsia" w:ascii="Times New Roman" w:hAnsi="Times New Roman" w:eastAsia="宋体" w:cs="Times New Roman"/>
                      <w:bCs/>
                      <w:color w:val="auto"/>
                      <w:sz w:val="18"/>
                      <w:szCs w:val="18"/>
                      <w:highlight w:val="none"/>
                      <w:lang w:val="en-US" w:eastAsia="zh-CN"/>
                    </w:rPr>
                    <w:t>25</w:t>
                  </w:r>
                </w:p>
              </w:tc>
              <w:tc>
                <w:tcPr>
                  <w:tcW w:w="1458" w:type="pct"/>
                  <w:tcBorders>
                    <w:bottom w:val="single" w:color="auto" w:sz="8" w:space="0"/>
                    <w:right w:val="nil"/>
                  </w:tcBorders>
                  <w:vAlign w:val="center"/>
                </w:tcPr>
                <w:p w14:paraId="36F9315D">
                  <w:pPr>
                    <w:adjustRightInd w:val="0"/>
                    <w:snapToGrid w:val="0"/>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5（8）</w:t>
                  </w:r>
                </w:p>
              </w:tc>
            </w:tr>
          </w:tbl>
          <w:p w14:paraId="5951FA7A">
            <w:pPr>
              <w:widowControl/>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3、噪声</w:t>
            </w:r>
          </w:p>
          <w:p w14:paraId="5867082F">
            <w:pPr>
              <w:wordWrap w:val="0"/>
              <w:spacing w:line="360" w:lineRule="auto"/>
              <w:ind w:firstLine="480" w:firstLineChars="200"/>
              <w:jc w:val="left"/>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本项目营运期各厂界噪声排放执行《工业企业厂界环境噪声排放标准》（GB12348-2008）中</w:t>
            </w:r>
            <w:r>
              <w:rPr>
                <w:rFonts w:hint="eastAsia" w:ascii="Times New Roman" w:hAnsi="Times New Roman" w:eastAsia="宋体" w:cs="Times New Roman"/>
                <w:bCs/>
                <w:color w:val="auto"/>
                <w:kern w:val="0"/>
                <w:sz w:val="24"/>
                <w:szCs w:val="24"/>
                <w:highlight w:val="none"/>
              </w:rPr>
              <w:t>2</w:t>
            </w:r>
            <w:r>
              <w:rPr>
                <w:rFonts w:ascii="Times New Roman" w:hAnsi="Times New Roman" w:eastAsia="宋体" w:cs="Times New Roman"/>
                <w:bCs/>
                <w:color w:val="auto"/>
                <w:kern w:val="0"/>
                <w:sz w:val="24"/>
                <w:szCs w:val="24"/>
                <w:highlight w:val="none"/>
              </w:rPr>
              <w:t>类标准</w:t>
            </w:r>
            <w:r>
              <w:rPr>
                <w:rFonts w:ascii="Times New Roman" w:hAnsi="Times New Roman" w:eastAsia="宋体" w:cs="Times New Roman"/>
                <w:bCs/>
                <w:color w:val="auto"/>
                <w:sz w:val="24"/>
                <w:highlight w:val="none"/>
              </w:rPr>
              <w:t>，标准值</w:t>
            </w:r>
            <w:r>
              <w:rPr>
                <w:rFonts w:ascii="Times New Roman" w:hAnsi="Times New Roman" w:eastAsia="宋体" w:cs="Times New Roman"/>
                <w:bCs/>
                <w:color w:val="auto"/>
                <w:kern w:val="0"/>
                <w:sz w:val="24"/>
                <w:szCs w:val="24"/>
                <w:highlight w:val="none"/>
              </w:rPr>
              <w:t>详见下表。</w:t>
            </w:r>
          </w:p>
          <w:p w14:paraId="74EB8CEF">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表3-</w:t>
            </w:r>
            <w:r>
              <w:rPr>
                <w:rFonts w:hint="eastAsia" w:ascii="Times New Roman" w:hAnsi="Times New Roman" w:eastAsia="黑体" w:cs="Times New Roman"/>
                <w:color w:val="auto"/>
                <w:sz w:val="24"/>
                <w:highlight w:val="none"/>
                <w:lang w:val="en-US" w:eastAsia="zh-CN"/>
              </w:rPr>
              <w:t>9</w:t>
            </w:r>
            <w:r>
              <w:rPr>
                <w:rFonts w:ascii="Times New Roman" w:hAnsi="Times New Roman" w:eastAsia="黑体" w:cs="Times New Roman"/>
                <w:color w:val="auto"/>
                <w:sz w:val="24"/>
                <w:highlight w:val="none"/>
              </w:rPr>
              <w:t xml:space="preserve">  工业企业厂界环境噪声排放标准</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1964"/>
              <w:gridCol w:w="1965"/>
            </w:tblGrid>
            <w:tr w14:paraId="0B9EF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7" w:type="pct"/>
                  <w:vMerge w:val="restart"/>
                  <w:tcBorders>
                    <w:top w:val="single" w:color="auto" w:sz="8" w:space="0"/>
                  </w:tcBorders>
                  <w:vAlign w:val="center"/>
                </w:tcPr>
                <w:p w14:paraId="3DB92C84">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标准名称</w:t>
                  </w:r>
                </w:p>
              </w:tc>
              <w:tc>
                <w:tcPr>
                  <w:tcW w:w="2503" w:type="pct"/>
                  <w:gridSpan w:val="2"/>
                  <w:tcBorders>
                    <w:top w:val="single" w:color="auto" w:sz="8" w:space="0"/>
                  </w:tcBorders>
                  <w:vAlign w:val="center"/>
                </w:tcPr>
                <w:p w14:paraId="0D9FCC71">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标准值（dB）</w:t>
                  </w:r>
                </w:p>
              </w:tc>
            </w:tr>
            <w:tr w14:paraId="458AE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7" w:type="pct"/>
                  <w:vMerge w:val="continue"/>
                  <w:vAlign w:val="center"/>
                </w:tcPr>
                <w:p w14:paraId="605688AD">
                  <w:pPr>
                    <w:snapToGrid w:val="0"/>
                    <w:spacing w:line="276" w:lineRule="auto"/>
                    <w:jc w:val="center"/>
                    <w:rPr>
                      <w:rFonts w:ascii="Times New Roman" w:hAnsi="Times New Roman" w:eastAsia="宋体" w:cs="Times New Roman"/>
                      <w:color w:val="auto"/>
                      <w:sz w:val="18"/>
                      <w:szCs w:val="18"/>
                      <w:highlight w:val="none"/>
                    </w:rPr>
                  </w:pPr>
                </w:p>
              </w:tc>
              <w:tc>
                <w:tcPr>
                  <w:tcW w:w="1251" w:type="pct"/>
                  <w:vAlign w:val="center"/>
                </w:tcPr>
                <w:p w14:paraId="03755E0B">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昼间</w:t>
                  </w:r>
                </w:p>
              </w:tc>
              <w:tc>
                <w:tcPr>
                  <w:tcW w:w="1251" w:type="pct"/>
                  <w:vAlign w:val="center"/>
                </w:tcPr>
                <w:p w14:paraId="33957D8F">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夜间</w:t>
                  </w:r>
                </w:p>
              </w:tc>
            </w:tr>
            <w:tr w14:paraId="6715B7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497" w:type="pct"/>
                  <w:tcBorders>
                    <w:bottom w:val="single" w:color="auto" w:sz="8" w:space="0"/>
                  </w:tcBorders>
                  <w:vAlign w:val="center"/>
                </w:tcPr>
                <w:p w14:paraId="15E52C8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bCs/>
                      <w:color w:val="auto"/>
                      <w:sz w:val="18"/>
                      <w:szCs w:val="18"/>
                      <w:highlight w:val="none"/>
                    </w:rPr>
                    <w:t>（GB12348-2008）中</w:t>
                  </w:r>
                  <w:r>
                    <w:rPr>
                      <w:rFonts w:hint="eastAsia" w:ascii="Times New Roman" w:hAnsi="Times New Roman" w:eastAsia="宋体" w:cs="Times New Roman"/>
                      <w:bCs/>
                      <w:color w:val="auto"/>
                      <w:sz w:val="18"/>
                      <w:szCs w:val="18"/>
                      <w:highlight w:val="none"/>
                    </w:rPr>
                    <w:t>2</w:t>
                  </w:r>
                  <w:r>
                    <w:rPr>
                      <w:rFonts w:ascii="Times New Roman" w:hAnsi="Times New Roman" w:eastAsia="宋体" w:cs="Times New Roman"/>
                      <w:bCs/>
                      <w:color w:val="auto"/>
                      <w:sz w:val="18"/>
                      <w:szCs w:val="18"/>
                      <w:highlight w:val="none"/>
                    </w:rPr>
                    <w:t>类标准</w:t>
                  </w:r>
                </w:p>
              </w:tc>
              <w:tc>
                <w:tcPr>
                  <w:tcW w:w="1251" w:type="pct"/>
                  <w:tcBorders>
                    <w:bottom w:val="single" w:color="auto" w:sz="8" w:space="0"/>
                  </w:tcBorders>
                  <w:vAlign w:val="center"/>
                </w:tcPr>
                <w:p w14:paraId="7B49E31D">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60</w:t>
                  </w:r>
                </w:p>
              </w:tc>
              <w:tc>
                <w:tcPr>
                  <w:tcW w:w="1251" w:type="pct"/>
                  <w:tcBorders>
                    <w:bottom w:val="single" w:color="auto" w:sz="8" w:space="0"/>
                  </w:tcBorders>
                  <w:vAlign w:val="center"/>
                </w:tcPr>
                <w:p w14:paraId="7E8F21E5">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50</w:t>
                  </w:r>
                </w:p>
              </w:tc>
            </w:tr>
          </w:tbl>
          <w:p w14:paraId="5917E6C3">
            <w:pPr>
              <w:spacing w:line="360" w:lineRule="auto"/>
              <w:ind w:firstLine="482" w:firstLineChars="200"/>
              <w:jc w:val="left"/>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4、固体废物</w:t>
            </w:r>
          </w:p>
          <w:p w14:paraId="556EFFB0">
            <w:pPr>
              <w:spacing w:line="360" w:lineRule="auto"/>
              <w:ind w:firstLine="480" w:firstLineChars="200"/>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按照《中华人民共和国固体废物污染环境防治法》的要求，固体废物要妥善处置，不得形成二次污染。一般工业固体</w:t>
            </w:r>
            <w:r>
              <w:rPr>
                <w:rFonts w:hint="eastAsia" w:ascii="Times New Roman" w:hAnsi="Times New Roman" w:eastAsia="宋体" w:cs="Times New Roman"/>
                <w:snapToGrid w:val="0"/>
                <w:color w:val="auto"/>
                <w:kern w:val="0"/>
                <w:sz w:val="24"/>
                <w:highlight w:val="none"/>
                <w:lang w:eastAsia="zh-CN"/>
              </w:rPr>
              <w:t>废物</w:t>
            </w:r>
            <w:r>
              <w:rPr>
                <w:rFonts w:ascii="Times New Roman" w:hAnsi="Times New Roman" w:eastAsia="宋体" w:cs="Times New Roman"/>
                <w:snapToGrid w:val="0"/>
                <w:color w:val="auto"/>
                <w:kern w:val="0"/>
                <w:sz w:val="24"/>
                <w:highlight w:val="none"/>
              </w:rPr>
              <w:t>贮存、处置参照执行《一般工业固体废物贮存和填埋污染控制标准》（GB18599-2020）；危险废物贮存执行《危险废物贮存污染控制标准》（GB18597-2023）。</w:t>
            </w:r>
          </w:p>
        </w:tc>
      </w:tr>
      <w:tr w14:paraId="15BE0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97" w:hRule="atLeast"/>
          <w:jc w:val="center"/>
        </w:trPr>
        <w:tc>
          <w:tcPr>
            <w:tcW w:w="457" w:type="dxa"/>
            <w:tcMar>
              <w:left w:w="28" w:type="dxa"/>
              <w:right w:w="28" w:type="dxa"/>
            </w:tcMar>
            <w:vAlign w:val="center"/>
          </w:tcPr>
          <w:p w14:paraId="29579778">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总量</w:t>
            </w:r>
          </w:p>
          <w:p w14:paraId="402E69C6">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控制</w:t>
            </w:r>
          </w:p>
          <w:p w14:paraId="78EA5C1D">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指标</w:t>
            </w:r>
          </w:p>
        </w:tc>
        <w:tc>
          <w:tcPr>
            <w:tcW w:w="8064" w:type="dxa"/>
            <w:vAlign w:val="center"/>
          </w:tcPr>
          <w:p w14:paraId="33FADEEB">
            <w:pPr>
              <w:adjustRightInd w:val="0"/>
              <w:snapToGrid w:val="0"/>
              <w:spacing w:line="360" w:lineRule="auto"/>
              <w:ind w:firstLine="480" w:firstLineChars="200"/>
              <w:jc w:val="left"/>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根据国家总量控制要求，结合本项目污染物排放特征，本项目大气污染物总量控制指标为烟（粉）尘</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VOCs；废水污染物总量控制指标为COD、</w:t>
            </w:r>
            <w:r>
              <w:rPr>
                <w:rFonts w:hint="eastAsia" w:ascii="Times New Roman" w:hAnsi="Times New Roman" w:eastAsia="宋体" w:cs="Times New Roman"/>
                <w:snapToGrid w:val="0"/>
                <w:color w:val="auto"/>
                <w:kern w:val="0"/>
                <w:sz w:val="24"/>
                <w:highlight w:val="none"/>
              </w:rPr>
              <w:t>氨氮</w:t>
            </w:r>
            <w:r>
              <w:rPr>
                <w:rFonts w:ascii="Times New Roman" w:hAnsi="Times New Roman" w:eastAsia="宋体" w:cs="Times New Roman"/>
                <w:snapToGrid w:val="0"/>
                <w:color w:val="auto"/>
                <w:kern w:val="0"/>
                <w:sz w:val="24"/>
                <w:highlight w:val="none"/>
              </w:rPr>
              <w:t>。其中，COD和氨氮总量指标在</w:t>
            </w:r>
            <w:r>
              <w:rPr>
                <w:rFonts w:hint="eastAsia" w:ascii="Times New Roman" w:hAnsi="Times New Roman" w:eastAsia="宋体" w:cs="Times New Roman"/>
                <w:snapToGrid w:val="0"/>
                <w:color w:val="auto"/>
                <w:kern w:val="0"/>
                <w:sz w:val="24"/>
                <w:highlight w:val="none"/>
              </w:rPr>
              <w:t>八公山污水处理厂</w:t>
            </w:r>
            <w:r>
              <w:rPr>
                <w:rFonts w:ascii="Times New Roman" w:hAnsi="Times New Roman" w:eastAsia="宋体" w:cs="Times New Roman"/>
                <w:snapToGrid w:val="0"/>
                <w:color w:val="auto"/>
                <w:kern w:val="0"/>
                <w:sz w:val="24"/>
                <w:highlight w:val="none"/>
              </w:rPr>
              <w:t>内部平衡。</w:t>
            </w:r>
          </w:p>
          <w:p w14:paraId="3390A2AC">
            <w:pPr>
              <w:adjustRightInd w:val="0"/>
              <w:snapToGrid w:val="0"/>
              <w:spacing w:line="360" w:lineRule="auto"/>
              <w:ind w:firstLine="480" w:firstLineChars="200"/>
              <w:jc w:val="left"/>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根据工程分析内容，项目排放的COD</w:t>
            </w:r>
            <w:r>
              <w:rPr>
                <w:rFonts w:hint="eastAsia" w:ascii="Times New Roman" w:hAnsi="Times New Roman" w:eastAsia="宋体" w:cs="Times New Roman"/>
                <w:snapToGrid w:val="0"/>
                <w:color w:val="auto"/>
                <w:kern w:val="0"/>
                <w:sz w:val="24"/>
                <w:highlight w:val="none"/>
              </w:rPr>
              <w:t>、</w:t>
            </w:r>
            <w:r>
              <w:rPr>
                <w:rFonts w:ascii="Times New Roman" w:hAnsi="Times New Roman" w:eastAsia="宋体" w:cs="Times New Roman"/>
                <w:snapToGrid w:val="0"/>
                <w:color w:val="auto"/>
                <w:kern w:val="0"/>
                <w:sz w:val="24"/>
                <w:highlight w:val="none"/>
              </w:rPr>
              <w:t>氨氮</w:t>
            </w:r>
            <w:r>
              <w:rPr>
                <w:rFonts w:hint="eastAsia" w:ascii="Times New Roman" w:hAnsi="Times New Roman" w:eastAsia="宋体" w:cs="Times New Roman"/>
                <w:snapToGrid w:val="0"/>
                <w:color w:val="auto"/>
                <w:kern w:val="0"/>
                <w:sz w:val="24"/>
                <w:highlight w:val="none"/>
              </w:rPr>
              <w:t>纳管量</w:t>
            </w:r>
            <w:r>
              <w:rPr>
                <w:rFonts w:ascii="Times New Roman" w:hAnsi="Times New Roman" w:eastAsia="宋体" w:cs="Times New Roman"/>
                <w:snapToGrid w:val="0"/>
                <w:color w:val="auto"/>
                <w:kern w:val="0"/>
                <w:sz w:val="24"/>
                <w:highlight w:val="none"/>
              </w:rPr>
              <w:t>分别为</w:t>
            </w:r>
            <w:r>
              <w:rPr>
                <w:rFonts w:hint="eastAsia" w:ascii="Times New Roman" w:hAnsi="Times New Roman" w:eastAsia="宋体" w:cs="Times New Roman"/>
                <w:snapToGrid w:val="0"/>
                <w:color w:val="auto"/>
                <w:kern w:val="0"/>
                <w:sz w:val="24"/>
                <w:highlight w:val="none"/>
              </w:rPr>
              <w:t>0.162</w:t>
            </w:r>
            <w:r>
              <w:rPr>
                <w:rFonts w:ascii="Times New Roman" w:hAnsi="Times New Roman" w:eastAsia="宋体" w:cs="Times New Roman"/>
                <w:snapToGrid w:val="0"/>
                <w:color w:val="auto"/>
                <w:kern w:val="0"/>
                <w:sz w:val="24"/>
                <w:highlight w:val="none"/>
              </w:rPr>
              <w:t>t/a、</w:t>
            </w:r>
            <w:r>
              <w:rPr>
                <w:rFonts w:hint="eastAsia" w:ascii="Times New Roman" w:hAnsi="Times New Roman" w:eastAsia="宋体" w:cs="Times New Roman"/>
                <w:snapToGrid w:val="0"/>
                <w:color w:val="auto"/>
                <w:kern w:val="0"/>
                <w:sz w:val="24"/>
                <w:highlight w:val="none"/>
              </w:rPr>
              <w:t>0.014</w:t>
            </w:r>
            <w:r>
              <w:rPr>
                <w:rFonts w:ascii="Times New Roman" w:hAnsi="Times New Roman" w:eastAsia="宋体" w:cs="Times New Roman"/>
                <w:snapToGrid w:val="0"/>
                <w:color w:val="auto"/>
                <w:kern w:val="0"/>
                <w:sz w:val="24"/>
                <w:highlight w:val="none"/>
              </w:rPr>
              <w:t>t/a</w:t>
            </w:r>
            <w:r>
              <w:rPr>
                <w:rFonts w:hint="eastAsia" w:ascii="Times New Roman" w:hAnsi="Times New Roman" w:eastAsia="宋体" w:cs="Times New Roman"/>
                <w:snapToGrid w:val="0"/>
                <w:color w:val="auto"/>
                <w:kern w:val="0"/>
                <w:sz w:val="24"/>
                <w:highlight w:val="none"/>
              </w:rPr>
              <w:t>，项目COD、</w:t>
            </w:r>
            <w:r>
              <w:rPr>
                <w:rFonts w:ascii="Times New Roman" w:hAnsi="Times New Roman" w:eastAsia="宋体" w:cs="Times New Roman"/>
                <w:snapToGrid w:val="0"/>
                <w:color w:val="auto"/>
                <w:kern w:val="0"/>
                <w:sz w:val="24"/>
                <w:highlight w:val="none"/>
              </w:rPr>
              <w:t>氨氮</w:t>
            </w:r>
            <w:r>
              <w:rPr>
                <w:rFonts w:hint="eastAsia" w:ascii="Times New Roman" w:hAnsi="Times New Roman" w:eastAsia="宋体" w:cs="Times New Roman"/>
                <w:snapToGrid w:val="0"/>
                <w:color w:val="auto"/>
                <w:kern w:val="0"/>
                <w:sz w:val="24"/>
                <w:highlight w:val="none"/>
              </w:rPr>
              <w:t>纳入八公山污水处理厂的排污总量，故不需要单独申请总量。</w:t>
            </w:r>
          </w:p>
          <w:p w14:paraId="4C91AFDB">
            <w:pPr>
              <w:adjustRightInd w:val="0"/>
              <w:snapToGrid w:val="0"/>
              <w:spacing w:line="360" w:lineRule="auto"/>
              <w:ind w:firstLine="480" w:firstLineChars="200"/>
              <w:jc w:val="left"/>
              <w:rPr>
                <w:rFonts w:ascii="Times New Roman" w:hAnsi="Times New Roman" w:eastAsia="宋体" w:cs="Times New Roman"/>
                <w:snapToGrid w:val="0"/>
                <w:color w:val="auto"/>
                <w:kern w:val="0"/>
                <w:sz w:val="24"/>
                <w:highlight w:val="none"/>
              </w:rPr>
            </w:pPr>
            <w:r>
              <w:rPr>
                <w:rFonts w:ascii="Times New Roman" w:hAnsi="Times New Roman" w:eastAsia="宋体" w:cs="Times New Roman"/>
                <w:snapToGrid w:val="0"/>
                <w:color w:val="auto"/>
                <w:kern w:val="0"/>
                <w:sz w:val="24"/>
                <w:highlight w:val="none"/>
              </w:rPr>
              <w:t>本项目新增大气污染物有组织排放总量为：</w:t>
            </w:r>
            <w:bookmarkStart w:id="1" w:name="_Hlk96415301"/>
            <w:bookmarkStart w:id="2" w:name="_Hlk4658859"/>
            <w:r>
              <w:rPr>
                <w:rFonts w:ascii="Times New Roman" w:hAnsi="Times New Roman" w:eastAsia="宋体" w:cs="Times New Roman"/>
                <w:snapToGrid w:val="0"/>
                <w:color w:val="auto"/>
                <w:kern w:val="0"/>
                <w:sz w:val="24"/>
                <w:highlight w:val="none"/>
              </w:rPr>
              <w:t>烟（粉）尘</w:t>
            </w:r>
            <w:r>
              <w:rPr>
                <w:rFonts w:hint="eastAsia" w:ascii="Times New Roman" w:hAnsi="Times New Roman" w:eastAsia="宋体" w:cs="Times New Roman"/>
                <w:snapToGrid w:val="0"/>
                <w:color w:val="auto"/>
                <w:kern w:val="0"/>
                <w:sz w:val="24"/>
                <w:highlight w:val="none"/>
                <w:lang w:val="en-US" w:eastAsia="zh-CN"/>
              </w:rPr>
              <w:t>0.0397</w:t>
            </w:r>
            <w:r>
              <w:rPr>
                <w:rFonts w:ascii="Times New Roman" w:hAnsi="Times New Roman" w:eastAsia="宋体" w:cs="Times New Roman"/>
                <w:snapToGrid w:val="0"/>
                <w:color w:val="auto"/>
                <w:kern w:val="0"/>
                <w:sz w:val="24"/>
                <w:highlight w:val="none"/>
              </w:rPr>
              <w:t xml:space="preserve"> t/a、VOCs </w:t>
            </w:r>
            <w:r>
              <w:rPr>
                <w:rFonts w:hint="eastAsia" w:ascii="Times New Roman" w:hAnsi="Times New Roman" w:eastAsia="宋体" w:cs="Times New Roman"/>
                <w:snapToGrid w:val="0"/>
                <w:color w:val="auto"/>
                <w:kern w:val="0"/>
                <w:sz w:val="24"/>
                <w:highlight w:val="none"/>
              </w:rPr>
              <w:t>0.012</w:t>
            </w:r>
            <w:r>
              <w:rPr>
                <w:rFonts w:ascii="Times New Roman" w:hAnsi="Times New Roman" w:eastAsia="宋体" w:cs="Times New Roman"/>
                <w:snapToGrid w:val="0"/>
                <w:color w:val="auto"/>
                <w:kern w:val="0"/>
                <w:sz w:val="24"/>
                <w:highlight w:val="none"/>
              </w:rPr>
              <w:t>t/a</w:t>
            </w:r>
            <w:bookmarkEnd w:id="1"/>
            <w:bookmarkEnd w:id="2"/>
            <w:r>
              <w:rPr>
                <w:rFonts w:hint="eastAsia" w:ascii="Times New Roman" w:hAnsi="Times New Roman" w:eastAsia="宋体" w:cs="Times New Roman"/>
                <w:snapToGrid w:val="0"/>
                <w:color w:val="auto"/>
                <w:kern w:val="0"/>
                <w:sz w:val="24"/>
                <w:highlight w:val="none"/>
              </w:rPr>
              <w:t>。</w:t>
            </w:r>
          </w:p>
          <w:p w14:paraId="7F00762F">
            <w:pPr>
              <w:spacing w:line="360" w:lineRule="auto"/>
              <w:jc w:val="left"/>
              <w:rPr>
                <w:rFonts w:ascii="Times New Roman" w:hAnsi="Times New Roman" w:eastAsia="宋体" w:cs="Times New Roman"/>
                <w:snapToGrid w:val="0"/>
                <w:color w:val="auto"/>
                <w:kern w:val="0"/>
                <w:sz w:val="24"/>
                <w:highlight w:val="none"/>
              </w:rPr>
            </w:pPr>
          </w:p>
        </w:tc>
      </w:tr>
    </w:tbl>
    <w:p w14:paraId="590AFD85">
      <w:pPr>
        <w:jc w:val="center"/>
        <w:rPr>
          <w:rFonts w:ascii="Times New Roman" w:hAnsi="Times New Roman" w:eastAsia="宋体" w:cs="Times New Roman"/>
          <w:bCs/>
          <w:color w:val="auto"/>
          <w:sz w:val="24"/>
          <w:szCs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0245079A">
      <w:pPr>
        <w:widowControl/>
        <w:snapToGrid w:val="0"/>
        <w:spacing w:line="360" w:lineRule="auto"/>
        <w:jc w:val="center"/>
        <w:outlineLvl w:val="0"/>
        <w:rPr>
          <w:rFonts w:ascii="Times New Roman" w:hAnsi="Times New Roman" w:eastAsia="宋体" w:cs="Times New Roman"/>
          <w:snapToGrid w:val="0"/>
          <w:color w:val="auto"/>
          <w:kern w:val="0"/>
          <w:sz w:val="30"/>
          <w:szCs w:val="30"/>
          <w:highlight w:val="none"/>
        </w:rPr>
      </w:pPr>
      <w:r>
        <w:rPr>
          <w:rFonts w:ascii="Times New Roman" w:hAnsi="Times New Roman" w:eastAsia="宋体" w:cs="Times New Roman"/>
          <w:snapToGrid w:val="0"/>
          <w:color w:val="auto"/>
          <w:kern w:val="0"/>
          <w:sz w:val="30"/>
          <w:szCs w:val="30"/>
          <w:highlight w:val="none"/>
        </w:rPr>
        <w:t>四、主要环境影响和保护措施</w:t>
      </w:r>
    </w:p>
    <w:tbl>
      <w:tblPr>
        <w:tblStyle w:val="18"/>
        <w:tblW w:w="84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5"/>
        <w:gridCol w:w="7953"/>
      </w:tblGrid>
      <w:tr w14:paraId="4BBB0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8" w:hRule="atLeast"/>
          <w:jc w:val="center"/>
        </w:trPr>
        <w:tc>
          <w:tcPr>
            <w:tcW w:w="495" w:type="dxa"/>
            <w:tcMar>
              <w:left w:w="28" w:type="dxa"/>
              <w:right w:w="28" w:type="dxa"/>
            </w:tcMar>
            <w:vAlign w:val="center"/>
          </w:tcPr>
          <w:p w14:paraId="11ED1BEA">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施工期环境保护措施</w:t>
            </w:r>
          </w:p>
        </w:tc>
        <w:tc>
          <w:tcPr>
            <w:tcW w:w="7953" w:type="dxa"/>
          </w:tcPr>
          <w:p w14:paraId="0AEE052F">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本项目租赁现有厂房，施工期主要是对厂房进行简单改造、设备安装，不涉及大型土建工程，产生的污染物较少。因此，本次评价仅对其进行简要定性分析和评价。</w:t>
            </w:r>
          </w:p>
          <w:p w14:paraId="3E902BE9">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施工期保护措施如下：</w:t>
            </w:r>
          </w:p>
          <w:p w14:paraId="38060352">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（1）施工人员生活废水经化粪池预处理后排入市政污水管网。</w:t>
            </w:r>
          </w:p>
          <w:p w14:paraId="501E6B2C">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（2）施工人员生活垃圾由垃圾桶收集后委托环卫清运。</w:t>
            </w:r>
          </w:p>
          <w:p w14:paraId="07105EE9">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（3）通过关闭厂房门窗降低施工噪声对周围环境的影响。</w:t>
            </w:r>
          </w:p>
          <w:p w14:paraId="1B5AB13A">
            <w:pPr>
              <w:spacing w:line="360" w:lineRule="auto"/>
              <w:ind w:firstLine="480" w:firstLineChars="200"/>
              <w:rPr>
                <w:rFonts w:ascii="Times New Roman" w:hAnsi="Times New Roman" w:eastAsia="宋体" w:cs="Times New Roman"/>
                <w:color w:val="auto"/>
                <w:sz w:val="24"/>
                <w:highlight w:val="none"/>
              </w:rPr>
            </w:pPr>
          </w:p>
          <w:p w14:paraId="61018A9A">
            <w:pPr>
              <w:spacing w:line="360" w:lineRule="auto"/>
              <w:ind w:firstLine="480" w:firstLineChars="200"/>
              <w:rPr>
                <w:rFonts w:ascii="Times New Roman" w:hAnsi="Times New Roman" w:eastAsia="宋体" w:cs="Times New Roman"/>
                <w:color w:val="auto"/>
                <w:sz w:val="24"/>
                <w:highlight w:val="none"/>
              </w:rPr>
            </w:pPr>
          </w:p>
          <w:p w14:paraId="2A6D731D">
            <w:pPr>
              <w:spacing w:line="360" w:lineRule="auto"/>
              <w:ind w:firstLine="480" w:firstLineChars="200"/>
              <w:rPr>
                <w:rFonts w:ascii="Times New Roman" w:hAnsi="Times New Roman" w:eastAsia="宋体" w:cs="Times New Roman"/>
                <w:color w:val="auto"/>
                <w:sz w:val="24"/>
                <w:highlight w:val="none"/>
              </w:rPr>
            </w:pPr>
          </w:p>
          <w:p w14:paraId="1D9FE07B">
            <w:pPr>
              <w:spacing w:line="360" w:lineRule="auto"/>
              <w:ind w:firstLine="480" w:firstLineChars="200"/>
              <w:rPr>
                <w:rFonts w:ascii="Times New Roman" w:hAnsi="Times New Roman" w:eastAsia="宋体" w:cs="Times New Roman"/>
                <w:color w:val="auto"/>
                <w:sz w:val="24"/>
                <w:highlight w:val="none"/>
              </w:rPr>
            </w:pPr>
          </w:p>
          <w:p w14:paraId="0F23806B">
            <w:pPr>
              <w:spacing w:line="360" w:lineRule="auto"/>
              <w:ind w:firstLine="480" w:firstLineChars="200"/>
              <w:rPr>
                <w:rFonts w:ascii="Times New Roman" w:hAnsi="Times New Roman" w:eastAsia="宋体" w:cs="Times New Roman"/>
                <w:color w:val="auto"/>
                <w:sz w:val="24"/>
                <w:highlight w:val="none"/>
              </w:rPr>
            </w:pPr>
          </w:p>
          <w:p w14:paraId="08037EEA">
            <w:pPr>
              <w:spacing w:line="360" w:lineRule="auto"/>
              <w:ind w:firstLine="480" w:firstLineChars="200"/>
              <w:rPr>
                <w:rFonts w:ascii="Times New Roman" w:hAnsi="Times New Roman" w:eastAsia="宋体" w:cs="Times New Roman"/>
                <w:color w:val="auto"/>
                <w:sz w:val="24"/>
                <w:highlight w:val="none"/>
              </w:rPr>
            </w:pPr>
          </w:p>
          <w:p w14:paraId="4355A48C">
            <w:pPr>
              <w:spacing w:line="360" w:lineRule="auto"/>
              <w:ind w:firstLine="480" w:firstLineChars="200"/>
              <w:rPr>
                <w:rFonts w:ascii="Times New Roman" w:hAnsi="Times New Roman" w:eastAsia="宋体" w:cs="Times New Roman"/>
                <w:color w:val="auto"/>
                <w:sz w:val="24"/>
                <w:highlight w:val="none"/>
              </w:rPr>
            </w:pPr>
          </w:p>
          <w:p w14:paraId="1797D8AE">
            <w:pPr>
              <w:spacing w:line="360" w:lineRule="auto"/>
              <w:ind w:firstLine="480" w:firstLineChars="200"/>
              <w:rPr>
                <w:rFonts w:ascii="Times New Roman" w:hAnsi="Times New Roman" w:eastAsia="宋体" w:cs="Times New Roman"/>
                <w:color w:val="auto"/>
                <w:sz w:val="24"/>
                <w:highlight w:val="none"/>
              </w:rPr>
            </w:pPr>
          </w:p>
          <w:p w14:paraId="3DA5D348">
            <w:pPr>
              <w:spacing w:line="360" w:lineRule="auto"/>
              <w:ind w:firstLine="480" w:firstLineChars="200"/>
              <w:rPr>
                <w:rFonts w:ascii="Times New Roman" w:hAnsi="Times New Roman" w:eastAsia="宋体" w:cs="Times New Roman"/>
                <w:color w:val="auto"/>
                <w:sz w:val="24"/>
                <w:highlight w:val="none"/>
              </w:rPr>
            </w:pPr>
          </w:p>
          <w:p w14:paraId="04F7C96F">
            <w:pPr>
              <w:spacing w:line="360" w:lineRule="auto"/>
              <w:ind w:firstLine="480" w:firstLineChars="200"/>
              <w:rPr>
                <w:rFonts w:ascii="Times New Roman" w:hAnsi="Times New Roman" w:eastAsia="宋体" w:cs="Times New Roman"/>
                <w:color w:val="auto"/>
                <w:sz w:val="24"/>
                <w:highlight w:val="none"/>
              </w:rPr>
            </w:pPr>
          </w:p>
          <w:p w14:paraId="4F88BE05">
            <w:pPr>
              <w:spacing w:line="360" w:lineRule="auto"/>
              <w:ind w:firstLine="480" w:firstLineChars="200"/>
              <w:rPr>
                <w:rFonts w:ascii="Times New Roman" w:hAnsi="Times New Roman" w:eastAsia="宋体" w:cs="Times New Roman"/>
                <w:color w:val="auto"/>
                <w:sz w:val="24"/>
                <w:highlight w:val="none"/>
              </w:rPr>
            </w:pPr>
          </w:p>
          <w:p w14:paraId="48520A28">
            <w:pPr>
              <w:spacing w:line="360" w:lineRule="auto"/>
              <w:ind w:firstLine="480" w:firstLineChars="200"/>
              <w:rPr>
                <w:rFonts w:ascii="Times New Roman" w:hAnsi="Times New Roman" w:eastAsia="宋体" w:cs="Times New Roman"/>
                <w:color w:val="auto"/>
                <w:sz w:val="24"/>
                <w:highlight w:val="none"/>
              </w:rPr>
            </w:pPr>
          </w:p>
          <w:p w14:paraId="322F31E8">
            <w:pPr>
              <w:spacing w:line="360" w:lineRule="auto"/>
              <w:ind w:firstLine="480" w:firstLineChars="200"/>
              <w:rPr>
                <w:rFonts w:ascii="Times New Roman" w:hAnsi="Times New Roman" w:eastAsia="宋体" w:cs="Times New Roman"/>
                <w:color w:val="auto"/>
                <w:sz w:val="24"/>
                <w:highlight w:val="none"/>
              </w:rPr>
            </w:pPr>
          </w:p>
          <w:p w14:paraId="492E9EC3">
            <w:pPr>
              <w:spacing w:line="360" w:lineRule="auto"/>
              <w:ind w:firstLine="480" w:firstLineChars="200"/>
              <w:rPr>
                <w:rFonts w:ascii="Times New Roman" w:hAnsi="Times New Roman" w:eastAsia="宋体" w:cs="Times New Roman"/>
                <w:color w:val="auto"/>
                <w:sz w:val="24"/>
                <w:highlight w:val="none"/>
              </w:rPr>
            </w:pPr>
          </w:p>
          <w:p w14:paraId="111CB075">
            <w:pPr>
              <w:spacing w:line="360" w:lineRule="auto"/>
              <w:ind w:firstLine="480" w:firstLineChars="200"/>
              <w:rPr>
                <w:rFonts w:ascii="Times New Roman" w:hAnsi="Times New Roman" w:eastAsia="宋体" w:cs="Times New Roman"/>
                <w:color w:val="auto"/>
                <w:sz w:val="24"/>
                <w:highlight w:val="none"/>
              </w:rPr>
            </w:pPr>
          </w:p>
          <w:p w14:paraId="4B46CD60">
            <w:pPr>
              <w:spacing w:line="360" w:lineRule="auto"/>
              <w:rPr>
                <w:rFonts w:ascii="Times New Roman" w:hAnsi="Times New Roman" w:eastAsia="宋体" w:cs="Times New Roman"/>
                <w:color w:val="auto"/>
                <w:sz w:val="24"/>
                <w:highlight w:val="none"/>
              </w:rPr>
            </w:pPr>
          </w:p>
          <w:p w14:paraId="75126EBB">
            <w:pPr>
              <w:spacing w:line="360" w:lineRule="auto"/>
              <w:rPr>
                <w:rFonts w:ascii="Times New Roman" w:hAnsi="Times New Roman" w:eastAsia="宋体" w:cs="Times New Roman"/>
                <w:color w:val="auto"/>
                <w:sz w:val="24"/>
                <w:highlight w:val="none"/>
              </w:rPr>
            </w:pPr>
          </w:p>
        </w:tc>
      </w:tr>
      <w:tr w14:paraId="73D78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15" w:hRule="atLeast"/>
          <w:jc w:val="center"/>
        </w:trPr>
        <w:tc>
          <w:tcPr>
            <w:tcW w:w="495" w:type="dxa"/>
            <w:tcMar>
              <w:left w:w="28" w:type="dxa"/>
              <w:right w:w="28" w:type="dxa"/>
            </w:tcMar>
            <w:vAlign w:val="center"/>
          </w:tcPr>
          <w:p w14:paraId="3653AF45">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运营</w:t>
            </w:r>
          </w:p>
          <w:p w14:paraId="6F0D8F5F">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期环</w:t>
            </w:r>
          </w:p>
          <w:p w14:paraId="7F9BD4D4">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境影</w:t>
            </w:r>
          </w:p>
          <w:p w14:paraId="158F6C4F">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响和</w:t>
            </w:r>
          </w:p>
          <w:p w14:paraId="1EB6C895">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保护</w:t>
            </w:r>
          </w:p>
          <w:p w14:paraId="07147D93">
            <w:pPr>
              <w:widowControl/>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措施</w:t>
            </w:r>
          </w:p>
        </w:tc>
        <w:tc>
          <w:tcPr>
            <w:tcW w:w="7953" w:type="dxa"/>
          </w:tcPr>
          <w:p w14:paraId="004A087D">
            <w:pPr>
              <w:spacing w:line="360" w:lineRule="auto"/>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一、运营期水环境影响和保护措施</w:t>
            </w:r>
          </w:p>
          <w:p w14:paraId="691DC5E7">
            <w:pPr>
              <w:spacing w:line="360" w:lineRule="auto"/>
              <w:ind w:firstLine="442" w:firstLineChars="200"/>
              <w:rPr>
                <w:rFonts w:ascii="Times New Roman" w:hAnsi="Times New Roman" w:eastAsia="宋体" w:cs="Times New Roman"/>
                <w:b/>
                <w:bCs/>
                <w:color w:val="auto"/>
                <w:spacing w:val="-10"/>
                <w:sz w:val="24"/>
                <w:szCs w:val="24"/>
                <w:highlight w:val="none"/>
              </w:rPr>
            </w:pPr>
            <w:r>
              <w:rPr>
                <w:rFonts w:ascii="Times New Roman" w:hAnsi="Times New Roman" w:eastAsia="宋体" w:cs="Times New Roman"/>
                <w:b/>
                <w:bCs/>
                <w:color w:val="auto"/>
                <w:spacing w:val="-10"/>
                <w:sz w:val="24"/>
                <w:szCs w:val="24"/>
                <w:highlight w:val="none"/>
              </w:rPr>
              <w:t>1、运营期水环境影响分析</w:t>
            </w:r>
          </w:p>
          <w:p w14:paraId="4BDB161C">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根据工程分析，本项目用水为生活用水，废水主要</w:t>
            </w:r>
            <w:r>
              <w:rPr>
                <w:rFonts w:hint="eastAsia" w:ascii="Times New Roman" w:hAnsi="Times New Roman" w:eastAsia="宋体" w:cs="Times New Roman"/>
                <w:color w:val="auto"/>
                <w:sz w:val="24"/>
                <w:highlight w:val="none"/>
              </w:rPr>
              <w:t>为</w:t>
            </w:r>
            <w:r>
              <w:rPr>
                <w:rFonts w:ascii="Times New Roman" w:hAnsi="Times New Roman" w:eastAsia="宋体" w:cs="Times New Roman"/>
                <w:color w:val="auto"/>
                <w:sz w:val="24"/>
                <w:highlight w:val="none"/>
              </w:rPr>
              <w:t>生活污水，无生产废水。</w:t>
            </w:r>
          </w:p>
          <w:p w14:paraId="1E06FCC9">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8"/>
                <w:highlight w:val="none"/>
              </w:rPr>
              <w:t>根据建设单位提供资料，</w:t>
            </w:r>
            <w:r>
              <w:rPr>
                <w:rFonts w:ascii="Times New Roman" w:hAnsi="Times New Roman" w:eastAsia="宋体" w:cs="Times New Roman"/>
                <w:color w:val="auto"/>
                <w:sz w:val="24"/>
                <w:szCs w:val="24"/>
                <w:highlight w:val="none"/>
              </w:rPr>
              <w:t>本项目投入生产后劳动定员45人。</w:t>
            </w:r>
            <w:r>
              <w:rPr>
                <w:rFonts w:ascii="Times New Roman" w:hAnsi="Times New Roman" w:eastAsia="宋体" w:cs="Times New Roman"/>
                <w:color w:val="auto"/>
                <w:sz w:val="24"/>
                <w:highlight w:val="none"/>
              </w:rPr>
              <w:t>根据《安徽省行业用水定额》（DB34/T 679-2014），人员用水量以50L/（人·d）计，则用水量为2.25m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/d，合</w:t>
            </w:r>
            <w:r>
              <w:rPr>
                <w:rFonts w:ascii="Times New Roman" w:hAnsi="Times New Roman" w:eastAsia="宋体" w:cs="Times New Roman"/>
                <w:color w:val="auto"/>
                <w:sz w:val="24"/>
                <w:szCs w:val="28"/>
                <w:highlight w:val="none"/>
              </w:rPr>
              <w:t>计年用水量为</w:t>
            </w:r>
            <w:r>
              <w:rPr>
                <w:rFonts w:ascii="Times New Roman" w:hAnsi="Times New Roman" w:eastAsia="宋体" w:cs="Times New Roman"/>
                <w:color w:val="auto"/>
                <w:sz w:val="24"/>
                <w:highlight w:val="none"/>
              </w:rPr>
              <w:t>675m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/a。</w:t>
            </w:r>
            <w:r>
              <w:rPr>
                <w:rFonts w:ascii="Times New Roman" w:hAnsi="Times New Roman" w:eastAsia="宋体" w:cs="Times New Roman"/>
                <w:color w:val="auto"/>
                <w:sz w:val="24"/>
                <w:szCs w:val="28"/>
                <w:highlight w:val="none"/>
              </w:rPr>
              <w:t>根据《环境统计手册》，生活污水的产生量取用水量的80%，则生活污水产生量约为1.8</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/d（540m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/a）。生活污水经化粪池处理后接管至市政污水管网，送至八公山污水处理厂处理，</w:t>
            </w:r>
          </w:p>
          <w:p w14:paraId="316A6890">
            <w:pPr>
              <w:spacing w:line="360" w:lineRule="auto"/>
              <w:ind w:firstLine="470" w:firstLineChars="196"/>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本项目废水产生情况见下表：</w:t>
            </w:r>
          </w:p>
          <w:p w14:paraId="431CF886">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  项目废水产生及排放情况一览表</w:t>
            </w:r>
          </w:p>
          <w:tbl>
            <w:tblPr>
              <w:tblStyle w:val="18"/>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009"/>
              <w:gridCol w:w="944"/>
              <w:gridCol w:w="1009"/>
              <w:gridCol w:w="944"/>
              <w:gridCol w:w="1038"/>
              <w:gridCol w:w="1036"/>
              <w:gridCol w:w="807"/>
            </w:tblGrid>
            <w:tr w14:paraId="5E5F31A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0" w:type="pct"/>
                  <w:vMerge w:val="restart"/>
                  <w:tcBorders>
                    <w:tl2br w:val="nil"/>
                    <w:tr2bl w:val="nil"/>
                  </w:tcBorders>
                  <w:shd w:val="clear" w:color="auto" w:fill="auto"/>
                  <w:vAlign w:val="center"/>
                </w:tcPr>
                <w:p w14:paraId="38033BE8">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污染源</w:t>
                  </w:r>
                </w:p>
              </w:tc>
              <w:tc>
                <w:tcPr>
                  <w:tcW w:w="652" w:type="pct"/>
                  <w:vMerge w:val="restart"/>
                  <w:tcBorders>
                    <w:tl2br w:val="nil"/>
                    <w:tr2bl w:val="nil"/>
                  </w:tcBorders>
                  <w:shd w:val="clear" w:color="auto" w:fill="auto"/>
                  <w:vAlign w:val="center"/>
                </w:tcPr>
                <w:p w14:paraId="578A25F5">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废水量（</w:t>
                  </w:r>
                  <w:r>
                    <w:rPr>
                      <w:rFonts w:ascii="Times New Roman" w:hAnsi="Times New Roman" w:eastAsia="宋体" w:cs="Times New Roman"/>
                      <w:color w:val="auto"/>
                      <w:kern w:val="0"/>
                      <w:sz w:val="18"/>
                      <w:szCs w:val="18"/>
                      <w:highlight w:val="none"/>
                    </w:rPr>
                    <w:t>m</w:t>
                  </w:r>
                  <w:r>
                    <w:rPr>
                      <w:rFonts w:ascii="Times New Roman" w:hAnsi="Times New Roman" w:eastAsia="宋体" w:cs="Times New Roman"/>
                      <w:color w:val="auto"/>
                      <w:kern w:val="0"/>
                      <w:sz w:val="18"/>
                      <w:szCs w:val="18"/>
                      <w:highlight w:val="none"/>
                      <w:vertAlign w:val="superscript"/>
                    </w:rPr>
                    <w:t>3</w:t>
                  </w:r>
                  <w:r>
                    <w:rPr>
                      <w:rFonts w:ascii="Times New Roman" w:hAnsi="Times New Roman" w:eastAsia="宋体" w:cs="Times New Roman"/>
                      <w:color w:val="auto"/>
                      <w:kern w:val="0"/>
                      <w:sz w:val="18"/>
                      <w:szCs w:val="18"/>
                      <w:highlight w:val="none"/>
                    </w:rPr>
                    <w:t>/a）</w:t>
                  </w:r>
                </w:p>
              </w:tc>
              <w:tc>
                <w:tcPr>
                  <w:tcW w:w="610" w:type="pct"/>
                  <w:vMerge w:val="restart"/>
                  <w:tcBorders>
                    <w:tl2br w:val="nil"/>
                    <w:tr2bl w:val="nil"/>
                  </w:tcBorders>
                  <w:shd w:val="clear" w:color="auto" w:fill="auto"/>
                  <w:vAlign w:val="center"/>
                </w:tcPr>
                <w:p w14:paraId="03709C4C">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污染物种类</w:t>
                  </w:r>
                </w:p>
              </w:tc>
              <w:tc>
                <w:tcPr>
                  <w:tcW w:w="1262" w:type="pct"/>
                  <w:gridSpan w:val="2"/>
                  <w:tcBorders>
                    <w:tl2br w:val="nil"/>
                    <w:tr2bl w:val="nil"/>
                  </w:tcBorders>
                  <w:shd w:val="clear" w:color="auto" w:fill="auto"/>
                  <w:vAlign w:val="center"/>
                </w:tcPr>
                <w:p w14:paraId="3FADF437">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污染物产生情况</w:t>
                  </w:r>
                </w:p>
              </w:tc>
              <w:tc>
                <w:tcPr>
                  <w:tcW w:w="671" w:type="pct"/>
                  <w:vMerge w:val="restart"/>
                  <w:tcBorders>
                    <w:tl2br w:val="nil"/>
                    <w:tr2bl w:val="nil"/>
                  </w:tcBorders>
                  <w:shd w:val="clear" w:color="auto" w:fill="auto"/>
                  <w:vAlign w:val="center"/>
                </w:tcPr>
                <w:p w14:paraId="70F369BF">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治理措施</w:t>
                  </w:r>
                </w:p>
              </w:tc>
              <w:tc>
                <w:tcPr>
                  <w:tcW w:w="1192" w:type="pct"/>
                  <w:gridSpan w:val="2"/>
                  <w:tcBorders>
                    <w:tl2br w:val="nil"/>
                    <w:tr2bl w:val="nil"/>
                  </w:tcBorders>
                  <w:shd w:val="clear" w:color="auto" w:fill="auto"/>
                  <w:vAlign w:val="center"/>
                </w:tcPr>
                <w:p w14:paraId="660D6EEE">
                  <w:pPr>
                    <w:widowControl/>
                    <w:adjustRightInd w:val="0"/>
                    <w:snapToGrid w:val="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排放情况</w:t>
                  </w:r>
                </w:p>
                <w:p w14:paraId="6D715BBF">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（排入外环境）</w:t>
                  </w:r>
                </w:p>
              </w:tc>
            </w:tr>
            <w:tr w14:paraId="7D53DB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0" w:type="pct"/>
                  <w:vMerge w:val="continue"/>
                  <w:tcBorders>
                    <w:tl2br w:val="nil"/>
                    <w:tr2bl w:val="nil"/>
                  </w:tcBorders>
                  <w:shd w:val="clear" w:color="auto" w:fill="auto"/>
                  <w:vAlign w:val="center"/>
                </w:tcPr>
                <w:p w14:paraId="5F7C154A">
                  <w:pPr>
                    <w:widowControl/>
                    <w:adjustRightInd w:val="0"/>
                    <w:snapToGrid w:val="0"/>
                    <w:jc w:val="center"/>
                    <w:rPr>
                      <w:rFonts w:ascii="Times New Roman" w:hAnsi="Times New Roman" w:eastAsia="宋体" w:cs="Times New Roman"/>
                      <w:b/>
                      <w:bCs/>
                      <w:color w:val="auto"/>
                      <w:sz w:val="18"/>
                      <w:szCs w:val="18"/>
                      <w:highlight w:val="none"/>
                    </w:rPr>
                  </w:pPr>
                </w:p>
              </w:tc>
              <w:tc>
                <w:tcPr>
                  <w:tcW w:w="652" w:type="pct"/>
                  <w:vMerge w:val="continue"/>
                  <w:tcBorders>
                    <w:tl2br w:val="nil"/>
                    <w:tr2bl w:val="nil"/>
                  </w:tcBorders>
                  <w:shd w:val="clear" w:color="auto" w:fill="auto"/>
                  <w:vAlign w:val="center"/>
                </w:tcPr>
                <w:p w14:paraId="37829D71">
                  <w:pPr>
                    <w:widowControl/>
                    <w:adjustRightInd w:val="0"/>
                    <w:snapToGrid w:val="0"/>
                    <w:jc w:val="center"/>
                    <w:rPr>
                      <w:rFonts w:ascii="Times New Roman" w:hAnsi="Times New Roman" w:eastAsia="宋体" w:cs="Times New Roman"/>
                      <w:b/>
                      <w:bCs/>
                      <w:color w:val="auto"/>
                      <w:sz w:val="18"/>
                      <w:szCs w:val="18"/>
                      <w:highlight w:val="none"/>
                    </w:rPr>
                  </w:pPr>
                </w:p>
              </w:tc>
              <w:tc>
                <w:tcPr>
                  <w:tcW w:w="610" w:type="pct"/>
                  <w:vMerge w:val="continue"/>
                  <w:tcBorders>
                    <w:tl2br w:val="nil"/>
                    <w:tr2bl w:val="nil"/>
                  </w:tcBorders>
                  <w:shd w:val="clear" w:color="auto" w:fill="auto"/>
                  <w:vAlign w:val="center"/>
                </w:tcPr>
                <w:p w14:paraId="1F7B9DF1">
                  <w:pPr>
                    <w:widowControl/>
                    <w:adjustRightInd w:val="0"/>
                    <w:snapToGrid w:val="0"/>
                    <w:jc w:val="center"/>
                    <w:rPr>
                      <w:rFonts w:ascii="Times New Roman" w:hAnsi="Times New Roman" w:eastAsia="宋体" w:cs="Times New Roman"/>
                      <w:b/>
                      <w:bCs/>
                      <w:color w:val="auto"/>
                      <w:sz w:val="18"/>
                      <w:szCs w:val="18"/>
                      <w:highlight w:val="none"/>
                    </w:rPr>
                  </w:pPr>
                </w:p>
              </w:tc>
              <w:tc>
                <w:tcPr>
                  <w:tcW w:w="652" w:type="pct"/>
                  <w:tcBorders>
                    <w:tl2br w:val="nil"/>
                    <w:tr2bl w:val="nil"/>
                  </w:tcBorders>
                  <w:shd w:val="clear" w:color="auto" w:fill="auto"/>
                  <w:vAlign w:val="center"/>
                </w:tcPr>
                <w:p w14:paraId="6474A458">
                  <w:pPr>
                    <w:widowControl/>
                    <w:adjustRightInd w:val="0"/>
                    <w:snapToGrid w:val="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产生浓度</w:t>
                  </w:r>
                </w:p>
                <w:p w14:paraId="3F058C59">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（mg/L）</w:t>
                  </w:r>
                </w:p>
              </w:tc>
              <w:tc>
                <w:tcPr>
                  <w:tcW w:w="610" w:type="pct"/>
                  <w:tcBorders>
                    <w:tl2br w:val="nil"/>
                    <w:tr2bl w:val="nil"/>
                  </w:tcBorders>
                  <w:shd w:val="clear" w:color="auto" w:fill="auto"/>
                  <w:vAlign w:val="center"/>
                </w:tcPr>
                <w:p w14:paraId="53B22BC7">
                  <w:pPr>
                    <w:widowControl/>
                    <w:adjustRightInd w:val="0"/>
                    <w:snapToGrid w:val="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产生量</w:t>
                  </w:r>
                </w:p>
                <w:p w14:paraId="024E4E45">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（t/a）</w:t>
                  </w:r>
                </w:p>
              </w:tc>
              <w:tc>
                <w:tcPr>
                  <w:tcW w:w="671" w:type="pct"/>
                  <w:vMerge w:val="continue"/>
                  <w:tcBorders>
                    <w:tl2br w:val="nil"/>
                    <w:tr2bl w:val="nil"/>
                  </w:tcBorders>
                  <w:shd w:val="clear" w:color="auto" w:fill="auto"/>
                  <w:vAlign w:val="center"/>
                </w:tcPr>
                <w:p w14:paraId="779AE8A4">
                  <w:pPr>
                    <w:widowControl/>
                    <w:adjustRightInd w:val="0"/>
                    <w:snapToGrid w:val="0"/>
                    <w:jc w:val="center"/>
                    <w:rPr>
                      <w:rFonts w:ascii="Times New Roman" w:hAnsi="Times New Roman" w:eastAsia="宋体" w:cs="Times New Roman"/>
                      <w:b/>
                      <w:bCs/>
                      <w:color w:val="auto"/>
                      <w:sz w:val="18"/>
                      <w:szCs w:val="18"/>
                      <w:highlight w:val="none"/>
                    </w:rPr>
                  </w:pPr>
                </w:p>
              </w:tc>
              <w:tc>
                <w:tcPr>
                  <w:tcW w:w="670" w:type="pct"/>
                  <w:tcBorders>
                    <w:tl2br w:val="nil"/>
                    <w:tr2bl w:val="nil"/>
                  </w:tcBorders>
                  <w:shd w:val="clear" w:color="auto" w:fill="auto"/>
                  <w:vAlign w:val="center"/>
                </w:tcPr>
                <w:p w14:paraId="29235E27">
                  <w:pPr>
                    <w:widowControl/>
                    <w:adjustRightInd w:val="0"/>
                    <w:snapToGrid w:val="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排放浓度</w:t>
                  </w:r>
                </w:p>
                <w:p w14:paraId="13B4EDD4">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（mg/L）</w:t>
                  </w:r>
                </w:p>
              </w:tc>
              <w:tc>
                <w:tcPr>
                  <w:tcW w:w="521" w:type="pct"/>
                  <w:tcBorders>
                    <w:tl2br w:val="nil"/>
                    <w:tr2bl w:val="nil"/>
                  </w:tcBorders>
                  <w:shd w:val="clear" w:color="auto" w:fill="auto"/>
                  <w:vAlign w:val="center"/>
                </w:tcPr>
                <w:p w14:paraId="310E91FA">
                  <w:pPr>
                    <w:widowControl/>
                    <w:adjustRightInd w:val="0"/>
                    <w:snapToGrid w:val="0"/>
                    <w:jc w:val="center"/>
                    <w:textAlignment w:val="center"/>
                    <w:rPr>
                      <w:rFonts w:ascii="Times New Roman" w:hAnsi="Times New Roman" w:eastAsia="宋体" w:cs="Times New Roman"/>
                      <w:b/>
                      <w:bCs/>
                      <w:color w:val="auto"/>
                      <w:kern w:val="0"/>
                      <w:sz w:val="18"/>
                      <w:szCs w:val="18"/>
                      <w:highlight w:val="none"/>
                    </w:rPr>
                  </w:pPr>
                  <w:r>
                    <w:rPr>
                      <w:rFonts w:ascii="Times New Roman" w:hAnsi="Times New Roman" w:eastAsia="宋体" w:cs="Times New Roman"/>
                      <w:b/>
                      <w:bCs/>
                      <w:color w:val="auto"/>
                      <w:kern w:val="0"/>
                      <w:sz w:val="18"/>
                      <w:szCs w:val="18"/>
                      <w:highlight w:val="none"/>
                    </w:rPr>
                    <w:t>排放量</w:t>
                  </w:r>
                </w:p>
                <w:p w14:paraId="1D733047">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（t/a）</w:t>
                  </w:r>
                </w:p>
              </w:tc>
            </w:tr>
            <w:tr w14:paraId="4272F8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0" w:type="pct"/>
                  <w:vMerge w:val="restart"/>
                  <w:tcBorders>
                    <w:tl2br w:val="nil"/>
                    <w:tr2bl w:val="nil"/>
                  </w:tcBorders>
                  <w:shd w:val="clear" w:color="auto" w:fill="auto"/>
                  <w:vAlign w:val="center"/>
                </w:tcPr>
                <w:p w14:paraId="3EC6493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生活污水</w:t>
                  </w:r>
                </w:p>
              </w:tc>
              <w:tc>
                <w:tcPr>
                  <w:tcW w:w="652" w:type="pct"/>
                  <w:vMerge w:val="restart"/>
                  <w:tcBorders>
                    <w:tl2br w:val="nil"/>
                    <w:tr2bl w:val="nil"/>
                  </w:tcBorders>
                  <w:shd w:val="clear" w:color="auto" w:fill="auto"/>
                  <w:vAlign w:val="center"/>
                </w:tcPr>
                <w:p w14:paraId="293D397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540</w:t>
                  </w:r>
                </w:p>
              </w:tc>
              <w:tc>
                <w:tcPr>
                  <w:tcW w:w="610" w:type="pct"/>
                  <w:tcBorders>
                    <w:tl2br w:val="nil"/>
                    <w:tr2bl w:val="nil"/>
                  </w:tcBorders>
                  <w:shd w:val="clear" w:color="auto" w:fill="auto"/>
                  <w:vAlign w:val="center"/>
                </w:tcPr>
                <w:p w14:paraId="5C14AD8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COD</w:t>
                  </w:r>
                  <w:r>
                    <w:rPr>
                      <w:rFonts w:ascii="Times New Roman" w:hAnsi="Times New Roman" w:eastAsia="宋体" w:cs="Times New Roman"/>
                      <w:color w:val="auto"/>
                      <w:kern w:val="0"/>
                      <w:sz w:val="18"/>
                      <w:szCs w:val="18"/>
                      <w:highlight w:val="none"/>
                      <w:vertAlign w:val="subscript"/>
                    </w:rPr>
                    <w:t>Cr</w:t>
                  </w:r>
                </w:p>
              </w:tc>
              <w:tc>
                <w:tcPr>
                  <w:tcW w:w="652" w:type="pct"/>
                  <w:tcBorders>
                    <w:tl2br w:val="nil"/>
                    <w:tr2bl w:val="nil"/>
                  </w:tcBorders>
                  <w:shd w:val="clear" w:color="auto" w:fill="auto"/>
                  <w:vAlign w:val="center"/>
                </w:tcPr>
                <w:p w14:paraId="56A55C1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300</w:t>
                  </w:r>
                </w:p>
              </w:tc>
              <w:tc>
                <w:tcPr>
                  <w:tcW w:w="944" w:type="dxa"/>
                  <w:tcBorders>
                    <w:tl2br w:val="nil"/>
                    <w:tr2bl w:val="nil"/>
                  </w:tcBorders>
                  <w:shd w:val="clear" w:color="auto" w:fill="auto"/>
                  <w:vAlign w:val="center"/>
                </w:tcPr>
                <w:p w14:paraId="592A2A5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0.162</w:t>
                  </w:r>
                </w:p>
              </w:tc>
              <w:tc>
                <w:tcPr>
                  <w:tcW w:w="671" w:type="pct"/>
                  <w:vMerge w:val="restart"/>
                  <w:tcBorders>
                    <w:tl2br w:val="nil"/>
                    <w:tr2bl w:val="nil"/>
                  </w:tcBorders>
                  <w:shd w:val="clear" w:color="auto" w:fill="auto"/>
                  <w:vAlign w:val="center"/>
                </w:tcPr>
                <w:p w14:paraId="51293221">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经化粪池处理后接管至市政污水管网，送至八公山污水处理厂处理后排入淮河</w:t>
                  </w:r>
                </w:p>
              </w:tc>
              <w:tc>
                <w:tcPr>
                  <w:tcW w:w="670" w:type="pct"/>
                  <w:tcBorders>
                    <w:tl2br w:val="nil"/>
                    <w:tr2bl w:val="nil"/>
                  </w:tcBorders>
                  <w:shd w:val="clear" w:color="auto" w:fill="auto"/>
                  <w:vAlign w:val="center"/>
                </w:tcPr>
                <w:p w14:paraId="78FEE10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50</w:t>
                  </w:r>
                </w:p>
              </w:tc>
              <w:tc>
                <w:tcPr>
                  <w:tcW w:w="521" w:type="pct"/>
                  <w:tcBorders>
                    <w:tl2br w:val="nil"/>
                    <w:tr2bl w:val="nil"/>
                  </w:tcBorders>
                  <w:shd w:val="clear" w:color="auto" w:fill="auto"/>
                  <w:vAlign w:val="center"/>
                </w:tcPr>
                <w:p w14:paraId="6B3B83C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0.027</w:t>
                  </w:r>
                </w:p>
              </w:tc>
            </w:tr>
            <w:tr w14:paraId="54276C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0" w:type="pct"/>
                  <w:vMerge w:val="continue"/>
                  <w:tcBorders>
                    <w:tl2br w:val="nil"/>
                    <w:tr2bl w:val="nil"/>
                  </w:tcBorders>
                  <w:shd w:val="clear" w:color="auto" w:fill="auto"/>
                  <w:vAlign w:val="center"/>
                </w:tcPr>
                <w:p w14:paraId="4E724875">
                  <w:pPr>
                    <w:widowControl/>
                    <w:adjustRightInd w:val="0"/>
                    <w:snapToGrid w:val="0"/>
                    <w:jc w:val="center"/>
                    <w:rPr>
                      <w:rFonts w:ascii="Times New Roman" w:hAnsi="Times New Roman" w:eastAsia="宋体" w:cs="Times New Roman"/>
                      <w:color w:val="auto"/>
                      <w:sz w:val="18"/>
                      <w:szCs w:val="18"/>
                      <w:highlight w:val="none"/>
                    </w:rPr>
                  </w:pPr>
                </w:p>
              </w:tc>
              <w:tc>
                <w:tcPr>
                  <w:tcW w:w="652" w:type="pct"/>
                  <w:vMerge w:val="continue"/>
                  <w:tcBorders>
                    <w:tl2br w:val="nil"/>
                    <w:tr2bl w:val="nil"/>
                  </w:tcBorders>
                  <w:shd w:val="clear" w:color="auto" w:fill="auto"/>
                  <w:vAlign w:val="center"/>
                </w:tcPr>
                <w:p w14:paraId="4C9BE2EE">
                  <w:pPr>
                    <w:widowControl/>
                    <w:adjustRightInd w:val="0"/>
                    <w:snapToGrid w:val="0"/>
                    <w:jc w:val="center"/>
                    <w:rPr>
                      <w:rFonts w:ascii="Times New Roman" w:hAnsi="Times New Roman" w:eastAsia="宋体" w:cs="Times New Roman"/>
                      <w:color w:val="auto"/>
                      <w:sz w:val="18"/>
                      <w:szCs w:val="18"/>
                      <w:highlight w:val="none"/>
                    </w:rPr>
                  </w:pPr>
                </w:p>
              </w:tc>
              <w:tc>
                <w:tcPr>
                  <w:tcW w:w="610" w:type="pct"/>
                  <w:tcBorders>
                    <w:tl2br w:val="nil"/>
                    <w:tr2bl w:val="nil"/>
                  </w:tcBorders>
                  <w:shd w:val="clear" w:color="auto" w:fill="auto"/>
                  <w:vAlign w:val="center"/>
                </w:tcPr>
                <w:p w14:paraId="01CBC09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BOD</w:t>
                  </w:r>
                  <w:r>
                    <w:rPr>
                      <w:rFonts w:ascii="Times New Roman" w:hAnsi="Times New Roman" w:eastAsia="宋体" w:cs="Times New Roman"/>
                      <w:color w:val="auto"/>
                      <w:kern w:val="0"/>
                      <w:sz w:val="18"/>
                      <w:szCs w:val="18"/>
                      <w:highlight w:val="none"/>
                      <w:vertAlign w:val="subscript"/>
                    </w:rPr>
                    <w:t>5</w:t>
                  </w:r>
                </w:p>
              </w:tc>
              <w:tc>
                <w:tcPr>
                  <w:tcW w:w="652" w:type="pct"/>
                  <w:tcBorders>
                    <w:tl2br w:val="nil"/>
                    <w:tr2bl w:val="nil"/>
                  </w:tcBorders>
                  <w:shd w:val="clear" w:color="auto" w:fill="auto"/>
                  <w:vAlign w:val="center"/>
                </w:tcPr>
                <w:p w14:paraId="3CB5DF3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180</w:t>
                  </w:r>
                </w:p>
              </w:tc>
              <w:tc>
                <w:tcPr>
                  <w:tcW w:w="944" w:type="dxa"/>
                  <w:tcBorders>
                    <w:tl2br w:val="nil"/>
                    <w:tr2bl w:val="nil"/>
                  </w:tcBorders>
                  <w:shd w:val="clear" w:color="auto" w:fill="auto"/>
                  <w:vAlign w:val="center"/>
                </w:tcPr>
                <w:p w14:paraId="6F8B150B">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0.0972</w:t>
                  </w:r>
                </w:p>
              </w:tc>
              <w:tc>
                <w:tcPr>
                  <w:tcW w:w="671" w:type="pct"/>
                  <w:vMerge w:val="continue"/>
                  <w:tcBorders>
                    <w:tl2br w:val="nil"/>
                    <w:tr2bl w:val="nil"/>
                  </w:tcBorders>
                  <w:shd w:val="clear" w:color="auto" w:fill="auto"/>
                  <w:vAlign w:val="center"/>
                </w:tcPr>
                <w:p w14:paraId="05AC142E">
                  <w:pPr>
                    <w:widowControl/>
                    <w:adjustRightInd w:val="0"/>
                    <w:snapToGrid w:val="0"/>
                    <w:jc w:val="center"/>
                    <w:rPr>
                      <w:rFonts w:ascii="Times New Roman" w:hAnsi="Times New Roman" w:eastAsia="宋体" w:cs="Times New Roman"/>
                      <w:color w:val="auto"/>
                      <w:sz w:val="18"/>
                      <w:szCs w:val="18"/>
                      <w:highlight w:val="none"/>
                    </w:rPr>
                  </w:pPr>
                </w:p>
              </w:tc>
              <w:tc>
                <w:tcPr>
                  <w:tcW w:w="670" w:type="pct"/>
                  <w:tcBorders>
                    <w:tl2br w:val="nil"/>
                    <w:tr2bl w:val="nil"/>
                  </w:tcBorders>
                  <w:shd w:val="clear" w:color="auto" w:fill="auto"/>
                  <w:vAlign w:val="center"/>
                </w:tcPr>
                <w:p w14:paraId="3E37191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10</w:t>
                  </w:r>
                </w:p>
              </w:tc>
              <w:tc>
                <w:tcPr>
                  <w:tcW w:w="521" w:type="pct"/>
                  <w:tcBorders>
                    <w:tl2br w:val="nil"/>
                    <w:tr2bl w:val="nil"/>
                  </w:tcBorders>
                  <w:shd w:val="clear" w:color="auto" w:fill="auto"/>
                  <w:vAlign w:val="center"/>
                </w:tcPr>
                <w:p w14:paraId="7369EC3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0.0054</w:t>
                  </w:r>
                </w:p>
              </w:tc>
            </w:tr>
            <w:tr w14:paraId="4CF0D3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0" w:type="pct"/>
                  <w:vMerge w:val="continue"/>
                  <w:tcBorders>
                    <w:tl2br w:val="nil"/>
                    <w:tr2bl w:val="nil"/>
                  </w:tcBorders>
                  <w:shd w:val="clear" w:color="auto" w:fill="auto"/>
                  <w:vAlign w:val="center"/>
                </w:tcPr>
                <w:p w14:paraId="07497B25">
                  <w:pPr>
                    <w:widowControl/>
                    <w:adjustRightInd w:val="0"/>
                    <w:snapToGrid w:val="0"/>
                    <w:jc w:val="center"/>
                    <w:rPr>
                      <w:rFonts w:ascii="Times New Roman" w:hAnsi="Times New Roman" w:eastAsia="宋体" w:cs="Times New Roman"/>
                      <w:color w:val="auto"/>
                      <w:sz w:val="18"/>
                      <w:szCs w:val="18"/>
                      <w:highlight w:val="none"/>
                    </w:rPr>
                  </w:pPr>
                </w:p>
              </w:tc>
              <w:tc>
                <w:tcPr>
                  <w:tcW w:w="652" w:type="pct"/>
                  <w:vMerge w:val="continue"/>
                  <w:tcBorders>
                    <w:tl2br w:val="nil"/>
                    <w:tr2bl w:val="nil"/>
                  </w:tcBorders>
                  <w:shd w:val="clear" w:color="auto" w:fill="auto"/>
                  <w:vAlign w:val="center"/>
                </w:tcPr>
                <w:p w14:paraId="33F71EC0">
                  <w:pPr>
                    <w:widowControl/>
                    <w:adjustRightInd w:val="0"/>
                    <w:snapToGrid w:val="0"/>
                    <w:jc w:val="center"/>
                    <w:rPr>
                      <w:rFonts w:ascii="Times New Roman" w:hAnsi="Times New Roman" w:eastAsia="宋体" w:cs="Times New Roman"/>
                      <w:color w:val="auto"/>
                      <w:sz w:val="18"/>
                      <w:szCs w:val="18"/>
                      <w:highlight w:val="none"/>
                    </w:rPr>
                  </w:pPr>
                </w:p>
              </w:tc>
              <w:tc>
                <w:tcPr>
                  <w:tcW w:w="610" w:type="pct"/>
                  <w:tcBorders>
                    <w:tl2br w:val="nil"/>
                    <w:tr2bl w:val="nil"/>
                  </w:tcBorders>
                  <w:shd w:val="clear" w:color="auto" w:fill="auto"/>
                  <w:vAlign w:val="center"/>
                </w:tcPr>
                <w:p w14:paraId="56B9FA0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SS</w:t>
                  </w:r>
                </w:p>
              </w:tc>
              <w:tc>
                <w:tcPr>
                  <w:tcW w:w="652" w:type="pct"/>
                  <w:tcBorders>
                    <w:tl2br w:val="nil"/>
                    <w:tr2bl w:val="nil"/>
                  </w:tcBorders>
                  <w:shd w:val="clear" w:color="auto" w:fill="auto"/>
                  <w:vAlign w:val="center"/>
                </w:tcPr>
                <w:p w14:paraId="1475641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150</w:t>
                  </w:r>
                </w:p>
              </w:tc>
              <w:tc>
                <w:tcPr>
                  <w:tcW w:w="944" w:type="dxa"/>
                  <w:tcBorders>
                    <w:tl2br w:val="nil"/>
                    <w:tr2bl w:val="nil"/>
                  </w:tcBorders>
                  <w:shd w:val="clear" w:color="auto" w:fill="auto"/>
                  <w:vAlign w:val="center"/>
                </w:tcPr>
                <w:p w14:paraId="3A79464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0.081</w:t>
                  </w:r>
                </w:p>
              </w:tc>
              <w:tc>
                <w:tcPr>
                  <w:tcW w:w="671" w:type="pct"/>
                  <w:vMerge w:val="continue"/>
                  <w:tcBorders>
                    <w:tl2br w:val="nil"/>
                    <w:tr2bl w:val="nil"/>
                  </w:tcBorders>
                  <w:shd w:val="clear" w:color="auto" w:fill="auto"/>
                  <w:vAlign w:val="center"/>
                </w:tcPr>
                <w:p w14:paraId="4A0CC4F9">
                  <w:pPr>
                    <w:widowControl/>
                    <w:adjustRightInd w:val="0"/>
                    <w:snapToGrid w:val="0"/>
                    <w:jc w:val="center"/>
                    <w:rPr>
                      <w:rFonts w:ascii="Times New Roman" w:hAnsi="Times New Roman" w:eastAsia="宋体" w:cs="Times New Roman"/>
                      <w:color w:val="auto"/>
                      <w:sz w:val="18"/>
                      <w:szCs w:val="18"/>
                      <w:highlight w:val="none"/>
                    </w:rPr>
                  </w:pPr>
                </w:p>
              </w:tc>
              <w:tc>
                <w:tcPr>
                  <w:tcW w:w="670" w:type="pct"/>
                  <w:tcBorders>
                    <w:tl2br w:val="nil"/>
                    <w:tr2bl w:val="nil"/>
                  </w:tcBorders>
                  <w:shd w:val="clear" w:color="auto" w:fill="auto"/>
                  <w:vAlign w:val="center"/>
                </w:tcPr>
                <w:p w14:paraId="6A33E8A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10</w:t>
                  </w:r>
                </w:p>
              </w:tc>
              <w:tc>
                <w:tcPr>
                  <w:tcW w:w="521" w:type="pct"/>
                  <w:tcBorders>
                    <w:tl2br w:val="nil"/>
                    <w:tr2bl w:val="nil"/>
                  </w:tcBorders>
                  <w:shd w:val="clear" w:color="auto" w:fill="auto"/>
                  <w:vAlign w:val="center"/>
                </w:tcPr>
                <w:p w14:paraId="75FADB1C">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0.0054</w:t>
                  </w:r>
                </w:p>
              </w:tc>
            </w:tr>
            <w:tr w14:paraId="1EE9BC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0" w:type="pct"/>
                  <w:vMerge w:val="continue"/>
                  <w:tcBorders>
                    <w:tl2br w:val="nil"/>
                    <w:tr2bl w:val="nil"/>
                  </w:tcBorders>
                  <w:shd w:val="clear" w:color="auto" w:fill="auto"/>
                  <w:vAlign w:val="center"/>
                </w:tcPr>
                <w:p w14:paraId="1D6CEAF6">
                  <w:pPr>
                    <w:widowControl/>
                    <w:adjustRightInd w:val="0"/>
                    <w:snapToGrid w:val="0"/>
                    <w:jc w:val="center"/>
                    <w:rPr>
                      <w:rFonts w:ascii="Times New Roman" w:hAnsi="Times New Roman" w:eastAsia="宋体" w:cs="Times New Roman"/>
                      <w:color w:val="auto"/>
                      <w:sz w:val="18"/>
                      <w:szCs w:val="18"/>
                      <w:highlight w:val="none"/>
                    </w:rPr>
                  </w:pPr>
                </w:p>
              </w:tc>
              <w:tc>
                <w:tcPr>
                  <w:tcW w:w="652" w:type="pct"/>
                  <w:vMerge w:val="continue"/>
                  <w:tcBorders>
                    <w:tl2br w:val="nil"/>
                    <w:tr2bl w:val="nil"/>
                  </w:tcBorders>
                  <w:shd w:val="clear" w:color="auto" w:fill="auto"/>
                  <w:vAlign w:val="center"/>
                </w:tcPr>
                <w:p w14:paraId="2A59D2FF">
                  <w:pPr>
                    <w:widowControl/>
                    <w:adjustRightInd w:val="0"/>
                    <w:snapToGrid w:val="0"/>
                    <w:jc w:val="center"/>
                    <w:rPr>
                      <w:rFonts w:ascii="Times New Roman" w:hAnsi="Times New Roman" w:eastAsia="宋体" w:cs="Times New Roman"/>
                      <w:color w:val="auto"/>
                      <w:sz w:val="18"/>
                      <w:szCs w:val="18"/>
                      <w:highlight w:val="none"/>
                    </w:rPr>
                  </w:pPr>
                </w:p>
              </w:tc>
              <w:tc>
                <w:tcPr>
                  <w:tcW w:w="610" w:type="pct"/>
                  <w:tcBorders>
                    <w:tl2br w:val="nil"/>
                    <w:tr2bl w:val="nil"/>
                  </w:tcBorders>
                  <w:shd w:val="clear" w:color="auto" w:fill="auto"/>
                  <w:vAlign w:val="center"/>
                </w:tcPr>
                <w:p w14:paraId="09136853">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NH</w:t>
                  </w:r>
                  <w:r>
                    <w:rPr>
                      <w:rFonts w:ascii="Times New Roman" w:hAnsi="Times New Roman" w:eastAsia="宋体" w:cs="Times New Roman"/>
                      <w:color w:val="auto"/>
                      <w:kern w:val="0"/>
                      <w:sz w:val="18"/>
                      <w:szCs w:val="18"/>
                      <w:highlight w:val="none"/>
                      <w:vertAlign w:val="subscript"/>
                    </w:rPr>
                    <w:t>3</w:t>
                  </w:r>
                  <w:r>
                    <w:rPr>
                      <w:rFonts w:ascii="Times New Roman" w:hAnsi="Times New Roman" w:eastAsia="宋体" w:cs="Times New Roman"/>
                      <w:color w:val="auto"/>
                      <w:kern w:val="0"/>
                      <w:sz w:val="18"/>
                      <w:szCs w:val="18"/>
                      <w:highlight w:val="none"/>
                    </w:rPr>
                    <w:t>-N</w:t>
                  </w:r>
                </w:p>
              </w:tc>
              <w:tc>
                <w:tcPr>
                  <w:tcW w:w="652" w:type="pct"/>
                  <w:tcBorders>
                    <w:tl2br w:val="nil"/>
                    <w:tr2bl w:val="nil"/>
                  </w:tcBorders>
                  <w:shd w:val="clear" w:color="auto" w:fill="auto"/>
                  <w:vAlign w:val="center"/>
                </w:tcPr>
                <w:p w14:paraId="7C1A48AC">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25</w:t>
                  </w:r>
                </w:p>
              </w:tc>
              <w:tc>
                <w:tcPr>
                  <w:tcW w:w="944" w:type="dxa"/>
                  <w:tcBorders>
                    <w:tl2br w:val="nil"/>
                    <w:tr2bl w:val="nil"/>
                  </w:tcBorders>
                  <w:shd w:val="clear" w:color="auto" w:fill="auto"/>
                  <w:vAlign w:val="center"/>
                </w:tcPr>
                <w:p w14:paraId="081D7A3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0.0135</w:t>
                  </w:r>
                </w:p>
              </w:tc>
              <w:tc>
                <w:tcPr>
                  <w:tcW w:w="671" w:type="pct"/>
                  <w:vMerge w:val="continue"/>
                  <w:tcBorders>
                    <w:tl2br w:val="nil"/>
                    <w:tr2bl w:val="nil"/>
                  </w:tcBorders>
                  <w:shd w:val="clear" w:color="auto" w:fill="auto"/>
                  <w:vAlign w:val="center"/>
                </w:tcPr>
                <w:p w14:paraId="240C0FC0">
                  <w:pPr>
                    <w:widowControl/>
                    <w:adjustRightInd w:val="0"/>
                    <w:snapToGrid w:val="0"/>
                    <w:jc w:val="center"/>
                    <w:rPr>
                      <w:rFonts w:ascii="Times New Roman" w:hAnsi="Times New Roman" w:eastAsia="宋体" w:cs="Times New Roman"/>
                      <w:color w:val="auto"/>
                      <w:sz w:val="18"/>
                      <w:szCs w:val="18"/>
                      <w:highlight w:val="none"/>
                    </w:rPr>
                  </w:pPr>
                </w:p>
              </w:tc>
              <w:tc>
                <w:tcPr>
                  <w:tcW w:w="670" w:type="pct"/>
                  <w:tcBorders>
                    <w:tl2br w:val="nil"/>
                    <w:tr2bl w:val="nil"/>
                  </w:tcBorders>
                  <w:shd w:val="clear" w:color="auto" w:fill="auto"/>
                  <w:vAlign w:val="center"/>
                </w:tcPr>
                <w:p w14:paraId="061C61F4">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5</w:t>
                  </w:r>
                </w:p>
              </w:tc>
              <w:tc>
                <w:tcPr>
                  <w:tcW w:w="521" w:type="pct"/>
                  <w:tcBorders>
                    <w:tl2br w:val="nil"/>
                    <w:tr2bl w:val="nil"/>
                  </w:tcBorders>
                  <w:shd w:val="clear" w:color="auto" w:fill="auto"/>
                  <w:vAlign w:val="center"/>
                </w:tcPr>
                <w:p w14:paraId="6F47568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0.0027</w:t>
                  </w:r>
                </w:p>
              </w:tc>
            </w:tr>
          </w:tbl>
          <w:p w14:paraId="6FBAA464">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2、运营期水环境保护措施</w:t>
            </w:r>
          </w:p>
          <w:p w14:paraId="6913DECB">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（1）废水处理措施可行性分析</w:t>
            </w:r>
          </w:p>
          <w:p w14:paraId="3C3215AB">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本项目用水为生活用水，用水量约为</w:t>
            </w:r>
            <w:r>
              <w:rPr>
                <w:rFonts w:ascii="Times New Roman" w:hAnsi="Times New Roman" w:eastAsia="宋体" w:cs="Times New Roman"/>
                <w:bCs/>
                <w:color w:val="auto"/>
                <w:sz w:val="24"/>
                <w:szCs w:val="24"/>
                <w:highlight w:val="none"/>
              </w:rPr>
              <w:t>2.25</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/d（</w:t>
            </w:r>
            <w:r>
              <w:rPr>
                <w:rFonts w:ascii="Times New Roman" w:hAnsi="Times New Roman" w:eastAsia="宋体" w:cs="Times New Roman"/>
                <w:bCs/>
                <w:color w:val="auto"/>
                <w:sz w:val="24"/>
                <w:szCs w:val="24"/>
                <w:highlight w:val="none"/>
              </w:rPr>
              <w:t>675</w:t>
            </w:r>
            <w:r>
              <w:rPr>
                <w:rFonts w:ascii="Times New Roman" w:hAnsi="Times New Roman" w:eastAsia="宋体" w:cs="Times New Roman"/>
                <w:color w:val="auto"/>
                <w:sz w:val="24"/>
                <w:highlight w:val="none"/>
              </w:rPr>
              <w:t>m</w:t>
            </w:r>
            <w:r>
              <w:rPr>
                <w:rFonts w:ascii="Times New Roman" w:hAnsi="Times New Roman" w:eastAsia="宋体" w:cs="Times New Roman"/>
                <w:color w:val="auto"/>
                <w:sz w:val="24"/>
                <w:highlight w:val="none"/>
                <w:vertAlign w:val="superscript"/>
              </w:rPr>
              <w:t>3</w:t>
            </w:r>
            <w:r>
              <w:rPr>
                <w:rFonts w:ascii="Times New Roman" w:hAnsi="Times New Roman" w:eastAsia="宋体" w:cs="Times New Roman"/>
                <w:color w:val="auto"/>
                <w:sz w:val="24"/>
                <w:highlight w:val="none"/>
              </w:rPr>
              <w:t>/a）。项目废水为</w:t>
            </w:r>
            <w:r>
              <w:rPr>
                <w:rFonts w:ascii="Times New Roman" w:hAnsi="Times New Roman" w:eastAsia="宋体" w:cs="Times New Roman"/>
                <w:bCs/>
                <w:color w:val="auto"/>
                <w:sz w:val="24"/>
                <w:szCs w:val="24"/>
                <w:highlight w:val="none"/>
              </w:rPr>
              <w:t>生活污水，废水产生量为1.8m</w:t>
            </w:r>
            <w:r>
              <w:rPr>
                <w:rFonts w:ascii="Times New Roman" w:hAnsi="Times New Roman" w:eastAsia="宋体" w:cs="Times New Roman"/>
                <w:bCs/>
                <w:color w:val="auto"/>
                <w:sz w:val="24"/>
                <w:szCs w:val="24"/>
                <w:highlight w:val="none"/>
                <w:vertAlign w:val="superscript"/>
              </w:rPr>
              <w:t>3</w:t>
            </w:r>
            <w:r>
              <w:rPr>
                <w:rFonts w:ascii="Times New Roman" w:hAnsi="Times New Roman" w:eastAsia="宋体" w:cs="Times New Roman"/>
                <w:bCs/>
                <w:color w:val="auto"/>
                <w:sz w:val="24"/>
                <w:szCs w:val="24"/>
                <w:highlight w:val="none"/>
              </w:rPr>
              <w:t>/d（540m</w:t>
            </w:r>
            <w:r>
              <w:rPr>
                <w:rFonts w:ascii="Times New Roman" w:hAnsi="Times New Roman" w:eastAsia="宋体" w:cs="Times New Roman"/>
                <w:bCs/>
                <w:color w:val="auto"/>
                <w:sz w:val="24"/>
                <w:szCs w:val="24"/>
                <w:highlight w:val="none"/>
                <w:vertAlign w:val="superscript"/>
              </w:rPr>
              <w:t>3</w:t>
            </w:r>
            <w:r>
              <w:rPr>
                <w:rFonts w:ascii="Times New Roman" w:hAnsi="Times New Roman" w:eastAsia="宋体" w:cs="Times New Roman"/>
                <w:bCs/>
                <w:color w:val="auto"/>
                <w:sz w:val="24"/>
                <w:szCs w:val="24"/>
                <w:highlight w:val="none"/>
              </w:rPr>
              <w:t>/a）。</w:t>
            </w:r>
            <w:r>
              <w:rPr>
                <w:rFonts w:ascii="Times New Roman" w:hAnsi="Times New Roman" w:eastAsia="宋体" w:cs="Times New Roman"/>
                <w:color w:val="auto"/>
                <w:sz w:val="24"/>
                <w:szCs w:val="24"/>
                <w:highlight w:val="none"/>
              </w:rPr>
              <w:t>生活污水经化粪池处理后，最终废水出水水质可以满足八公山污水处理厂接管限值，排至八公山污水处理厂。</w:t>
            </w:r>
            <w:bookmarkStart w:id="3" w:name="_Toc133333763"/>
            <w:bookmarkStart w:id="4" w:name="_Toc133214606"/>
          </w:p>
          <w:p w14:paraId="0020BA53">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（2）废水纳管可行性分析</w:t>
            </w:r>
            <w:bookmarkEnd w:id="3"/>
            <w:bookmarkEnd w:id="4"/>
          </w:p>
          <w:p w14:paraId="34AA1CE5">
            <w:pPr>
              <w:pStyle w:val="27"/>
              <w:adjustRightInd/>
              <w:spacing w:line="360" w:lineRule="auto"/>
              <w:ind w:firstLine="480" w:firstLineChars="200"/>
              <w:jc w:val="both"/>
              <w:rPr>
                <w:rFonts w:ascii="Times New Roman" w:cs="Times New Roman"/>
                <w:b/>
                <w:bCs/>
                <w:color w:val="auto"/>
                <w:highlight w:val="none"/>
              </w:rPr>
            </w:pPr>
            <w:r>
              <w:rPr>
                <w:rFonts w:ascii="Times New Roman" w:cs="Times New Roman"/>
                <w:color w:val="auto"/>
                <w:highlight w:val="none"/>
              </w:rPr>
              <w:t>八公山污水处理厂位于淮南市八公山区北郊，厂区东临蔡新路，北临皖淮机械厂铁路专用线，占地约8.36hm</w:t>
            </w:r>
            <w:r>
              <w:rPr>
                <w:rFonts w:ascii="Times New Roman" w:cs="Times New Roman"/>
                <w:color w:val="auto"/>
                <w:highlight w:val="none"/>
                <w:vertAlign w:val="superscript"/>
              </w:rPr>
              <w:t>2</w:t>
            </w:r>
            <w:r>
              <w:rPr>
                <w:rFonts w:ascii="Times New Roman" w:cs="Times New Roman"/>
                <w:color w:val="auto"/>
                <w:highlight w:val="none"/>
              </w:rPr>
              <w:t>。负责淮南市西部地区的污水处理，即谢家集区和八公山区，区域土地面积378.7km</w:t>
            </w:r>
            <w:r>
              <w:rPr>
                <w:rFonts w:ascii="Times New Roman" w:cs="Times New Roman"/>
                <w:color w:val="auto"/>
                <w:highlight w:val="none"/>
                <w:vertAlign w:val="superscript"/>
              </w:rPr>
              <w:t>2</w:t>
            </w:r>
            <w:r>
              <w:rPr>
                <w:rFonts w:ascii="Times New Roman" w:cs="Times New Roman"/>
                <w:color w:val="auto"/>
                <w:highlight w:val="none"/>
              </w:rPr>
              <w:t>建成区面积约30.4km</w:t>
            </w:r>
            <w:r>
              <w:rPr>
                <w:rFonts w:ascii="Times New Roman" w:cs="Times New Roman"/>
                <w:color w:val="auto"/>
                <w:highlight w:val="none"/>
                <w:vertAlign w:val="superscript"/>
              </w:rPr>
              <w:t>2</w:t>
            </w:r>
            <w:r>
              <w:rPr>
                <w:rFonts w:ascii="Times New Roman" w:cs="Times New Roman"/>
                <w:color w:val="auto"/>
                <w:highlight w:val="none"/>
              </w:rPr>
              <w:t>，服务人口约50万人，该厂污水日处理设计能力为10万m</w:t>
            </w:r>
            <w:r>
              <w:rPr>
                <w:rFonts w:ascii="Times New Roman" w:cs="Times New Roman"/>
                <w:color w:val="auto"/>
                <w:highlight w:val="none"/>
                <w:vertAlign w:val="superscript"/>
              </w:rPr>
              <w:t>3</w:t>
            </w:r>
            <w:r>
              <w:rPr>
                <w:rFonts w:ascii="Times New Roman" w:cs="Times New Roman"/>
                <w:color w:val="auto"/>
                <w:highlight w:val="none"/>
              </w:rPr>
              <w:t>/d，于2009年11月建成并投入试运行，2010年6月转让给淮南首创水务公司，目前实际处理污水规模6-7万m</w:t>
            </w:r>
            <w:r>
              <w:rPr>
                <w:rFonts w:ascii="Times New Roman" w:cs="Times New Roman"/>
                <w:color w:val="auto"/>
                <w:highlight w:val="none"/>
                <w:vertAlign w:val="superscript"/>
              </w:rPr>
              <w:t>3</w:t>
            </w:r>
            <w:r>
              <w:rPr>
                <w:rFonts w:ascii="Times New Roman" w:cs="Times New Roman"/>
                <w:color w:val="auto"/>
                <w:highlight w:val="none"/>
              </w:rPr>
              <w:t>/d，设计出水按《城镇污水处理厂污染物排放标准》</w:t>
            </w:r>
            <w:r>
              <w:rPr>
                <w:rFonts w:hint="eastAsia" w:ascii="Times New Roman" w:cs="Times New Roman"/>
                <w:color w:val="auto"/>
                <w:highlight w:val="none"/>
                <w:lang w:eastAsia="zh-CN"/>
              </w:rPr>
              <w:t>（</w:t>
            </w:r>
            <w:r>
              <w:rPr>
                <w:rFonts w:ascii="Times New Roman" w:cs="Times New Roman"/>
                <w:color w:val="auto"/>
                <w:highlight w:val="none"/>
              </w:rPr>
              <w:t>GB18918-2002</w:t>
            </w:r>
            <w:r>
              <w:rPr>
                <w:rFonts w:hint="eastAsia" w:ascii="Times New Roman" w:cs="Times New Roman"/>
                <w:color w:val="auto"/>
                <w:highlight w:val="none"/>
                <w:lang w:eastAsia="zh-CN"/>
              </w:rPr>
              <w:t>）</w:t>
            </w:r>
            <w:r>
              <w:rPr>
                <w:rFonts w:ascii="Times New Roman" w:cs="Times New Roman"/>
                <w:color w:val="auto"/>
                <w:highlight w:val="none"/>
              </w:rPr>
              <w:t>一级A标准。处理工艺是氧化沟工艺，现有工艺单元包括：粗格栅、提升泵站、细格栅、沉砂池、配水井、选择厌氧池和氧化沟、终沉池、污泥泵房和脱水机房等组成，尾水排放执行国家《城镇污水处理厂污染物排放标准》（GB18918-2002）的一级A标准，排入淮河</w:t>
            </w:r>
            <w:r>
              <w:rPr>
                <w:rFonts w:ascii="Times New Roman" w:cs="Times New Roman"/>
                <w:b/>
                <w:bCs/>
                <w:color w:val="auto"/>
                <w:highlight w:val="none"/>
              </w:rPr>
              <w:t>。</w:t>
            </w:r>
          </w:p>
          <w:p w14:paraId="4B381F5B">
            <w:pPr>
              <w:pStyle w:val="27"/>
              <w:adjustRightInd/>
              <w:spacing w:line="360" w:lineRule="auto"/>
              <w:rPr>
                <w:rFonts w:ascii="Times New Roman" w:cs="Times New Roman"/>
                <w:b/>
                <w:bCs/>
                <w:color w:val="auto"/>
                <w:highlight w:val="none"/>
              </w:rPr>
            </w:pPr>
            <w:r>
              <w:rPr>
                <w:rFonts w:ascii="Times New Roman" w:cs="Times New Roman"/>
                <w:b/>
                <w:bCs/>
                <w:color w:val="auto"/>
                <w:highlight w:val="none"/>
              </w:rPr>
              <w:drawing>
                <wp:inline distT="0" distB="0" distL="0" distR="0">
                  <wp:extent cx="4923155" cy="1247775"/>
                  <wp:effectExtent l="0" t="0" r="1270" b="0"/>
                  <wp:docPr id="2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6"/>
                          <pic:cNvPicPr>
                            <a:picLocks noChangeAspect="1" noChangeArrowheads="1"/>
                          </pic:cNvPicPr>
                        </pic:nvPicPr>
                        <pic:blipFill>
                          <a:blip r:embed="rId15" cstate="print"/>
                          <a:srcRect l="4956"/>
                          <a:stretch>
                            <a:fillRect/>
                          </a:stretch>
                        </pic:blipFill>
                        <pic:spPr>
                          <a:xfrm>
                            <a:off x="0" y="0"/>
                            <a:ext cx="4923155" cy="1247775"/>
                          </a:xfrm>
                          <a:prstGeom prst="rect">
                            <a:avLst/>
                          </a:prstGeom>
                          <a:noFill/>
                          <a:ln w="9525">
                            <a:noFill/>
                            <a:miter lim="800000"/>
                            <a:headEnd/>
                            <a:tailEnd/>
                          </a:ln>
                        </pic:spPr>
                      </pic:pic>
                    </a:graphicData>
                  </a:graphic>
                </wp:inline>
              </w:drawing>
            </w:r>
          </w:p>
          <w:p w14:paraId="0048471B">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图</w:t>
            </w:r>
            <w:r>
              <w:rPr>
                <w:rFonts w:hint="eastAsia" w:ascii="Times New Roman" w:hAnsi="Times New Roman" w:eastAsia="黑体" w:cs="Times New Roman"/>
                <w:color w:val="auto"/>
                <w:sz w:val="24"/>
                <w:highlight w:val="none"/>
              </w:rPr>
              <w:t>4</w:t>
            </w:r>
            <w:r>
              <w:rPr>
                <w:rFonts w:ascii="Times New Roman" w:hAnsi="Times New Roman" w:eastAsia="黑体" w:cs="Times New Roman"/>
                <w:color w:val="auto"/>
                <w:sz w:val="24"/>
                <w:highlight w:val="none"/>
              </w:rPr>
              <w:t>-</w:t>
            </w:r>
            <w:r>
              <w:rPr>
                <w:rFonts w:hint="eastAsia" w:ascii="Times New Roman" w:hAnsi="Times New Roman" w:eastAsia="黑体" w:cs="Times New Roman"/>
                <w:color w:val="auto"/>
                <w:sz w:val="24"/>
                <w:highlight w:val="none"/>
              </w:rPr>
              <w:t>1</w:t>
            </w:r>
            <w:r>
              <w:rPr>
                <w:rFonts w:ascii="Times New Roman" w:hAnsi="Times New Roman" w:eastAsia="黑体" w:cs="Times New Roman"/>
                <w:color w:val="auto"/>
                <w:sz w:val="24"/>
                <w:highlight w:val="none"/>
              </w:rPr>
              <w:t xml:space="preserve">  八公山污水处理厂主体工艺流程图</w:t>
            </w:r>
          </w:p>
          <w:p w14:paraId="5251CCC7">
            <w:pPr>
              <w:spacing w:line="360" w:lineRule="auto"/>
              <w:ind w:firstLine="482" w:firstLineChars="200"/>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①接管可行性</w:t>
            </w:r>
          </w:p>
          <w:p w14:paraId="233BA19E">
            <w:pPr>
              <w:pStyle w:val="27"/>
              <w:adjustRightInd/>
              <w:spacing w:line="360" w:lineRule="auto"/>
              <w:ind w:firstLine="480" w:firstLineChars="200"/>
              <w:rPr>
                <w:rFonts w:ascii="Times New Roman" w:cs="Times New Roman"/>
                <w:color w:val="auto"/>
                <w:highlight w:val="none"/>
              </w:rPr>
            </w:pPr>
            <w:bookmarkStart w:id="5" w:name="_Toc133214607"/>
            <w:bookmarkStart w:id="6" w:name="_Toc133333764"/>
            <w:r>
              <w:rPr>
                <w:rFonts w:ascii="Times New Roman" w:cs="Times New Roman"/>
                <w:color w:val="auto"/>
                <w:highlight w:val="none"/>
              </w:rPr>
              <w:t>根据现场踏勘和资料查阅，项目区域雨污水分流管网已建成，属于八公山污水处理厂收水范围，污水可排入污水处理厂集中处理。八公山污水处理厂主体工艺采用“粗格栅提升泵站-细格栅及沉砂池-沉砂池-A</w:t>
            </w:r>
            <w:r>
              <w:rPr>
                <w:rFonts w:ascii="Times New Roman" w:cs="Times New Roman"/>
                <w:color w:val="auto"/>
                <w:highlight w:val="none"/>
                <w:vertAlign w:val="superscript"/>
              </w:rPr>
              <w:t>2</w:t>
            </w:r>
            <w:r>
              <w:rPr>
                <w:rFonts w:ascii="Times New Roman" w:cs="Times New Roman"/>
                <w:color w:val="auto"/>
                <w:highlight w:val="none"/>
              </w:rPr>
              <w:t>O生化池-二沉池-沉淀池”，处理规模为6-7万m</w:t>
            </w:r>
            <w:r>
              <w:rPr>
                <w:rFonts w:ascii="Times New Roman" w:cs="Times New Roman"/>
                <w:color w:val="auto"/>
                <w:highlight w:val="none"/>
                <w:vertAlign w:val="superscript"/>
              </w:rPr>
              <w:t>3</w:t>
            </w:r>
            <w:r>
              <w:rPr>
                <w:rFonts w:ascii="Times New Roman" w:cs="Times New Roman"/>
                <w:color w:val="auto"/>
                <w:highlight w:val="none"/>
              </w:rPr>
              <w:t>/d，目前余量充足。综上，本项目生活废水依托污水处理厂处理可行。</w:t>
            </w:r>
          </w:p>
          <w:p w14:paraId="3703337E">
            <w:pPr>
              <w:pStyle w:val="27"/>
              <w:adjustRightInd/>
              <w:spacing w:line="360" w:lineRule="auto"/>
              <w:ind w:firstLine="482" w:firstLineChars="200"/>
              <w:rPr>
                <w:rFonts w:ascii="Times New Roman" w:cs="Times New Roman"/>
                <w:b/>
                <w:color w:val="auto"/>
                <w:highlight w:val="none"/>
              </w:rPr>
            </w:pPr>
            <w:r>
              <w:rPr>
                <w:rFonts w:ascii="Times New Roman" w:cs="Times New Roman"/>
                <w:b/>
                <w:color w:val="auto"/>
                <w:highlight w:val="none"/>
              </w:rPr>
              <w:t>②对污水处理厂的影响</w:t>
            </w:r>
          </w:p>
          <w:p w14:paraId="5CA7C035">
            <w:pPr>
              <w:pStyle w:val="27"/>
              <w:adjustRightInd/>
              <w:spacing w:line="360" w:lineRule="auto"/>
              <w:ind w:firstLine="480" w:firstLineChars="200"/>
              <w:rPr>
                <w:rFonts w:ascii="Times New Roman" w:cs="Times New Roman"/>
                <w:color w:val="auto"/>
                <w:highlight w:val="none"/>
              </w:rPr>
            </w:pPr>
            <w:r>
              <w:rPr>
                <w:rFonts w:ascii="Times New Roman" w:cs="Times New Roman"/>
                <w:color w:val="auto"/>
                <w:highlight w:val="none"/>
              </w:rPr>
              <w:t>本项目废水排放量约为</w:t>
            </w:r>
            <w:r>
              <w:rPr>
                <w:rFonts w:ascii="Times New Roman" w:cs="Times New Roman"/>
                <w:color w:val="auto"/>
                <w:szCs w:val="22"/>
                <w:highlight w:val="none"/>
              </w:rPr>
              <w:t>1.8m³/d</w:t>
            </w:r>
            <w:r>
              <w:rPr>
                <w:rFonts w:ascii="Times New Roman" w:cs="Times New Roman"/>
                <w:color w:val="auto"/>
                <w:highlight w:val="none"/>
              </w:rPr>
              <w:t>，废水产生量较小，本项目废水经预处理后水质满足八公山污水处理厂的进水水质要求，因此不会对八公山污水处理厂造成冲击影响。</w:t>
            </w:r>
          </w:p>
          <w:p w14:paraId="66EE0EC1">
            <w:pPr>
              <w:pStyle w:val="27"/>
              <w:adjustRightInd/>
              <w:spacing w:line="360" w:lineRule="auto"/>
              <w:ind w:firstLine="480" w:firstLineChars="200"/>
              <w:rPr>
                <w:rFonts w:ascii="Times New Roman" w:cs="Times New Roman"/>
                <w:color w:val="auto"/>
                <w:highlight w:val="none"/>
              </w:rPr>
            </w:pPr>
            <w:r>
              <w:rPr>
                <w:rFonts w:ascii="Times New Roman" w:cs="Times New Roman"/>
                <w:color w:val="auto"/>
                <w:highlight w:val="none"/>
              </w:rPr>
              <w:t>综上，本项目废水经八公山污水处理厂处理达标后最终排入淮河，会增加淮河总量，但本项目污水量不大，总量贡献值小，不会降低项目所在区域现有水环境功能。</w:t>
            </w:r>
          </w:p>
          <w:p w14:paraId="18921F0F">
            <w:pPr>
              <w:spacing w:line="460" w:lineRule="exact"/>
              <w:jc w:val="center"/>
              <w:rPr>
                <w:rFonts w:ascii="Times New Roman" w:hAnsi="Times New Roman" w:eastAsia="黑体" w:cs="Times New Roman"/>
                <w:bCs/>
                <w:color w:val="auto"/>
                <w:szCs w:val="21"/>
                <w:highlight w:val="none"/>
              </w:rPr>
            </w:pPr>
            <w:r>
              <w:rPr>
                <w:rFonts w:ascii="Times New Roman" w:hAnsi="Times New Roman" w:eastAsia="黑体" w:cs="Times New Roman"/>
                <w:bCs/>
                <w:color w:val="auto"/>
                <w:szCs w:val="21"/>
                <w:highlight w:val="none"/>
              </w:rPr>
              <w:t>表4-</w:t>
            </w:r>
            <w:r>
              <w:rPr>
                <w:rFonts w:hint="eastAsia" w:ascii="Times New Roman" w:hAnsi="Times New Roman" w:eastAsia="黑体" w:cs="Times New Roman"/>
                <w:bCs/>
                <w:color w:val="auto"/>
                <w:szCs w:val="21"/>
                <w:highlight w:val="none"/>
                <w:lang w:val="en-US" w:eastAsia="zh-CN"/>
              </w:rPr>
              <w:t>2</w:t>
            </w:r>
            <w:r>
              <w:rPr>
                <w:rFonts w:ascii="Times New Roman" w:hAnsi="Times New Roman" w:eastAsia="黑体" w:cs="Times New Roman"/>
                <w:bCs/>
                <w:color w:val="auto"/>
                <w:szCs w:val="21"/>
                <w:highlight w:val="none"/>
              </w:rPr>
              <w:t xml:space="preserve"> 废水类别、污染物及治理设施信息表</w:t>
            </w:r>
          </w:p>
          <w:tbl>
            <w:tblPr>
              <w:tblStyle w:val="18"/>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622"/>
              <w:gridCol w:w="868"/>
              <w:gridCol w:w="631"/>
              <w:gridCol w:w="680"/>
              <w:gridCol w:w="847"/>
              <w:gridCol w:w="841"/>
              <w:gridCol w:w="632"/>
              <w:gridCol w:w="753"/>
              <w:gridCol w:w="617"/>
              <w:gridCol w:w="617"/>
            </w:tblGrid>
            <w:tr w14:paraId="2FBA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Merge w:val="restart"/>
                  <w:tcBorders>
                    <w:top w:val="single" w:color="auto" w:sz="8" w:space="0"/>
                  </w:tcBorders>
                  <w:vAlign w:val="center"/>
                </w:tcPr>
                <w:p w14:paraId="7029FC6A">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序号</w:t>
                  </w:r>
                </w:p>
              </w:tc>
              <w:tc>
                <w:tcPr>
                  <w:tcW w:w="402" w:type="pct"/>
                  <w:vMerge w:val="restart"/>
                  <w:tcBorders>
                    <w:top w:val="single" w:color="auto" w:sz="8" w:space="0"/>
                  </w:tcBorders>
                  <w:vAlign w:val="center"/>
                </w:tcPr>
                <w:p w14:paraId="5F4A8AA5">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废水类别</w:t>
                  </w:r>
                </w:p>
              </w:tc>
              <w:tc>
                <w:tcPr>
                  <w:tcW w:w="561" w:type="pct"/>
                  <w:vMerge w:val="restart"/>
                  <w:tcBorders>
                    <w:top w:val="single" w:color="auto" w:sz="8" w:space="0"/>
                  </w:tcBorders>
                  <w:vAlign w:val="center"/>
                </w:tcPr>
                <w:p w14:paraId="4EAE26A0">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污染物种类</w:t>
                  </w:r>
                </w:p>
              </w:tc>
              <w:tc>
                <w:tcPr>
                  <w:tcW w:w="408" w:type="pct"/>
                  <w:vMerge w:val="restart"/>
                  <w:tcBorders>
                    <w:top w:val="single" w:color="auto" w:sz="8" w:space="0"/>
                  </w:tcBorders>
                  <w:vAlign w:val="center"/>
                </w:tcPr>
                <w:p w14:paraId="4616C9DF">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排放去向</w:t>
                  </w:r>
                </w:p>
              </w:tc>
              <w:tc>
                <w:tcPr>
                  <w:tcW w:w="440" w:type="pct"/>
                  <w:vMerge w:val="restart"/>
                  <w:tcBorders>
                    <w:top w:val="single" w:color="auto" w:sz="8" w:space="0"/>
                  </w:tcBorders>
                  <w:vAlign w:val="center"/>
                </w:tcPr>
                <w:p w14:paraId="127DF096">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排放规律</w:t>
                  </w:r>
                </w:p>
              </w:tc>
              <w:tc>
                <w:tcPr>
                  <w:tcW w:w="1501" w:type="pct"/>
                  <w:gridSpan w:val="3"/>
                  <w:vMerge w:val="restart"/>
                  <w:tcBorders>
                    <w:top w:val="single" w:color="auto" w:sz="8" w:space="0"/>
                  </w:tcBorders>
                  <w:vAlign w:val="center"/>
                </w:tcPr>
                <w:p w14:paraId="1677A3B5">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污染治理设施</w:t>
                  </w:r>
                </w:p>
              </w:tc>
              <w:tc>
                <w:tcPr>
                  <w:tcW w:w="487" w:type="pct"/>
                  <w:vMerge w:val="restart"/>
                  <w:tcBorders>
                    <w:top w:val="single" w:color="auto" w:sz="8" w:space="0"/>
                  </w:tcBorders>
                  <w:vAlign w:val="center"/>
                </w:tcPr>
                <w:p w14:paraId="4FF51C92">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排放口编号</w:t>
                  </w:r>
                </w:p>
              </w:tc>
              <w:tc>
                <w:tcPr>
                  <w:tcW w:w="399" w:type="pct"/>
                  <w:vMerge w:val="restart"/>
                  <w:tcBorders>
                    <w:top w:val="single" w:color="auto" w:sz="8" w:space="0"/>
                  </w:tcBorders>
                  <w:vAlign w:val="center"/>
                </w:tcPr>
                <w:p w14:paraId="13D9C708">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排放口设置是否符合要求</w:t>
                  </w:r>
                </w:p>
              </w:tc>
              <w:tc>
                <w:tcPr>
                  <w:tcW w:w="399" w:type="pct"/>
                  <w:vMerge w:val="restart"/>
                  <w:tcBorders>
                    <w:top w:val="single" w:color="auto" w:sz="8" w:space="0"/>
                    <w:right w:val="nil"/>
                  </w:tcBorders>
                  <w:vAlign w:val="center"/>
                </w:tcPr>
                <w:p w14:paraId="5E330E04">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排放类型</w:t>
                  </w:r>
                </w:p>
              </w:tc>
            </w:tr>
            <w:tr w14:paraId="4434D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Merge w:val="continue"/>
                  <w:tcBorders>
                    <w:left w:val="nil"/>
                  </w:tcBorders>
                  <w:vAlign w:val="center"/>
                </w:tcPr>
                <w:p w14:paraId="2CD32A7A">
                  <w:pPr>
                    <w:widowControl/>
                    <w:jc w:val="left"/>
                    <w:rPr>
                      <w:rFonts w:ascii="Times New Roman" w:hAnsi="Times New Roman" w:cs="Times New Roman"/>
                      <w:color w:val="auto"/>
                      <w:kern w:val="0"/>
                      <w:sz w:val="18"/>
                      <w:szCs w:val="18"/>
                      <w:highlight w:val="none"/>
                    </w:rPr>
                  </w:pPr>
                </w:p>
              </w:tc>
              <w:tc>
                <w:tcPr>
                  <w:tcW w:w="402" w:type="pct"/>
                  <w:vMerge w:val="continue"/>
                  <w:vAlign w:val="center"/>
                </w:tcPr>
                <w:p w14:paraId="143B816A">
                  <w:pPr>
                    <w:widowControl/>
                    <w:jc w:val="left"/>
                    <w:rPr>
                      <w:rFonts w:ascii="Times New Roman" w:hAnsi="Times New Roman" w:cs="Times New Roman"/>
                      <w:color w:val="auto"/>
                      <w:kern w:val="0"/>
                      <w:sz w:val="18"/>
                      <w:szCs w:val="18"/>
                      <w:highlight w:val="none"/>
                    </w:rPr>
                  </w:pPr>
                </w:p>
              </w:tc>
              <w:tc>
                <w:tcPr>
                  <w:tcW w:w="561" w:type="pct"/>
                  <w:vMerge w:val="continue"/>
                  <w:vAlign w:val="center"/>
                </w:tcPr>
                <w:p w14:paraId="6FE8EA16">
                  <w:pPr>
                    <w:widowControl/>
                    <w:jc w:val="left"/>
                    <w:rPr>
                      <w:rFonts w:ascii="Times New Roman" w:hAnsi="Times New Roman" w:cs="Times New Roman"/>
                      <w:color w:val="auto"/>
                      <w:kern w:val="0"/>
                      <w:sz w:val="18"/>
                      <w:szCs w:val="18"/>
                      <w:highlight w:val="none"/>
                    </w:rPr>
                  </w:pPr>
                </w:p>
              </w:tc>
              <w:tc>
                <w:tcPr>
                  <w:tcW w:w="408" w:type="pct"/>
                  <w:vMerge w:val="continue"/>
                  <w:vAlign w:val="center"/>
                </w:tcPr>
                <w:p w14:paraId="0758988A">
                  <w:pPr>
                    <w:widowControl/>
                    <w:jc w:val="left"/>
                    <w:rPr>
                      <w:rFonts w:ascii="Times New Roman" w:hAnsi="Times New Roman" w:cs="Times New Roman"/>
                      <w:color w:val="auto"/>
                      <w:kern w:val="0"/>
                      <w:sz w:val="18"/>
                      <w:szCs w:val="18"/>
                      <w:highlight w:val="none"/>
                    </w:rPr>
                  </w:pPr>
                </w:p>
              </w:tc>
              <w:tc>
                <w:tcPr>
                  <w:tcW w:w="440" w:type="pct"/>
                  <w:vMerge w:val="continue"/>
                  <w:vAlign w:val="center"/>
                </w:tcPr>
                <w:p w14:paraId="4AD5A657">
                  <w:pPr>
                    <w:widowControl/>
                    <w:jc w:val="left"/>
                    <w:rPr>
                      <w:rFonts w:ascii="Times New Roman" w:hAnsi="Times New Roman" w:cs="Times New Roman"/>
                      <w:color w:val="auto"/>
                      <w:kern w:val="0"/>
                      <w:sz w:val="18"/>
                      <w:szCs w:val="18"/>
                      <w:highlight w:val="none"/>
                    </w:rPr>
                  </w:pPr>
                </w:p>
              </w:tc>
              <w:tc>
                <w:tcPr>
                  <w:tcW w:w="1501" w:type="pct"/>
                  <w:gridSpan w:val="3"/>
                  <w:vMerge w:val="continue"/>
                  <w:vAlign w:val="center"/>
                </w:tcPr>
                <w:p w14:paraId="02C296BD">
                  <w:pPr>
                    <w:widowControl/>
                    <w:jc w:val="left"/>
                    <w:rPr>
                      <w:rFonts w:ascii="Times New Roman" w:hAnsi="Times New Roman" w:cs="Times New Roman"/>
                      <w:color w:val="auto"/>
                      <w:kern w:val="0"/>
                      <w:sz w:val="18"/>
                      <w:szCs w:val="18"/>
                      <w:highlight w:val="none"/>
                    </w:rPr>
                  </w:pPr>
                </w:p>
              </w:tc>
              <w:tc>
                <w:tcPr>
                  <w:tcW w:w="487" w:type="pct"/>
                  <w:vMerge w:val="continue"/>
                  <w:vAlign w:val="center"/>
                </w:tcPr>
                <w:p w14:paraId="4844E41A">
                  <w:pPr>
                    <w:widowControl/>
                    <w:jc w:val="left"/>
                    <w:rPr>
                      <w:rFonts w:ascii="Times New Roman" w:hAnsi="Times New Roman" w:cs="Times New Roman"/>
                      <w:color w:val="auto"/>
                      <w:kern w:val="0"/>
                      <w:sz w:val="18"/>
                      <w:szCs w:val="18"/>
                      <w:highlight w:val="none"/>
                    </w:rPr>
                  </w:pPr>
                </w:p>
              </w:tc>
              <w:tc>
                <w:tcPr>
                  <w:tcW w:w="399" w:type="pct"/>
                  <w:vMerge w:val="continue"/>
                  <w:vAlign w:val="center"/>
                </w:tcPr>
                <w:p w14:paraId="5B31020F">
                  <w:pPr>
                    <w:widowControl/>
                    <w:jc w:val="left"/>
                    <w:rPr>
                      <w:rFonts w:ascii="Times New Roman" w:hAnsi="Times New Roman" w:cs="Times New Roman"/>
                      <w:color w:val="auto"/>
                      <w:kern w:val="0"/>
                      <w:sz w:val="18"/>
                      <w:szCs w:val="18"/>
                      <w:highlight w:val="none"/>
                    </w:rPr>
                  </w:pPr>
                </w:p>
              </w:tc>
              <w:tc>
                <w:tcPr>
                  <w:tcW w:w="399" w:type="pct"/>
                  <w:vMerge w:val="continue"/>
                  <w:tcBorders>
                    <w:right w:val="nil"/>
                  </w:tcBorders>
                  <w:vAlign w:val="center"/>
                </w:tcPr>
                <w:p w14:paraId="3DF871B8">
                  <w:pPr>
                    <w:widowControl/>
                    <w:jc w:val="left"/>
                    <w:rPr>
                      <w:rFonts w:ascii="Times New Roman" w:hAnsi="Times New Roman" w:cs="Times New Roman"/>
                      <w:color w:val="auto"/>
                      <w:kern w:val="0"/>
                      <w:sz w:val="18"/>
                      <w:szCs w:val="18"/>
                      <w:highlight w:val="none"/>
                    </w:rPr>
                  </w:pPr>
                </w:p>
              </w:tc>
            </w:tr>
            <w:tr w14:paraId="42C22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vMerge w:val="continue"/>
                  <w:tcBorders>
                    <w:left w:val="nil"/>
                  </w:tcBorders>
                  <w:vAlign w:val="center"/>
                </w:tcPr>
                <w:p w14:paraId="6DAE355E">
                  <w:pPr>
                    <w:widowControl/>
                    <w:jc w:val="left"/>
                    <w:rPr>
                      <w:rFonts w:ascii="Times New Roman" w:hAnsi="Times New Roman" w:cs="Times New Roman"/>
                      <w:color w:val="auto"/>
                      <w:kern w:val="0"/>
                      <w:sz w:val="18"/>
                      <w:szCs w:val="18"/>
                      <w:highlight w:val="none"/>
                    </w:rPr>
                  </w:pPr>
                </w:p>
              </w:tc>
              <w:tc>
                <w:tcPr>
                  <w:tcW w:w="402" w:type="pct"/>
                  <w:vMerge w:val="continue"/>
                  <w:vAlign w:val="center"/>
                </w:tcPr>
                <w:p w14:paraId="026CB07F">
                  <w:pPr>
                    <w:widowControl/>
                    <w:jc w:val="left"/>
                    <w:rPr>
                      <w:rFonts w:ascii="Times New Roman" w:hAnsi="Times New Roman" w:cs="Times New Roman"/>
                      <w:color w:val="auto"/>
                      <w:kern w:val="0"/>
                      <w:sz w:val="18"/>
                      <w:szCs w:val="18"/>
                      <w:highlight w:val="none"/>
                    </w:rPr>
                  </w:pPr>
                </w:p>
              </w:tc>
              <w:tc>
                <w:tcPr>
                  <w:tcW w:w="561" w:type="pct"/>
                  <w:vMerge w:val="continue"/>
                  <w:vAlign w:val="center"/>
                </w:tcPr>
                <w:p w14:paraId="4F0B07B9">
                  <w:pPr>
                    <w:widowControl/>
                    <w:jc w:val="left"/>
                    <w:rPr>
                      <w:rFonts w:ascii="Times New Roman" w:hAnsi="Times New Roman" w:cs="Times New Roman"/>
                      <w:color w:val="auto"/>
                      <w:kern w:val="0"/>
                      <w:sz w:val="18"/>
                      <w:szCs w:val="18"/>
                      <w:highlight w:val="none"/>
                    </w:rPr>
                  </w:pPr>
                </w:p>
              </w:tc>
              <w:tc>
                <w:tcPr>
                  <w:tcW w:w="408" w:type="pct"/>
                  <w:vMerge w:val="continue"/>
                  <w:vAlign w:val="center"/>
                </w:tcPr>
                <w:p w14:paraId="370424A1">
                  <w:pPr>
                    <w:widowControl/>
                    <w:jc w:val="left"/>
                    <w:rPr>
                      <w:rFonts w:ascii="Times New Roman" w:hAnsi="Times New Roman" w:cs="Times New Roman"/>
                      <w:color w:val="auto"/>
                      <w:kern w:val="0"/>
                      <w:sz w:val="18"/>
                      <w:szCs w:val="18"/>
                      <w:highlight w:val="none"/>
                    </w:rPr>
                  </w:pPr>
                </w:p>
              </w:tc>
              <w:tc>
                <w:tcPr>
                  <w:tcW w:w="440" w:type="pct"/>
                  <w:vMerge w:val="continue"/>
                  <w:vAlign w:val="center"/>
                </w:tcPr>
                <w:p w14:paraId="2180D4E2">
                  <w:pPr>
                    <w:widowControl/>
                    <w:jc w:val="left"/>
                    <w:rPr>
                      <w:rFonts w:ascii="Times New Roman" w:hAnsi="Times New Roman" w:cs="Times New Roman"/>
                      <w:color w:val="auto"/>
                      <w:kern w:val="0"/>
                      <w:sz w:val="18"/>
                      <w:szCs w:val="18"/>
                      <w:highlight w:val="none"/>
                    </w:rPr>
                  </w:pPr>
                </w:p>
              </w:tc>
              <w:tc>
                <w:tcPr>
                  <w:tcW w:w="548" w:type="pct"/>
                  <w:vAlign w:val="center"/>
                </w:tcPr>
                <w:p w14:paraId="01355E08">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污染治理设施编号</w:t>
                  </w:r>
                </w:p>
              </w:tc>
              <w:tc>
                <w:tcPr>
                  <w:tcW w:w="544" w:type="pct"/>
                  <w:vAlign w:val="center"/>
                </w:tcPr>
                <w:p w14:paraId="3C076E1E">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污染治理设施名称</w:t>
                  </w:r>
                </w:p>
              </w:tc>
              <w:tc>
                <w:tcPr>
                  <w:tcW w:w="408" w:type="pct"/>
                  <w:vAlign w:val="center"/>
                </w:tcPr>
                <w:p w14:paraId="3D3F7287">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污染治理设施工艺</w:t>
                  </w:r>
                </w:p>
              </w:tc>
              <w:tc>
                <w:tcPr>
                  <w:tcW w:w="487" w:type="pct"/>
                  <w:vMerge w:val="continue"/>
                  <w:vAlign w:val="center"/>
                </w:tcPr>
                <w:p w14:paraId="53CBE968">
                  <w:pPr>
                    <w:widowControl/>
                    <w:jc w:val="left"/>
                    <w:rPr>
                      <w:rFonts w:ascii="Times New Roman" w:hAnsi="Times New Roman" w:cs="Times New Roman"/>
                      <w:color w:val="auto"/>
                      <w:kern w:val="0"/>
                      <w:sz w:val="18"/>
                      <w:szCs w:val="18"/>
                      <w:highlight w:val="none"/>
                    </w:rPr>
                  </w:pPr>
                </w:p>
              </w:tc>
              <w:tc>
                <w:tcPr>
                  <w:tcW w:w="399" w:type="pct"/>
                  <w:vMerge w:val="continue"/>
                  <w:vAlign w:val="center"/>
                </w:tcPr>
                <w:p w14:paraId="4E54B60E">
                  <w:pPr>
                    <w:widowControl/>
                    <w:jc w:val="left"/>
                    <w:rPr>
                      <w:rFonts w:ascii="Times New Roman" w:hAnsi="Times New Roman" w:cs="Times New Roman"/>
                      <w:color w:val="auto"/>
                      <w:kern w:val="0"/>
                      <w:sz w:val="18"/>
                      <w:szCs w:val="18"/>
                      <w:highlight w:val="none"/>
                    </w:rPr>
                  </w:pPr>
                </w:p>
              </w:tc>
              <w:tc>
                <w:tcPr>
                  <w:tcW w:w="399" w:type="pct"/>
                  <w:vMerge w:val="continue"/>
                  <w:tcBorders>
                    <w:right w:val="nil"/>
                  </w:tcBorders>
                  <w:vAlign w:val="center"/>
                </w:tcPr>
                <w:p w14:paraId="749C209B">
                  <w:pPr>
                    <w:widowControl/>
                    <w:jc w:val="left"/>
                    <w:rPr>
                      <w:rFonts w:ascii="Times New Roman" w:hAnsi="Times New Roman" w:cs="Times New Roman"/>
                      <w:color w:val="auto"/>
                      <w:kern w:val="0"/>
                      <w:sz w:val="18"/>
                      <w:szCs w:val="18"/>
                      <w:highlight w:val="none"/>
                    </w:rPr>
                  </w:pPr>
                </w:p>
              </w:tc>
            </w:tr>
            <w:tr w14:paraId="6067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0" w:type="pct"/>
                  <w:tcBorders>
                    <w:left w:val="nil"/>
                    <w:bottom w:val="single" w:color="auto" w:sz="8" w:space="0"/>
                  </w:tcBorders>
                  <w:vAlign w:val="center"/>
                </w:tcPr>
                <w:p w14:paraId="20A08653">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1</w:t>
                  </w:r>
                </w:p>
              </w:tc>
              <w:tc>
                <w:tcPr>
                  <w:tcW w:w="402" w:type="pct"/>
                  <w:tcBorders>
                    <w:bottom w:val="single" w:color="auto" w:sz="8" w:space="0"/>
                  </w:tcBorders>
                  <w:vAlign w:val="center"/>
                </w:tcPr>
                <w:p w14:paraId="16590E10">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生活污水</w:t>
                  </w:r>
                </w:p>
              </w:tc>
              <w:tc>
                <w:tcPr>
                  <w:tcW w:w="561" w:type="pct"/>
                  <w:tcBorders>
                    <w:bottom w:val="single" w:color="auto" w:sz="8" w:space="0"/>
                  </w:tcBorders>
                  <w:vAlign w:val="center"/>
                </w:tcPr>
                <w:p w14:paraId="1C7435F1">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pH</w:t>
                  </w:r>
                  <w:r>
                    <w:rPr>
                      <w:rFonts w:ascii="Times New Roman" w:hAnsi="Times New Roman" w:cs="Times New Roman"/>
                      <w:color w:val="auto"/>
                      <w:kern w:val="0"/>
                      <w:sz w:val="18"/>
                      <w:szCs w:val="18"/>
                      <w:highlight w:val="none"/>
                    </w:rPr>
                    <w:t>、</w:t>
                  </w:r>
                  <w:r>
                    <w:rPr>
                      <w:rFonts w:ascii="Times New Roman" w:hAnsi="Times New Roman" w:eastAsia="等线" w:cs="Times New Roman"/>
                      <w:color w:val="auto"/>
                      <w:kern w:val="0"/>
                      <w:sz w:val="18"/>
                      <w:szCs w:val="18"/>
                      <w:highlight w:val="none"/>
                    </w:rPr>
                    <w:t>COD</w:t>
                  </w:r>
                  <w:r>
                    <w:rPr>
                      <w:rFonts w:ascii="Times New Roman" w:hAnsi="Times New Roman" w:cs="Times New Roman"/>
                      <w:color w:val="auto"/>
                      <w:kern w:val="0"/>
                      <w:sz w:val="18"/>
                      <w:szCs w:val="18"/>
                      <w:highlight w:val="none"/>
                    </w:rPr>
                    <w:t>、</w:t>
                  </w:r>
                  <w:r>
                    <w:rPr>
                      <w:rFonts w:ascii="Times New Roman" w:hAnsi="Times New Roman" w:eastAsia="等线" w:cs="Times New Roman"/>
                      <w:color w:val="auto"/>
                      <w:kern w:val="0"/>
                      <w:sz w:val="18"/>
                      <w:szCs w:val="18"/>
                      <w:highlight w:val="none"/>
                    </w:rPr>
                    <w:t>SS</w:t>
                  </w:r>
                  <w:r>
                    <w:rPr>
                      <w:rFonts w:ascii="Times New Roman" w:hAnsi="Times New Roman" w:cs="Times New Roman"/>
                      <w:color w:val="auto"/>
                      <w:kern w:val="0"/>
                      <w:sz w:val="18"/>
                      <w:szCs w:val="18"/>
                      <w:highlight w:val="none"/>
                    </w:rPr>
                    <w:t>、</w:t>
                  </w:r>
                  <w:r>
                    <w:rPr>
                      <w:rFonts w:ascii="Times New Roman" w:hAnsi="Times New Roman" w:eastAsia="等线" w:cs="Times New Roman"/>
                      <w:color w:val="auto"/>
                      <w:kern w:val="0"/>
                      <w:sz w:val="18"/>
                      <w:szCs w:val="18"/>
                      <w:highlight w:val="none"/>
                    </w:rPr>
                    <w:t>NH</w:t>
                  </w:r>
                  <w:r>
                    <w:rPr>
                      <w:rFonts w:ascii="Times New Roman" w:hAnsi="Times New Roman" w:eastAsia="等线" w:cs="Times New Roman"/>
                      <w:color w:val="auto"/>
                      <w:kern w:val="0"/>
                      <w:sz w:val="18"/>
                      <w:szCs w:val="18"/>
                      <w:highlight w:val="none"/>
                      <w:vertAlign w:val="subscript"/>
                    </w:rPr>
                    <w:t>3</w:t>
                  </w:r>
                  <w:r>
                    <w:rPr>
                      <w:rFonts w:ascii="Times New Roman" w:hAnsi="Times New Roman" w:eastAsia="等线" w:cs="Times New Roman"/>
                      <w:color w:val="auto"/>
                      <w:kern w:val="0"/>
                      <w:sz w:val="18"/>
                      <w:szCs w:val="18"/>
                      <w:highlight w:val="none"/>
                    </w:rPr>
                    <w:t>-N</w:t>
                  </w:r>
                  <w:r>
                    <w:rPr>
                      <w:rFonts w:ascii="Times New Roman" w:hAnsi="Times New Roman" w:cs="Times New Roman"/>
                      <w:color w:val="auto"/>
                      <w:kern w:val="0"/>
                      <w:sz w:val="18"/>
                      <w:szCs w:val="18"/>
                      <w:highlight w:val="none"/>
                    </w:rPr>
                    <w:t>、</w:t>
                  </w:r>
                  <w:r>
                    <w:rPr>
                      <w:rFonts w:ascii="Times New Roman" w:hAnsi="Times New Roman" w:eastAsia="等线" w:cs="Times New Roman"/>
                      <w:color w:val="auto"/>
                      <w:kern w:val="0"/>
                      <w:sz w:val="18"/>
                      <w:szCs w:val="18"/>
                      <w:highlight w:val="none"/>
                    </w:rPr>
                    <w:t>BOD</w:t>
                  </w:r>
                  <w:r>
                    <w:rPr>
                      <w:rFonts w:ascii="Times New Roman" w:hAnsi="Times New Roman" w:eastAsia="等线" w:cs="Times New Roman"/>
                      <w:color w:val="auto"/>
                      <w:kern w:val="0"/>
                      <w:sz w:val="18"/>
                      <w:szCs w:val="18"/>
                      <w:highlight w:val="none"/>
                      <w:vertAlign w:val="subscript"/>
                    </w:rPr>
                    <w:t>5</w:t>
                  </w:r>
                </w:p>
              </w:tc>
              <w:tc>
                <w:tcPr>
                  <w:tcW w:w="408" w:type="pct"/>
                  <w:tcBorders>
                    <w:bottom w:val="single" w:color="auto" w:sz="8" w:space="0"/>
                  </w:tcBorders>
                  <w:vAlign w:val="center"/>
                </w:tcPr>
                <w:p w14:paraId="53CACE75">
                  <w:pPr>
                    <w:widowControl/>
                    <w:jc w:val="center"/>
                    <w:rPr>
                      <w:rFonts w:ascii="Times New Roman" w:hAnsi="Times New Roman" w:eastAsia="宋体" w:cs="Times New Roman"/>
                      <w:color w:val="auto"/>
                      <w:kern w:val="0"/>
                      <w:sz w:val="18"/>
                      <w:szCs w:val="18"/>
                      <w:highlight w:val="none"/>
                    </w:rPr>
                  </w:pPr>
                  <w:r>
                    <w:rPr>
                      <w:rFonts w:hint="eastAsia" w:ascii="Times New Roman" w:hAnsi="Times New Roman" w:cs="Times New Roman"/>
                      <w:color w:val="auto"/>
                      <w:kern w:val="0"/>
                      <w:sz w:val="18"/>
                      <w:szCs w:val="18"/>
                      <w:highlight w:val="none"/>
                    </w:rPr>
                    <w:t>八公山</w:t>
                  </w:r>
                  <w:r>
                    <w:rPr>
                      <w:rFonts w:ascii="Times New Roman" w:hAnsi="Times New Roman" w:cs="Times New Roman"/>
                      <w:color w:val="auto"/>
                      <w:kern w:val="0"/>
                      <w:sz w:val="18"/>
                      <w:szCs w:val="18"/>
                      <w:highlight w:val="none"/>
                    </w:rPr>
                    <w:t>污水处理厂</w:t>
                  </w:r>
                </w:p>
              </w:tc>
              <w:tc>
                <w:tcPr>
                  <w:tcW w:w="440" w:type="pct"/>
                  <w:tcBorders>
                    <w:bottom w:val="single" w:color="auto" w:sz="8" w:space="0"/>
                  </w:tcBorders>
                  <w:vAlign w:val="center"/>
                </w:tcPr>
                <w:p w14:paraId="134F9D6D">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间歇排放</w:t>
                  </w:r>
                </w:p>
              </w:tc>
              <w:tc>
                <w:tcPr>
                  <w:tcW w:w="548" w:type="pct"/>
                  <w:tcBorders>
                    <w:bottom w:val="single" w:color="auto" w:sz="8" w:space="0"/>
                  </w:tcBorders>
                  <w:vAlign w:val="center"/>
                </w:tcPr>
                <w:p w14:paraId="431166FB">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TW001</w:t>
                  </w:r>
                </w:p>
              </w:tc>
              <w:tc>
                <w:tcPr>
                  <w:tcW w:w="544" w:type="pct"/>
                  <w:tcBorders>
                    <w:bottom w:val="single" w:color="auto" w:sz="8" w:space="0"/>
                  </w:tcBorders>
                  <w:vAlign w:val="center"/>
                </w:tcPr>
                <w:p w14:paraId="7E2565E4">
                  <w:pPr>
                    <w:widowControl/>
                    <w:jc w:val="center"/>
                    <w:rPr>
                      <w:rFonts w:ascii="Times New Roman" w:hAnsi="Times New Roman" w:cs="Times New Roman"/>
                      <w:color w:val="auto"/>
                      <w:kern w:val="0"/>
                      <w:sz w:val="18"/>
                      <w:szCs w:val="18"/>
                      <w:highlight w:val="none"/>
                    </w:rPr>
                  </w:pPr>
                  <w:r>
                    <w:rPr>
                      <w:rFonts w:hint="eastAsia" w:ascii="Times New Roman" w:hAnsi="Times New Roman" w:cs="Times New Roman"/>
                      <w:color w:val="auto"/>
                      <w:kern w:val="0"/>
                      <w:sz w:val="18"/>
                      <w:szCs w:val="18"/>
                      <w:highlight w:val="none"/>
                    </w:rPr>
                    <w:t>化粪池</w:t>
                  </w:r>
                </w:p>
              </w:tc>
              <w:tc>
                <w:tcPr>
                  <w:tcW w:w="408" w:type="pct"/>
                  <w:tcBorders>
                    <w:bottom w:val="single" w:color="auto" w:sz="8" w:space="0"/>
                  </w:tcBorders>
                  <w:vAlign w:val="center"/>
                </w:tcPr>
                <w:p w14:paraId="2D1F6A62">
                  <w:pPr>
                    <w:widowControl/>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w:t>
                  </w:r>
                </w:p>
              </w:tc>
              <w:tc>
                <w:tcPr>
                  <w:tcW w:w="487" w:type="pct"/>
                  <w:tcBorders>
                    <w:bottom w:val="single" w:color="auto" w:sz="8" w:space="0"/>
                  </w:tcBorders>
                  <w:vAlign w:val="center"/>
                </w:tcPr>
                <w:p w14:paraId="4F21D5D4">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DW001</w:t>
                  </w:r>
                </w:p>
              </w:tc>
              <w:tc>
                <w:tcPr>
                  <w:tcW w:w="399" w:type="pct"/>
                  <w:tcBorders>
                    <w:bottom w:val="single" w:color="auto" w:sz="8" w:space="0"/>
                  </w:tcBorders>
                  <w:vAlign w:val="center"/>
                </w:tcPr>
                <w:p w14:paraId="4E598C40">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是</w:t>
                  </w:r>
                </w:p>
              </w:tc>
              <w:tc>
                <w:tcPr>
                  <w:tcW w:w="399" w:type="pct"/>
                  <w:tcBorders>
                    <w:bottom w:val="single" w:color="auto" w:sz="8" w:space="0"/>
                    <w:right w:val="nil"/>
                  </w:tcBorders>
                  <w:vAlign w:val="center"/>
                </w:tcPr>
                <w:p w14:paraId="3A9E52D5">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■企业总排</w:t>
                  </w:r>
                </w:p>
              </w:tc>
            </w:tr>
          </w:tbl>
          <w:p w14:paraId="2486A113">
            <w:pPr>
              <w:spacing w:line="460" w:lineRule="exact"/>
              <w:jc w:val="center"/>
              <w:rPr>
                <w:rFonts w:ascii="Times New Roman" w:hAnsi="Times New Roman" w:eastAsia="黑体" w:cs="Times New Roman"/>
                <w:bCs/>
                <w:color w:val="auto"/>
                <w:szCs w:val="21"/>
                <w:highlight w:val="none"/>
              </w:rPr>
            </w:pPr>
            <w:r>
              <w:rPr>
                <w:rFonts w:ascii="Times New Roman" w:hAnsi="Times New Roman" w:eastAsia="黑体" w:cs="Times New Roman"/>
                <w:bCs/>
                <w:color w:val="auto"/>
                <w:szCs w:val="21"/>
                <w:highlight w:val="none"/>
              </w:rPr>
              <w:t>表4-</w:t>
            </w:r>
            <w:r>
              <w:rPr>
                <w:rFonts w:hint="eastAsia" w:ascii="Times New Roman" w:hAnsi="Times New Roman" w:eastAsia="黑体" w:cs="Times New Roman"/>
                <w:bCs/>
                <w:color w:val="auto"/>
                <w:szCs w:val="21"/>
                <w:highlight w:val="none"/>
                <w:lang w:val="en-US" w:eastAsia="zh-CN"/>
              </w:rPr>
              <w:t>3</w:t>
            </w:r>
            <w:r>
              <w:rPr>
                <w:rFonts w:ascii="Times New Roman" w:hAnsi="Times New Roman" w:eastAsia="黑体" w:cs="Times New Roman"/>
                <w:bCs/>
                <w:color w:val="auto"/>
                <w:szCs w:val="21"/>
                <w:highlight w:val="none"/>
              </w:rPr>
              <w:t xml:space="preserve"> 废水间接排放口基本情况表</w:t>
            </w:r>
          </w:p>
          <w:tbl>
            <w:tblPr>
              <w:tblStyle w:val="18"/>
              <w:tblW w:w="5000" w:type="pct"/>
              <w:tblInd w:w="0" w:type="dxa"/>
              <w:tblLayout w:type="fixed"/>
              <w:tblCellMar>
                <w:top w:w="0" w:type="dxa"/>
                <w:left w:w="108" w:type="dxa"/>
                <w:bottom w:w="0" w:type="dxa"/>
                <w:right w:w="108" w:type="dxa"/>
              </w:tblCellMar>
            </w:tblPr>
            <w:tblGrid>
              <w:gridCol w:w="617"/>
              <w:gridCol w:w="762"/>
              <w:gridCol w:w="621"/>
              <w:gridCol w:w="690"/>
              <w:gridCol w:w="672"/>
              <w:gridCol w:w="842"/>
              <w:gridCol w:w="842"/>
              <w:gridCol w:w="616"/>
              <w:gridCol w:w="618"/>
              <w:gridCol w:w="704"/>
              <w:gridCol w:w="754"/>
            </w:tblGrid>
            <w:tr w14:paraId="19423689">
              <w:tblPrEx>
                <w:tblCellMar>
                  <w:top w:w="0" w:type="dxa"/>
                  <w:left w:w="108" w:type="dxa"/>
                  <w:bottom w:w="0" w:type="dxa"/>
                  <w:right w:w="108" w:type="dxa"/>
                </w:tblCellMar>
              </w:tblPrEx>
              <w:trPr>
                <w:trHeight w:val="340" w:hRule="atLeast"/>
              </w:trPr>
              <w:tc>
                <w:tcPr>
                  <w:tcW w:w="399" w:type="pct"/>
                  <w:vMerge w:val="restart"/>
                  <w:tcBorders>
                    <w:top w:val="single" w:color="auto" w:sz="8" w:space="0"/>
                    <w:left w:val="single" w:color="auto" w:sz="4" w:space="0"/>
                    <w:bottom w:val="single" w:color="auto" w:sz="4" w:space="0"/>
                    <w:right w:val="single" w:color="auto" w:sz="4" w:space="0"/>
                  </w:tcBorders>
                  <w:vAlign w:val="center"/>
                </w:tcPr>
                <w:p w14:paraId="00CE1E18">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序号</w:t>
                  </w:r>
                </w:p>
              </w:tc>
              <w:tc>
                <w:tcPr>
                  <w:tcW w:w="493" w:type="pct"/>
                  <w:vMerge w:val="restart"/>
                  <w:tcBorders>
                    <w:top w:val="single" w:color="auto" w:sz="8" w:space="0"/>
                    <w:left w:val="single" w:color="auto" w:sz="4" w:space="0"/>
                    <w:bottom w:val="single" w:color="auto" w:sz="4" w:space="0"/>
                    <w:right w:val="single" w:color="auto" w:sz="4" w:space="0"/>
                  </w:tcBorders>
                  <w:vAlign w:val="center"/>
                </w:tcPr>
                <w:p w14:paraId="5D6F1ADC">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排放口编号</w:t>
                  </w:r>
                </w:p>
              </w:tc>
              <w:tc>
                <w:tcPr>
                  <w:tcW w:w="847" w:type="pct"/>
                  <w:gridSpan w:val="2"/>
                  <w:vMerge w:val="restart"/>
                  <w:tcBorders>
                    <w:top w:val="single" w:color="auto" w:sz="8" w:space="0"/>
                    <w:left w:val="single" w:color="auto" w:sz="4" w:space="0"/>
                    <w:bottom w:val="single" w:color="auto" w:sz="4" w:space="0"/>
                    <w:right w:val="single" w:color="auto" w:sz="4" w:space="0"/>
                  </w:tcBorders>
                  <w:vAlign w:val="center"/>
                </w:tcPr>
                <w:p w14:paraId="025DCA5F">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排放口地理坐标</w:t>
                  </w:r>
                </w:p>
              </w:tc>
              <w:tc>
                <w:tcPr>
                  <w:tcW w:w="434" w:type="pct"/>
                  <w:vMerge w:val="restart"/>
                  <w:tcBorders>
                    <w:top w:val="single" w:color="auto" w:sz="8" w:space="0"/>
                    <w:left w:val="single" w:color="auto" w:sz="4" w:space="0"/>
                    <w:bottom w:val="single" w:color="auto" w:sz="4" w:space="0"/>
                    <w:right w:val="single" w:color="auto" w:sz="4" w:space="0"/>
                  </w:tcBorders>
                  <w:vAlign w:val="center"/>
                </w:tcPr>
                <w:p w14:paraId="246999B7">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废水排放量/（万t/a）</w:t>
                  </w:r>
                </w:p>
              </w:tc>
              <w:tc>
                <w:tcPr>
                  <w:tcW w:w="544" w:type="pct"/>
                  <w:vMerge w:val="restart"/>
                  <w:tcBorders>
                    <w:top w:val="single" w:color="auto" w:sz="8" w:space="0"/>
                    <w:left w:val="single" w:color="auto" w:sz="4" w:space="0"/>
                    <w:bottom w:val="single" w:color="auto" w:sz="4" w:space="0"/>
                    <w:right w:val="single" w:color="auto" w:sz="4" w:space="0"/>
                  </w:tcBorders>
                  <w:vAlign w:val="center"/>
                </w:tcPr>
                <w:p w14:paraId="5B53BA6D">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排放去向</w:t>
                  </w:r>
                </w:p>
              </w:tc>
              <w:tc>
                <w:tcPr>
                  <w:tcW w:w="544" w:type="pct"/>
                  <w:vMerge w:val="restart"/>
                  <w:tcBorders>
                    <w:top w:val="single" w:color="auto" w:sz="8" w:space="0"/>
                    <w:left w:val="single" w:color="auto" w:sz="4" w:space="0"/>
                    <w:bottom w:val="single" w:color="auto" w:sz="4" w:space="0"/>
                    <w:right w:val="single" w:color="auto" w:sz="4" w:space="0"/>
                  </w:tcBorders>
                  <w:vAlign w:val="center"/>
                </w:tcPr>
                <w:p w14:paraId="515B074D">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排放规律</w:t>
                  </w:r>
                </w:p>
              </w:tc>
              <w:tc>
                <w:tcPr>
                  <w:tcW w:w="398" w:type="pct"/>
                  <w:vMerge w:val="restart"/>
                  <w:tcBorders>
                    <w:top w:val="single" w:color="auto" w:sz="8" w:space="0"/>
                    <w:left w:val="single" w:color="auto" w:sz="4" w:space="0"/>
                    <w:bottom w:val="single" w:color="auto" w:sz="4" w:space="0"/>
                    <w:right w:val="single" w:color="auto" w:sz="4" w:space="0"/>
                  </w:tcBorders>
                  <w:vAlign w:val="center"/>
                </w:tcPr>
                <w:p w14:paraId="5D721F1E">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间歇排放时段</w:t>
                  </w:r>
                </w:p>
              </w:tc>
              <w:tc>
                <w:tcPr>
                  <w:tcW w:w="1341" w:type="pct"/>
                  <w:gridSpan w:val="3"/>
                  <w:vMerge w:val="restart"/>
                  <w:tcBorders>
                    <w:top w:val="single" w:color="auto" w:sz="8" w:space="0"/>
                    <w:left w:val="single" w:color="auto" w:sz="4" w:space="0"/>
                    <w:bottom w:val="single" w:color="auto" w:sz="4" w:space="0"/>
                    <w:right w:val="nil"/>
                  </w:tcBorders>
                  <w:vAlign w:val="center"/>
                </w:tcPr>
                <w:p w14:paraId="1BAB9625">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受纳污水处理厂信息</w:t>
                  </w:r>
                </w:p>
              </w:tc>
            </w:tr>
            <w:tr w14:paraId="61563C6F">
              <w:tblPrEx>
                <w:tblCellMar>
                  <w:top w:w="0" w:type="dxa"/>
                  <w:left w:w="108" w:type="dxa"/>
                  <w:bottom w:w="0" w:type="dxa"/>
                  <w:right w:w="108" w:type="dxa"/>
                </w:tblCellMar>
              </w:tblPrEx>
              <w:trPr>
                <w:trHeight w:val="340" w:hRule="atLeast"/>
              </w:trPr>
              <w:tc>
                <w:tcPr>
                  <w:tcW w:w="399" w:type="pct"/>
                  <w:vMerge w:val="continue"/>
                  <w:tcBorders>
                    <w:top w:val="single" w:color="auto" w:sz="4" w:space="0"/>
                    <w:left w:val="nil"/>
                    <w:bottom w:val="single" w:color="auto" w:sz="4" w:space="0"/>
                    <w:right w:val="single" w:color="auto" w:sz="4" w:space="0"/>
                  </w:tcBorders>
                  <w:vAlign w:val="center"/>
                </w:tcPr>
                <w:p w14:paraId="202A10F6">
                  <w:pPr>
                    <w:widowControl/>
                    <w:jc w:val="left"/>
                    <w:rPr>
                      <w:rFonts w:ascii="Times New Roman" w:hAnsi="Times New Roman" w:cs="Times New Roman"/>
                      <w:b/>
                      <w:bCs/>
                      <w:color w:val="auto"/>
                      <w:kern w:val="0"/>
                      <w:sz w:val="18"/>
                      <w:szCs w:val="18"/>
                      <w:highlight w:val="none"/>
                    </w:rPr>
                  </w:pPr>
                </w:p>
              </w:tc>
              <w:tc>
                <w:tcPr>
                  <w:tcW w:w="493" w:type="pct"/>
                  <w:vMerge w:val="continue"/>
                  <w:tcBorders>
                    <w:top w:val="single" w:color="auto" w:sz="4" w:space="0"/>
                    <w:left w:val="single" w:color="auto" w:sz="4" w:space="0"/>
                    <w:bottom w:val="single" w:color="auto" w:sz="4" w:space="0"/>
                    <w:right w:val="single" w:color="auto" w:sz="4" w:space="0"/>
                  </w:tcBorders>
                  <w:vAlign w:val="center"/>
                </w:tcPr>
                <w:p w14:paraId="0D821657">
                  <w:pPr>
                    <w:widowControl/>
                    <w:jc w:val="left"/>
                    <w:rPr>
                      <w:rFonts w:ascii="Times New Roman" w:hAnsi="Times New Roman" w:cs="Times New Roman"/>
                      <w:b/>
                      <w:bCs/>
                      <w:color w:val="auto"/>
                      <w:kern w:val="0"/>
                      <w:sz w:val="18"/>
                      <w:szCs w:val="18"/>
                      <w:highlight w:val="none"/>
                    </w:rPr>
                  </w:pPr>
                </w:p>
              </w:tc>
              <w:tc>
                <w:tcPr>
                  <w:tcW w:w="847" w:type="pct"/>
                  <w:gridSpan w:val="2"/>
                  <w:vMerge w:val="continue"/>
                  <w:tcBorders>
                    <w:top w:val="single" w:color="auto" w:sz="4" w:space="0"/>
                    <w:left w:val="single" w:color="auto" w:sz="4" w:space="0"/>
                    <w:bottom w:val="single" w:color="auto" w:sz="4" w:space="0"/>
                    <w:right w:val="single" w:color="auto" w:sz="4" w:space="0"/>
                  </w:tcBorders>
                  <w:vAlign w:val="center"/>
                </w:tcPr>
                <w:p w14:paraId="7272AD45">
                  <w:pPr>
                    <w:widowControl/>
                    <w:jc w:val="left"/>
                    <w:rPr>
                      <w:rFonts w:ascii="Times New Roman" w:hAnsi="Times New Roman" w:cs="Times New Roman"/>
                      <w:b/>
                      <w:bCs/>
                      <w:color w:val="auto"/>
                      <w:kern w:val="0"/>
                      <w:sz w:val="18"/>
                      <w:szCs w:val="18"/>
                      <w:highlight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464EF994">
                  <w:pPr>
                    <w:widowControl/>
                    <w:jc w:val="left"/>
                    <w:rPr>
                      <w:rFonts w:ascii="Times New Roman" w:hAnsi="Times New Roman" w:cs="Times New Roman"/>
                      <w:b/>
                      <w:bCs/>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40330B5B">
                  <w:pPr>
                    <w:widowControl/>
                    <w:jc w:val="left"/>
                    <w:rPr>
                      <w:rFonts w:ascii="Times New Roman" w:hAnsi="Times New Roman" w:cs="Times New Roman"/>
                      <w:b/>
                      <w:bCs/>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04A6414B">
                  <w:pPr>
                    <w:widowControl/>
                    <w:jc w:val="left"/>
                    <w:rPr>
                      <w:rFonts w:ascii="Times New Roman" w:hAnsi="Times New Roman" w:cs="Times New Roman"/>
                      <w:b/>
                      <w:bCs/>
                      <w:color w:val="auto"/>
                      <w:kern w:val="0"/>
                      <w:sz w:val="18"/>
                      <w:szCs w:val="18"/>
                      <w:highlight w:val="none"/>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14:paraId="465B7E98">
                  <w:pPr>
                    <w:widowControl/>
                    <w:jc w:val="left"/>
                    <w:rPr>
                      <w:rFonts w:ascii="Times New Roman" w:hAnsi="Times New Roman" w:cs="Times New Roman"/>
                      <w:b/>
                      <w:bCs/>
                      <w:color w:val="auto"/>
                      <w:kern w:val="0"/>
                      <w:sz w:val="18"/>
                      <w:szCs w:val="18"/>
                      <w:highlight w:val="none"/>
                    </w:rPr>
                  </w:pPr>
                </w:p>
              </w:tc>
              <w:tc>
                <w:tcPr>
                  <w:tcW w:w="1341" w:type="pct"/>
                  <w:gridSpan w:val="3"/>
                  <w:vMerge w:val="continue"/>
                  <w:tcBorders>
                    <w:top w:val="single" w:color="auto" w:sz="4" w:space="0"/>
                    <w:left w:val="single" w:color="auto" w:sz="4" w:space="0"/>
                    <w:bottom w:val="single" w:color="auto" w:sz="4" w:space="0"/>
                    <w:right w:val="nil"/>
                  </w:tcBorders>
                  <w:vAlign w:val="center"/>
                </w:tcPr>
                <w:p w14:paraId="364F9EDD">
                  <w:pPr>
                    <w:widowControl/>
                    <w:jc w:val="left"/>
                    <w:rPr>
                      <w:rFonts w:ascii="Times New Roman" w:hAnsi="Times New Roman" w:cs="Times New Roman"/>
                      <w:b/>
                      <w:bCs/>
                      <w:color w:val="auto"/>
                      <w:kern w:val="0"/>
                      <w:sz w:val="18"/>
                      <w:szCs w:val="18"/>
                      <w:highlight w:val="none"/>
                    </w:rPr>
                  </w:pPr>
                </w:p>
              </w:tc>
            </w:tr>
            <w:tr w14:paraId="4552B5B8">
              <w:tblPrEx>
                <w:tblCellMar>
                  <w:top w:w="0" w:type="dxa"/>
                  <w:left w:w="108" w:type="dxa"/>
                  <w:bottom w:w="0" w:type="dxa"/>
                  <w:right w:w="108" w:type="dxa"/>
                </w:tblCellMar>
              </w:tblPrEx>
              <w:trPr>
                <w:trHeight w:val="340" w:hRule="atLeast"/>
              </w:trPr>
              <w:tc>
                <w:tcPr>
                  <w:tcW w:w="399" w:type="pct"/>
                  <w:vMerge w:val="continue"/>
                  <w:tcBorders>
                    <w:top w:val="single" w:color="auto" w:sz="4" w:space="0"/>
                    <w:left w:val="nil"/>
                    <w:bottom w:val="single" w:color="auto" w:sz="4" w:space="0"/>
                    <w:right w:val="single" w:color="auto" w:sz="4" w:space="0"/>
                  </w:tcBorders>
                  <w:vAlign w:val="center"/>
                </w:tcPr>
                <w:p w14:paraId="16A791D2">
                  <w:pPr>
                    <w:widowControl/>
                    <w:jc w:val="left"/>
                    <w:rPr>
                      <w:rFonts w:ascii="Times New Roman" w:hAnsi="Times New Roman" w:cs="Times New Roman"/>
                      <w:b/>
                      <w:bCs/>
                      <w:color w:val="auto"/>
                      <w:kern w:val="0"/>
                      <w:sz w:val="18"/>
                      <w:szCs w:val="18"/>
                      <w:highlight w:val="none"/>
                    </w:rPr>
                  </w:pPr>
                </w:p>
              </w:tc>
              <w:tc>
                <w:tcPr>
                  <w:tcW w:w="493" w:type="pct"/>
                  <w:vMerge w:val="continue"/>
                  <w:tcBorders>
                    <w:top w:val="single" w:color="auto" w:sz="4" w:space="0"/>
                    <w:left w:val="single" w:color="auto" w:sz="4" w:space="0"/>
                    <w:bottom w:val="single" w:color="auto" w:sz="4" w:space="0"/>
                    <w:right w:val="single" w:color="auto" w:sz="4" w:space="0"/>
                  </w:tcBorders>
                  <w:vAlign w:val="center"/>
                </w:tcPr>
                <w:p w14:paraId="53626030">
                  <w:pPr>
                    <w:widowControl/>
                    <w:jc w:val="left"/>
                    <w:rPr>
                      <w:rFonts w:ascii="Times New Roman" w:hAnsi="Times New Roman" w:cs="Times New Roman"/>
                      <w:b/>
                      <w:bCs/>
                      <w:color w:val="auto"/>
                      <w:kern w:val="0"/>
                      <w:sz w:val="18"/>
                      <w:szCs w:val="18"/>
                      <w:highlight w:val="none"/>
                    </w:rPr>
                  </w:pPr>
                </w:p>
              </w:tc>
              <w:tc>
                <w:tcPr>
                  <w:tcW w:w="401" w:type="pct"/>
                  <w:vMerge w:val="restart"/>
                  <w:tcBorders>
                    <w:top w:val="single" w:color="auto" w:sz="4" w:space="0"/>
                    <w:left w:val="single" w:color="auto" w:sz="4" w:space="0"/>
                    <w:bottom w:val="single" w:color="auto" w:sz="4" w:space="0"/>
                    <w:right w:val="single" w:color="auto" w:sz="4" w:space="0"/>
                  </w:tcBorders>
                  <w:vAlign w:val="center"/>
                </w:tcPr>
                <w:p w14:paraId="39559189">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经度</w:t>
                  </w:r>
                </w:p>
              </w:tc>
              <w:tc>
                <w:tcPr>
                  <w:tcW w:w="446" w:type="pct"/>
                  <w:vMerge w:val="restart"/>
                  <w:tcBorders>
                    <w:top w:val="single" w:color="auto" w:sz="4" w:space="0"/>
                    <w:left w:val="single" w:color="auto" w:sz="4" w:space="0"/>
                    <w:bottom w:val="single" w:color="auto" w:sz="4" w:space="0"/>
                    <w:right w:val="single" w:color="auto" w:sz="4" w:space="0"/>
                  </w:tcBorders>
                  <w:vAlign w:val="center"/>
                </w:tcPr>
                <w:p w14:paraId="5CB0FD79">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纬度</w:t>
                  </w: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48A9B53">
                  <w:pPr>
                    <w:widowControl/>
                    <w:jc w:val="left"/>
                    <w:rPr>
                      <w:rFonts w:ascii="Times New Roman" w:hAnsi="Times New Roman" w:cs="Times New Roman"/>
                      <w:b/>
                      <w:bCs/>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33C7C6C8">
                  <w:pPr>
                    <w:widowControl/>
                    <w:jc w:val="left"/>
                    <w:rPr>
                      <w:rFonts w:ascii="Times New Roman" w:hAnsi="Times New Roman" w:cs="Times New Roman"/>
                      <w:b/>
                      <w:bCs/>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56F7C814">
                  <w:pPr>
                    <w:widowControl/>
                    <w:jc w:val="left"/>
                    <w:rPr>
                      <w:rFonts w:ascii="Times New Roman" w:hAnsi="Times New Roman" w:cs="Times New Roman"/>
                      <w:b/>
                      <w:bCs/>
                      <w:color w:val="auto"/>
                      <w:kern w:val="0"/>
                      <w:sz w:val="18"/>
                      <w:szCs w:val="18"/>
                      <w:highlight w:val="none"/>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14:paraId="0BF60E05">
                  <w:pPr>
                    <w:widowControl/>
                    <w:jc w:val="left"/>
                    <w:rPr>
                      <w:rFonts w:ascii="Times New Roman" w:hAnsi="Times New Roman" w:cs="Times New Roman"/>
                      <w:b/>
                      <w:bCs/>
                      <w:color w:val="auto"/>
                      <w:kern w:val="0"/>
                      <w:sz w:val="18"/>
                      <w:szCs w:val="18"/>
                      <w:highlight w:val="none"/>
                    </w:rPr>
                  </w:pPr>
                </w:p>
              </w:tc>
              <w:tc>
                <w:tcPr>
                  <w:tcW w:w="399" w:type="pct"/>
                  <w:vMerge w:val="restart"/>
                  <w:tcBorders>
                    <w:top w:val="single" w:color="auto" w:sz="4" w:space="0"/>
                    <w:left w:val="single" w:color="auto" w:sz="4" w:space="0"/>
                    <w:bottom w:val="single" w:color="auto" w:sz="4" w:space="0"/>
                    <w:right w:val="single" w:color="auto" w:sz="4" w:space="0"/>
                  </w:tcBorders>
                  <w:vAlign w:val="center"/>
                </w:tcPr>
                <w:p w14:paraId="40DD86D8">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名称</w:t>
                  </w:r>
                </w:p>
              </w:tc>
              <w:tc>
                <w:tcPr>
                  <w:tcW w:w="455" w:type="pct"/>
                  <w:tcBorders>
                    <w:top w:val="single" w:color="auto" w:sz="4" w:space="0"/>
                    <w:left w:val="single" w:color="auto" w:sz="4" w:space="0"/>
                    <w:bottom w:val="single" w:color="auto" w:sz="4" w:space="0"/>
                    <w:right w:val="single" w:color="auto" w:sz="4" w:space="0"/>
                  </w:tcBorders>
                  <w:vAlign w:val="center"/>
                </w:tcPr>
                <w:p w14:paraId="1D1E8C7D">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污染物</w:t>
                  </w:r>
                </w:p>
              </w:tc>
              <w:tc>
                <w:tcPr>
                  <w:tcW w:w="486" w:type="pct"/>
                  <w:vMerge w:val="restart"/>
                  <w:tcBorders>
                    <w:top w:val="single" w:color="auto" w:sz="4" w:space="0"/>
                    <w:left w:val="single" w:color="auto" w:sz="4" w:space="0"/>
                    <w:bottom w:val="single" w:color="auto" w:sz="4" w:space="0"/>
                    <w:right w:val="nil"/>
                  </w:tcBorders>
                  <w:vAlign w:val="center"/>
                </w:tcPr>
                <w:p w14:paraId="2B82194C">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国家或地方污染物排放标准浓度限值/(mg/L)</w:t>
                  </w:r>
                </w:p>
              </w:tc>
            </w:tr>
            <w:tr w14:paraId="107E9179">
              <w:tblPrEx>
                <w:tblCellMar>
                  <w:top w:w="0" w:type="dxa"/>
                  <w:left w:w="108" w:type="dxa"/>
                  <w:bottom w:w="0" w:type="dxa"/>
                  <w:right w:w="108" w:type="dxa"/>
                </w:tblCellMar>
              </w:tblPrEx>
              <w:trPr>
                <w:trHeight w:val="340" w:hRule="atLeast"/>
              </w:trPr>
              <w:tc>
                <w:tcPr>
                  <w:tcW w:w="399" w:type="pct"/>
                  <w:vMerge w:val="continue"/>
                  <w:tcBorders>
                    <w:top w:val="single" w:color="auto" w:sz="4" w:space="0"/>
                    <w:left w:val="nil"/>
                    <w:bottom w:val="single" w:color="auto" w:sz="4" w:space="0"/>
                    <w:right w:val="single" w:color="auto" w:sz="4" w:space="0"/>
                  </w:tcBorders>
                  <w:vAlign w:val="center"/>
                </w:tcPr>
                <w:p w14:paraId="1C20F274">
                  <w:pPr>
                    <w:widowControl/>
                    <w:jc w:val="left"/>
                    <w:rPr>
                      <w:rFonts w:ascii="Times New Roman" w:hAnsi="Times New Roman" w:cs="Times New Roman"/>
                      <w:color w:val="auto"/>
                      <w:kern w:val="0"/>
                      <w:sz w:val="18"/>
                      <w:szCs w:val="18"/>
                      <w:highlight w:val="none"/>
                    </w:rPr>
                  </w:pPr>
                </w:p>
              </w:tc>
              <w:tc>
                <w:tcPr>
                  <w:tcW w:w="493" w:type="pct"/>
                  <w:vMerge w:val="continue"/>
                  <w:tcBorders>
                    <w:top w:val="single" w:color="auto" w:sz="4" w:space="0"/>
                    <w:left w:val="single" w:color="auto" w:sz="4" w:space="0"/>
                    <w:bottom w:val="single" w:color="auto" w:sz="4" w:space="0"/>
                    <w:right w:val="single" w:color="auto" w:sz="4" w:space="0"/>
                  </w:tcBorders>
                  <w:vAlign w:val="center"/>
                </w:tcPr>
                <w:p w14:paraId="7A84CAE7">
                  <w:pPr>
                    <w:widowControl/>
                    <w:jc w:val="left"/>
                    <w:rPr>
                      <w:rFonts w:ascii="Times New Roman" w:hAnsi="Times New Roman" w:cs="Times New Roman"/>
                      <w:color w:val="auto"/>
                      <w:kern w:val="0"/>
                      <w:sz w:val="18"/>
                      <w:szCs w:val="18"/>
                      <w:highlight w:val="none"/>
                    </w:rPr>
                  </w:pPr>
                </w:p>
              </w:tc>
              <w:tc>
                <w:tcPr>
                  <w:tcW w:w="401" w:type="pct"/>
                  <w:vMerge w:val="continue"/>
                  <w:tcBorders>
                    <w:top w:val="single" w:color="auto" w:sz="4" w:space="0"/>
                    <w:left w:val="single" w:color="auto" w:sz="4" w:space="0"/>
                    <w:bottom w:val="single" w:color="auto" w:sz="4" w:space="0"/>
                    <w:right w:val="single" w:color="auto" w:sz="4" w:space="0"/>
                  </w:tcBorders>
                  <w:vAlign w:val="center"/>
                </w:tcPr>
                <w:p w14:paraId="5E084BFD">
                  <w:pPr>
                    <w:widowControl/>
                    <w:jc w:val="left"/>
                    <w:rPr>
                      <w:rFonts w:ascii="Times New Roman" w:hAnsi="Times New Roman" w:cs="Times New Roman"/>
                      <w:color w:val="auto"/>
                      <w:kern w:val="0"/>
                      <w:sz w:val="18"/>
                      <w:szCs w:val="18"/>
                      <w:highlight w:val="none"/>
                    </w:rPr>
                  </w:pPr>
                </w:p>
              </w:tc>
              <w:tc>
                <w:tcPr>
                  <w:tcW w:w="446" w:type="pct"/>
                  <w:vMerge w:val="continue"/>
                  <w:tcBorders>
                    <w:top w:val="single" w:color="auto" w:sz="4" w:space="0"/>
                    <w:left w:val="single" w:color="auto" w:sz="4" w:space="0"/>
                    <w:bottom w:val="single" w:color="auto" w:sz="4" w:space="0"/>
                    <w:right w:val="single" w:color="auto" w:sz="4" w:space="0"/>
                  </w:tcBorders>
                  <w:vAlign w:val="center"/>
                </w:tcPr>
                <w:p w14:paraId="1267CCB0">
                  <w:pPr>
                    <w:widowControl/>
                    <w:jc w:val="left"/>
                    <w:rPr>
                      <w:rFonts w:ascii="Times New Roman" w:hAnsi="Times New Roman" w:cs="Times New Roman"/>
                      <w:color w:val="auto"/>
                      <w:kern w:val="0"/>
                      <w:sz w:val="18"/>
                      <w:szCs w:val="18"/>
                      <w:highlight w:val="none"/>
                    </w:rPr>
                  </w:pPr>
                </w:p>
              </w:tc>
              <w:tc>
                <w:tcPr>
                  <w:tcW w:w="434" w:type="pct"/>
                  <w:vMerge w:val="continue"/>
                  <w:tcBorders>
                    <w:top w:val="single" w:color="auto" w:sz="4" w:space="0"/>
                    <w:left w:val="single" w:color="auto" w:sz="4" w:space="0"/>
                    <w:bottom w:val="single" w:color="auto" w:sz="4" w:space="0"/>
                    <w:right w:val="single" w:color="auto" w:sz="4" w:space="0"/>
                  </w:tcBorders>
                  <w:vAlign w:val="center"/>
                </w:tcPr>
                <w:p w14:paraId="215D08EF">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24234FBE">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4571A0A1">
                  <w:pPr>
                    <w:widowControl/>
                    <w:jc w:val="left"/>
                    <w:rPr>
                      <w:rFonts w:ascii="Times New Roman" w:hAnsi="Times New Roman" w:cs="Times New Roman"/>
                      <w:color w:val="auto"/>
                      <w:kern w:val="0"/>
                      <w:sz w:val="18"/>
                      <w:szCs w:val="18"/>
                      <w:highlight w:val="none"/>
                    </w:rPr>
                  </w:pPr>
                </w:p>
              </w:tc>
              <w:tc>
                <w:tcPr>
                  <w:tcW w:w="398" w:type="pct"/>
                  <w:vMerge w:val="continue"/>
                  <w:tcBorders>
                    <w:top w:val="single" w:color="auto" w:sz="4" w:space="0"/>
                    <w:left w:val="single" w:color="auto" w:sz="4" w:space="0"/>
                    <w:bottom w:val="single" w:color="auto" w:sz="4" w:space="0"/>
                    <w:right w:val="single" w:color="auto" w:sz="4" w:space="0"/>
                  </w:tcBorders>
                  <w:vAlign w:val="center"/>
                </w:tcPr>
                <w:p w14:paraId="09F3A74F">
                  <w:pPr>
                    <w:widowControl/>
                    <w:jc w:val="left"/>
                    <w:rPr>
                      <w:rFonts w:ascii="Times New Roman" w:hAnsi="Times New Roman" w:cs="Times New Roman"/>
                      <w:color w:val="auto"/>
                      <w:kern w:val="0"/>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vAlign w:val="center"/>
                </w:tcPr>
                <w:p w14:paraId="130FD466">
                  <w:pPr>
                    <w:widowControl/>
                    <w:jc w:val="left"/>
                    <w:rPr>
                      <w:rFonts w:ascii="Times New Roman" w:hAnsi="Times New Roman" w:cs="Times New Roman"/>
                      <w:color w:val="auto"/>
                      <w:kern w:val="0"/>
                      <w:sz w:val="18"/>
                      <w:szCs w:val="18"/>
                      <w:highlight w:val="none"/>
                    </w:rPr>
                  </w:pPr>
                </w:p>
              </w:tc>
              <w:tc>
                <w:tcPr>
                  <w:tcW w:w="455" w:type="pct"/>
                  <w:tcBorders>
                    <w:top w:val="single" w:color="auto" w:sz="4" w:space="0"/>
                    <w:left w:val="single" w:color="auto" w:sz="4" w:space="0"/>
                    <w:bottom w:val="single" w:color="auto" w:sz="4" w:space="0"/>
                    <w:right w:val="single" w:color="auto" w:sz="4" w:space="0"/>
                  </w:tcBorders>
                  <w:vAlign w:val="center"/>
                </w:tcPr>
                <w:p w14:paraId="210B40E2">
                  <w:pPr>
                    <w:widowControl/>
                    <w:jc w:val="center"/>
                    <w:rPr>
                      <w:rFonts w:ascii="Times New Roman" w:hAnsi="Times New Roman" w:cs="Times New Roman"/>
                      <w:color w:val="auto"/>
                      <w:kern w:val="0"/>
                      <w:sz w:val="18"/>
                      <w:szCs w:val="18"/>
                      <w:highlight w:val="none"/>
                    </w:rPr>
                  </w:pPr>
                  <w:r>
                    <w:rPr>
                      <w:rFonts w:ascii="Times New Roman" w:hAnsi="Times New Roman" w:cs="Times New Roman"/>
                      <w:b/>
                      <w:bCs/>
                      <w:color w:val="auto"/>
                      <w:kern w:val="0"/>
                      <w:sz w:val="18"/>
                      <w:szCs w:val="18"/>
                      <w:highlight w:val="none"/>
                    </w:rPr>
                    <w:t>种类</w:t>
                  </w:r>
                </w:p>
              </w:tc>
              <w:tc>
                <w:tcPr>
                  <w:tcW w:w="486" w:type="pct"/>
                  <w:vMerge w:val="continue"/>
                  <w:tcBorders>
                    <w:top w:val="single" w:color="auto" w:sz="4" w:space="0"/>
                    <w:left w:val="single" w:color="auto" w:sz="4" w:space="0"/>
                    <w:bottom w:val="single" w:color="auto" w:sz="4" w:space="0"/>
                    <w:right w:val="nil"/>
                  </w:tcBorders>
                  <w:vAlign w:val="center"/>
                </w:tcPr>
                <w:p w14:paraId="0FBC8DFD">
                  <w:pPr>
                    <w:widowControl/>
                    <w:jc w:val="left"/>
                    <w:rPr>
                      <w:rFonts w:ascii="Times New Roman" w:hAnsi="Times New Roman" w:cs="Times New Roman"/>
                      <w:color w:val="auto"/>
                      <w:kern w:val="0"/>
                      <w:sz w:val="18"/>
                      <w:szCs w:val="18"/>
                      <w:highlight w:val="none"/>
                    </w:rPr>
                  </w:pPr>
                </w:p>
              </w:tc>
            </w:tr>
            <w:tr w14:paraId="7410E6BC">
              <w:trPr>
                <w:trHeight w:val="340" w:hRule="atLeast"/>
              </w:trPr>
              <w:tc>
                <w:tcPr>
                  <w:tcW w:w="399" w:type="pct"/>
                  <w:vMerge w:val="restart"/>
                  <w:tcBorders>
                    <w:top w:val="single" w:color="auto" w:sz="4" w:space="0"/>
                    <w:left w:val="nil"/>
                    <w:bottom w:val="single" w:color="auto" w:sz="4" w:space="0"/>
                    <w:right w:val="single" w:color="auto" w:sz="4" w:space="0"/>
                  </w:tcBorders>
                  <w:shd w:val="clear" w:color="auto" w:fill="auto"/>
                  <w:vAlign w:val="center"/>
                </w:tcPr>
                <w:p w14:paraId="1463B20D">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1</w:t>
                  </w:r>
                </w:p>
              </w:tc>
              <w:tc>
                <w:tcPr>
                  <w:tcW w:w="49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8601225">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DW001</w:t>
                  </w:r>
                </w:p>
              </w:tc>
              <w:tc>
                <w:tcPr>
                  <w:tcW w:w="401"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4FAE14B2">
                  <w:pPr>
                    <w:widowControl/>
                    <w:jc w:val="center"/>
                    <w:rPr>
                      <w:rFonts w:ascii="Times New Roman" w:hAnsi="Times New Roman" w:cs="Times New Roman"/>
                      <w:color w:val="auto"/>
                      <w:kern w:val="0"/>
                      <w:sz w:val="18"/>
                      <w:szCs w:val="18"/>
                      <w:highlight w:val="none"/>
                    </w:rPr>
                  </w:pPr>
                  <w:r>
                    <w:rPr>
                      <w:rFonts w:hint="eastAsia" w:ascii="Times New Roman" w:hAnsi="Times New Roman" w:cs="Times New Roman"/>
                      <w:color w:val="auto"/>
                      <w:kern w:val="0"/>
                      <w:sz w:val="18"/>
                      <w:szCs w:val="18"/>
                      <w:highlight w:val="none"/>
                    </w:rPr>
                    <w:t>116.83746545</w:t>
                  </w:r>
                </w:p>
              </w:tc>
              <w:tc>
                <w:tcPr>
                  <w:tcW w:w="446"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72A71B5C">
                  <w:pPr>
                    <w:widowControl/>
                    <w:jc w:val="center"/>
                    <w:rPr>
                      <w:rFonts w:ascii="Times New Roman" w:hAnsi="Times New Roman" w:cs="Times New Roman"/>
                      <w:color w:val="auto"/>
                      <w:kern w:val="0"/>
                      <w:sz w:val="18"/>
                      <w:szCs w:val="18"/>
                      <w:highlight w:val="none"/>
                    </w:rPr>
                  </w:pPr>
                  <w:r>
                    <w:rPr>
                      <w:rFonts w:hint="eastAsia" w:ascii="Times New Roman" w:hAnsi="Times New Roman" w:cs="Times New Roman"/>
                      <w:color w:val="auto"/>
                      <w:kern w:val="0"/>
                      <w:sz w:val="18"/>
                      <w:szCs w:val="18"/>
                      <w:highlight w:val="none"/>
                    </w:rPr>
                    <w:t>32.65315397</w:t>
                  </w:r>
                </w:p>
              </w:tc>
              <w:tc>
                <w:tcPr>
                  <w:tcW w:w="434" w:type="pct"/>
                  <w:vMerge w:val="restart"/>
                  <w:tcBorders>
                    <w:top w:val="single" w:color="auto" w:sz="4" w:space="0"/>
                    <w:left w:val="single" w:color="auto" w:sz="4" w:space="0"/>
                    <w:bottom w:val="single" w:color="auto" w:sz="4" w:space="0"/>
                    <w:right w:val="single" w:color="auto" w:sz="4" w:space="0"/>
                  </w:tcBorders>
                  <w:vAlign w:val="center"/>
                </w:tcPr>
                <w:p w14:paraId="505112B1">
                  <w:pPr>
                    <w:widowControl/>
                    <w:jc w:val="center"/>
                    <w:rPr>
                      <w:rFonts w:ascii="Times New Roman" w:hAnsi="Times New Roman" w:eastAsia="宋体" w:cs="Times New Roman"/>
                      <w:color w:val="auto"/>
                      <w:kern w:val="0"/>
                      <w:sz w:val="18"/>
                      <w:szCs w:val="18"/>
                      <w:highlight w:val="none"/>
                    </w:rPr>
                  </w:pPr>
                  <w:r>
                    <w:rPr>
                      <w:rFonts w:hint="eastAsia" w:ascii="Times New Roman" w:hAnsi="Times New Roman" w:cs="Times New Roman"/>
                      <w:color w:val="auto"/>
                      <w:kern w:val="0"/>
                      <w:sz w:val="18"/>
                      <w:szCs w:val="18"/>
                      <w:highlight w:val="none"/>
                    </w:rPr>
                    <w:t>0.54</w:t>
                  </w:r>
                </w:p>
              </w:tc>
              <w:tc>
                <w:tcPr>
                  <w:tcW w:w="544" w:type="pct"/>
                  <w:vMerge w:val="restart"/>
                  <w:tcBorders>
                    <w:top w:val="single" w:color="auto" w:sz="4" w:space="0"/>
                    <w:left w:val="single" w:color="auto" w:sz="4" w:space="0"/>
                    <w:bottom w:val="single" w:color="auto" w:sz="4" w:space="0"/>
                    <w:right w:val="single" w:color="auto" w:sz="4" w:space="0"/>
                  </w:tcBorders>
                  <w:vAlign w:val="center"/>
                </w:tcPr>
                <w:p w14:paraId="645C584B">
                  <w:pPr>
                    <w:widowControl/>
                    <w:jc w:val="center"/>
                    <w:rPr>
                      <w:rFonts w:ascii="Times New Roman" w:hAnsi="Times New Roman" w:eastAsia="宋体" w:cs="Times New Roman"/>
                      <w:color w:val="auto"/>
                      <w:kern w:val="0"/>
                      <w:sz w:val="18"/>
                      <w:szCs w:val="18"/>
                      <w:highlight w:val="none"/>
                    </w:rPr>
                  </w:pPr>
                  <w:r>
                    <w:rPr>
                      <w:rFonts w:hint="eastAsia" w:ascii="Times New Roman" w:hAnsi="Times New Roman" w:cs="Times New Roman"/>
                      <w:color w:val="auto"/>
                      <w:kern w:val="0"/>
                      <w:sz w:val="18"/>
                      <w:szCs w:val="18"/>
                      <w:highlight w:val="none"/>
                    </w:rPr>
                    <w:t>八公山</w:t>
                  </w:r>
                  <w:r>
                    <w:rPr>
                      <w:rFonts w:ascii="Times New Roman" w:hAnsi="Times New Roman" w:cs="Times New Roman"/>
                      <w:color w:val="auto"/>
                      <w:kern w:val="0"/>
                      <w:sz w:val="18"/>
                      <w:szCs w:val="18"/>
                      <w:highlight w:val="none"/>
                    </w:rPr>
                    <w:t>污水处理厂</w:t>
                  </w:r>
                </w:p>
              </w:tc>
              <w:tc>
                <w:tcPr>
                  <w:tcW w:w="544" w:type="pct"/>
                  <w:vMerge w:val="restart"/>
                  <w:tcBorders>
                    <w:top w:val="single" w:color="auto" w:sz="4" w:space="0"/>
                    <w:left w:val="single" w:color="auto" w:sz="4" w:space="0"/>
                    <w:bottom w:val="single" w:color="auto" w:sz="4" w:space="0"/>
                    <w:right w:val="single" w:color="auto" w:sz="4" w:space="0"/>
                  </w:tcBorders>
                  <w:vAlign w:val="center"/>
                </w:tcPr>
                <w:p w14:paraId="09F4CEB5">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间歇排放</w:t>
                  </w:r>
                </w:p>
              </w:tc>
              <w:tc>
                <w:tcPr>
                  <w:tcW w:w="398" w:type="pct"/>
                  <w:vMerge w:val="restart"/>
                  <w:tcBorders>
                    <w:top w:val="single" w:color="auto" w:sz="4" w:space="0"/>
                    <w:left w:val="single" w:color="auto" w:sz="4" w:space="0"/>
                    <w:bottom w:val="single" w:color="auto" w:sz="4" w:space="0"/>
                    <w:right w:val="single" w:color="auto" w:sz="4" w:space="0"/>
                  </w:tcBorders>
                  <w:vAlign w:val="center"/>
                </w:tcPr>
                <w:p w14:paraId="38D78FBB">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w:t>
                  </w:r>
                </w:p>
              </w:tc>
              <w:tc>
                <w:tcPr>
                  <w:tcW w:w="399" w:type="pct"/>
                  <w:vMerge w:val="restart"/>
                  <w:tcBorders>
                    <w:top w:val="single" w:color="auto" w:sz="4" w:space="0"/>
                    <w:left w:val="single" w:color="auto" w:sz="4" w:space="0"/>
                    <w:bottom w:val="single" w:color="auto" w:sz="4" w:space="0"/>
                    <w:right w:val="single" w:color="auto" w:sz="4" w:space="0"/>
                  </w:tcBorders>
                  <w:vAlign w:val="center"/>
                </w:tcPr>
                <w:p w14:paraId="7879E9DA">
                  <w:pPr>
                    <w:widowControl/>
                    <w:jc w:val="center"/>
                    <w:rPr>
                      <w:rFonts w:ascii="Times New Roman" w:hAnsi="Times New Roman" w:eastAsia="宋体" w:cs="Times New Roman"/>
                      <w:color w:val="auto"/>
                      <w:kern w:val="0"/>
                      <w:sz w:val="18"/>
                      <w:szCs w:val="18"/>
                      <w:highlight w:val="none"/>
                    </w:rPr>
                  </w:pPr>
                  <w:r>
                    <w:rPr>
                      <w:rFonts w:hint="eastAsia" w:ascii="Times New Roman" w:hAnsi="Times New Roman" w:cs="Times New Roman"/>
                      <w:color w:val="auto"/>
                      <w:kern w:val="0"/>
                      <w:sz w:val="18"/>
                      <w:szCs w:val="18"/>
                      <w:highlight w:val="none"/>
                    </w:rPr>
                    <w:t>八公山</w:t>
                  </w:r>
                  <w:r>
                    <w:rPr>
                      <w:rFonts w:ascii="Times New Roman" w:hAnsi="Times New Roman" w:cs="Times New Roman"/>
                      <w:color w:val="auto"/>
                      <w:kern w:val="0"/>
                      <w:sz w:val="18"/>
                      <w:szCs w:val="18"/>
                      <w:highlight w:val="none"/>
                    </w:rPr>
                    <w:t>污水处理厂</w:t>
                  </w:r>
                </w:p>
              </w:tc>
              <w:tc>
                <w:tcPr>
                  <w:tcW w:w="455" w:type="pct"/>
                  <w:tcBorders>
                    <w:top w:val="single" w:color="auto" w:sz="4" w:space="0"/>
                    <w:left w:val="single" w:color="auto" w:sz="4" w:space="0"/>
                    <w:bottom w:val="single" w:color="auto" w:sz="4" w:space="0"/>
                    <w:right w:val="single" w:color="auto" w:sz="4" w:space="0"/>
                  </w:tcBorders>
                  <w:vAlign w:val="center"/>
                </w:tcPr>
                <w:p w14:paraId="2AD4DBD0">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pH</w:t>
                  </w:r>
                </w:p>
              </w:tc>
              <w:tc>
                <w:tcPr>
                  <w:tcW w:w="486" w:type="pct"/>
                  <w:tcBorders>
                    <w:top w:val="single" w:color="auto" w:sz="4" w:space="0"/>
                    <w:left w:val="single" w:color="auto" w:sz="4" w:space="0"/>
                    <w:bottom w:val="single" w:color="auto" w:sz="4" w:space="0"/>
                    <w:right w:val="nil"/>
                  </w:tcBorders>
                  <w:vAlign w:val="center"/>
                </w:tcPr>
                <w:p w14:paraId="7F3A43F9">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6~9</w:t>
                  </w:r>
                </w:p>
              </w:tc>
            </w:tr>
            <w:tr w14:paraId="45CA552B">
              <w:trPr>
                <w:trHeight w:val="340" w:hRule="atLeast"/>
              </w:trPr>
              <w:tc>
                <w:tcPr>
                  <w:tcW w:w="399" w:type="pct"/>
                  <w:vMerge w:val="continue"/>
                  <w:tcBorders>
                    <w:top w:val="single" w:color="auto" w:sz="4" w:space="0"/>
                    <w:left w:val="nil"/>
                    <w:bottom w:val="single" w:color="auto" w:sz="4" w:space="0"/>
                    <w:right w:val="single" w:color="auto" w:sz="4" w:space="0"/>
                  </w:tcBorders>
                  <w:shd w:val="clear" w:color="auto" w:fill="auto"/>
                  <w:vAlign w:val="center"/>
                </w:tcPr>
                <w:p w14:paraId="3FEB7886">
                  <w:pPr>
                    <w:widowControl/>
                    <w:jc w:val="left"/>
                    <w:rPr>
                      <w:rFonts w:ascii="Times New Roman" w:hAnsi="Times New Roman" w:cs="Times New Roman"/>
                      <w:color w:val="auto"/>
                      <w:kern w:val="0"/>
                      <w:sz w:val="18"/>
                      <w:szCs w:val="18"/>
                      <w:highlight w:val="none"/>
                    </w:rPr>
                  </w:pPr>
                </w:p>
              </w:tc>
              <w:tc>
                <w:tcPr>
                  <w:tcW w:w="4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DA1A55">
                  <w:pPr>
                    <w:widowControl/>
                    <w:jc w:val="left"/>
                    <w:rPr>
                      <w:rFonts w:ascii="Times New Roman" w:hAnsi="Times New Roman" w:cs="Times New Roman"/>
                      <w:color w:val="auto"/>
                      <w:kern w:val="0"/>
                      <w:sz w:val="18"/>
                      <w:szCs w:val="18"/>
                      <w:highlight w:val="none"/>
                    </w:rPr>
                  </w:pPr>
                </w:p>
              </w:tc>
              <w:tc>
                <w:tcPr>
                  <w:tcW w:w="4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484CC1">
                  <w:pPr>
                    <w:widowControl/>
                    <w:jc w:val="left"/>
                    <w:rPr>
                      <w:rFonts w:ascii="Times New Roman" w:hAnsi="Times New Roman" w:cs="Times New Roman"/>
                      <w:color w:val="auto"/>
                      <w:kern w:val="0"/>
                      <w:sz w:val="18"/>
                      <w:szCs w:val="18"/>
                      <w:highlight w:val="none"/>
                    </w:rPr>
                  </w:pPr>
                </w:p>
              </w:tc>
              <w:tc>
                <w:tcPr>
                  <w:tcW w:w="4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67310B">
                  <w:pPr>
                    <w:widowControl/>
                    <w:jc w:val="left"/>
                    <w:rPr>
                      <w:rFonts w:ascii="Times New Roman" w:hAnsi="Times New Roman" w:cs="Times New Roman"/>
                      <w:color w:val="auto"/>
                      <w:kern w:val="0"/>
                      <w:sz w:val="18"/>
                      <w:szCs w:val="18"/>
                      <w:highlight w:val="none"/>
                    </w:rPr>
                  </w:pPr>
                </w:p>
              </w:tc>
              <w:tc>
                <w:tcPr>
                  <w:tcW w:w="4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AFFA90">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DF715A">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19D6D7">
                  <w:pPr>
                    <w:widowControl/>
                    <w:jc w:val="left"/>
                    <w:rPr>
                      <w:rFonts w:ascii="Times New Roman" w:hAnsi="Times New Roman" w:cs="Times New Roman"/>
                      <w:color w:val="auto"/>
                      <w:kern w:val="0"/>
                      <w:sz w:val="18"/>
                      <w:szCs w:val="18"/>
                      <w:highlight w:val="none"/>
                    </w:rPr>
                  </w:pPr>
                </w:p>
              </w:tc>
              <w:tc>
                <w:tcPr>
                  <w:tcW w:w="3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DA8BB15">
                  <w:pPr>
                    <w:widowControl/>
                    <w:jc w:val="left"/>
                    <w:rPr>
                      <w:rFonts w:ascii="Times New Roman" w:hAnsi="Times New Roman" w:cs="Times New Roman"/>
                      <w:color w:val="auto"/>
                      <w:kern w:val="0"/>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A3E80">
                  <w:pPr>
                    <w:widowControl/>
                    <w:jc w:val="left"/>
                    <w:rPr>
                      <w:rFonts w:ascii="Times New Roman" w:hAnsi="Times New Roman" w:cs="Times New Roman"/>
                      <w:color w:val="auto"/>
                      <w:kern w:val="0"/>
                      <w:sz w:val="18"/>
                      <w:szCs w:val="18"/>
                      <w:highlight w:val="none"/>
                    </w:rPr>
                  </w:pP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46102C52">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COD</w:t>
                  </w:r>
                </w:p>
              </w:tc>
              <w:tc>
                <w:tcPr>
                  <w:tcW w:w="486" w:type="pct"/>
                  <w:tcBorders>
                    <w:top w:val="single" w:color="auto" w:sz="4" w:space="0"/>
                    <w:left w:val="single" w:color="auto" w:sz="4" w:space="0"/>
                    <w:bottom w:val="single" w:color="auto" w:sz="4" w:space="0"/>
                    <w:right w:val="nil"/>
                  </w:tcBorders>
                  <w:shd w:val="clear" w:color="000000" w:fill="FFFFFF"/>
                  <w:vAlign w:val="center"/>
                </w:tcPr>
                <w:p w14:paraId="1A6B6A72">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50</w:t>
                  </w:r>
                </w:p>
              </w:tc>
            </w:tr>
            <w:tr w14:paraId="4A56DB08">
              <w:tblPrEx>
                <w:tblCellMar>
                  <w:top w:w="0" w:type="dxa"/>
                  <w:left w:w="108" w:type="dxa"/>
                  <w:bottom w:w="0" w:type="dxa"/>
                  <w:right w:w="108" w:type="dxa"/>
                </w:tblCellMar>
              </w:tblPrEx>
              <w:trPr>
                <w:trHeight w:val="340" w:hRule="atLeast"/>
              </w:trPr>
              <w:tc>
                <w:tcPr>
                  <w:tcW w:w="399" w:type="pct"/>
                  <w:vMerge w:val="continue"/>
                  <w:tcBorders>
                    <w:top w:val="single" w:color="auto" w:sz="4" w:space="0"/>
                    <w:left w:val="nil"/>
                    <w:bottom w:val="single" w:color="auto" w:sz="4" w:space="0"/>
                    <w:right w:val="single" w:color="auto" w:sz="4" w:space="0"/>
                  </w:tcBorders>
                  <w:shd w:val="clear" w:color="auto" w:fill="auto"/>
                  <w:vAlign w:val="center"/>
                </w:tcPr>
                <w:p w14:paraId="4EFFC5D5">
                  <w:pPr>
                    <w:widowControl/>
                    <w:jc w:val="left"/>
                    <w:rPr>
                      <w:rFonts w:ascii="Times New Roman" w:hAnsi="Times New Roman" w:cs="Times New Roman"/>
                      <w:color w:val="auto"/>
                      <w:kern w:val="0"/>
                      <w:sz w:val="18"/>
                      <w:szCs w:val="18"/>
                      <w:highlight w:val="none"/>
                    </w:rPr>
                  </w:pPr>
                </w:p>
              </w:tc>
              <w:tc>
                <w:tcPr>
                  <w:tcW w:w="4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15BE47">
                  <w:pPr>
                    <w:widowControl/>
                    <w:jc w:val="left"/>
                    <w:rPr>
                      <w:rFonts w:ascii="Times New Roman" w:hAnsi="Times New Roman" w:cs="Times New Roman"/>
                      <w:color w:val="auto"/>
                      <w:kern w:val="0"/>
                      <w:sz w:val="18"/>
                      <w:szCs w:val="18"/>
                      <w:highlight w:val="none"/>
                    </w:rPr>
                  </w:pPr>
                </w:p>
              </w:tc>
              <w:tc>
                <w:tcPr>
                  <w:tcW w:w="4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FCE9A3">
                  <w:pPr>
                    <w:widowControl/>
                    <w:jc w:val="left"/>
                    <w:rPr>
                      <w:rFonts w:ascii="Times New Roman" w:hAnsi="Times New Roman" w:cs="Times New Roman"/>
                      <w:color w:val="auto"/>
                      <w:kern w:val="0"/>
                      <w:sz w:val="18"/>
                      <w:szCs w:val="18"/>
                      <w:highlight w:val="none"/>
                    </w:rPr>
                  </w:pPr>
                </w:p>
              </w:tc>
              <w:tc>
                <w:tcPr>
                  <w:tcW w:w="4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E0C746">
                  <w:pPr>
                    <w:widowControl/>
                    <w:jc w:val="left"/>
                    <w:rPr>
                      <w:rFonts w:ascii="Times New Roman" w:hAnsi="Times New Roman" w:cs="Times New Roman"/>
                      <w:color w:val="auto"/>
                      <w:kern w:val="0"/>
                      <w:sz w:val="18"/>
                      <w:szCs w:val="18"/>
                      <w:highlight w:val="none"/>
                    </w:rPr>
                  </w:pPr>
                </w:p>
              </w:tc>
              <w:tc>
                <w:tcPr>
                  <w:tcW w:w="4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CF221C">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1A66E1">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22C0DB">
                  <w:pPr>
                    <w:widowControl/>
                    <w:jc w:val="left"/>
                    <w:rPr>
                      <w:rFonts w:ascii="Times New Roman" w:hAnsi="Times New Roman" w:cs="Times New Roman"/>
                      <w:color w:val="auto"/>
                      <w:kern w:val="0"/>
                      <w:sz w:val="18"/>
                      <w:szCs w:val="18"/>
                      <w:highlight w:val="none"/>
                    </w:rPr>
                  </w:pPr>
                </w:p>
              </w:tc>
              <w:tc>
                <w:tcPr>
                  <w:tcW w:w="3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30D211">
                  <w:pPr>
                    <w:widowControl/>
                    <w:jc w:val="left"/>
                    <w:rPr>
                      <w:rFonts w:ascii="Times New Roman" w:hAnsi="Times New Roman" w:cs="Times New Roman"/>
                      <w:color w:val="auto"/>
                      <w:kern w:val="0"/>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1F809A">
                  <w:pPr>
                    <w:widowControl/>
                    <w:jc w:val="left"/>
                    <w:rPr>
                      <w:rFonts w:ascii="Times New Roman" w:hAnsi="Times New Roman" w:cs="Times New Roman"/>
                      <w:color w:val="auto"/>
                      <w:kern w:val="0"/>
                      <w:sz w:val="18"/>
                      <w:szCs w:val="18"/>
                      <w:highlight w:val="none"/>
                    </w:rPr>
                  </w:pP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7897D0BC">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BOD</w:t>
                  </w:r>
                  <w:r>
                    <w:rPr>
                      <w:rFonts w:ascii="Times New Roman" w:hAnsi="Times New Roman" w:cs="Times New Roman"/>
                      <w:color w:val="auto"/>
                      <w:kern w:val="0"/>
                      <w:sz w:val="18"/>
                      <w:szCs w:val="18"/>
                      <w:highlight w:val="none"/>
                      <w:vertAlign w:val="subscript"/>
                    </w:rPr>
                    <w:t>5</w:t>
                  </w:r>
                </w:p>
              </w:tc>
              <w:tc>
                <w:tcPr>
                  <w:tcW w:w="486" w:type="pct"/>
                  <w:tcBorders>
                    <w:top w:val="single" w:color="auto" w:sz="4" w:space="0"/>
                    <w:left w:val="single" w:color="auto" w:sz="4" w:space="0"/>
                    <w:bottom w:val="single" w:color="auto" w:sz="4" w:space="0"/>
                    <w:right w:val="nil"/>
                  </w:tcBorders>
                  <w:shd w:val="clear" w:color="000000" w:fill="FFFFFF"/>
                  <w:vAlign w:val="center"/>
                </w:tcPr>
                <w:p w14:paraId="1C15313E">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10</w:t>
                  </w:r>
                </w:p>
              </w:tc>
            </w:tr>
            <w:tr w14:paraId="22A7705D">
              <w:tblPrEx>
                <w:tblCellMar>
                  <w:top w:w="0" w:type="dxa"/>
                  <w:left w:w="108" w:type="dxa"/>
                  <w:bottom w:w="0" w:type="dxa"/>
                  <w:right w:w="108" w:type="dxa"/>
                </w:tblCellMar>
              </w:tblPrEx>
              <w:trPr>
                <w:trHeight w:val="340" w:hRule="atLeast"/>
              </w:trPr>
              <w:tc>
                <w:tcPr>
                  <w:tcW w:w="399" w:type="pct"/>
                  <w:vMerge w:val="continue"/>
                  <w:tcBorders>
                    <w:top w:val="single" w:color="auto" w:sz="4" w:space="0"/>
                    <w:left w:val="nil"/>
                    <w:bottom w:val="single" w:color="auto" w:sz="4" w:space="0"/>
                    <w:right w:val="single" w:color="auto" w:sz="4" w:space="0"/>
                  </w:tcBorders>
                  <w:shd w:val="clear" w:color="auto" w:fill="auto"/>
                  <w:vAlign w:val="center"/>
                </w:tcPr>
                <w:p w14:paraId="23422E97">
                  <w:pPr>
                    <w:widowControl/>
                    <w:jc w:val="left"/>
                    <w:rPr>
                      <w:rFonts w:ascii="Times New Roman" w:hAnsi="Times New Roman" w:cs="Times New Roman"/>
                      <w:color w:val="auto"/>
                      <w:kern w:val="0"/>
                      <w:sz w:val="18"/>
                      <w:szCs w:val="18"/>
                      <w:highlight w:val="none"/>
                    </w:rPr>
                  </w:pPr>
                </w:p>
              </w:tc>
              <w:tc>
                <w:tcPr>
                  <w:tcW w:w="49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DF4183">
                  <w:pPr>
                    <w:widowControl/>
                    <w:jc w:val="left"/>
                    <w:rPr>
                      <w:rFonts w:ascii="Times New Roman" w:hAnsi="Times New Roman" w:cs="Times New Roman"/>
                      <w:color w:val="auto"/>
                      <w:kern w:val="0"/>
                      <w:sz w:val="18"/>
                      <w:szCs w:val="18"/>
                      <w:highlight w:val="none"/>
                    </w:rPr>
                  </w:pPr>
                </w:p>
              </w:tc>
              <w:tc>
                <w:tcPr>
                  <w:tcW w:w="40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2F062E">
                  <w:pPr>
                    <w:widowControl/>
                    <w:jc w:val="left"/>
                    <w:rPr>
                      <w:rFonts w:ascii="Times New Roman" w:hAnsi="Times New Roman" w:cs="Times New Roman"/>
                      <w:color w:val="auto"/>
                      <w:kern w:val="0"/>
                      <w:sz w:val="18"/>
                      <w:szCs w:val="18"/>
                      <w:highlight w:val="none"/>
                    </w:rPr>
                  </w:pPr>
                </w:p>
              </w:tc>
              <w:tc>
                <w:tcPr>
                  <w:tcW w:w="44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C54BEF">
                  <w:pPr>
                    <w:widowControl/>
                    <w:jc w:val="left"/>
                    <w:rPr>
                      <w:rFonts w:ascii="Times New Roman" w:hAnsi="Times New Roman" w:cs="Times New Roman"/>
                      <w:color w:val="auto"/>
                      <w:kern w:val="0"/>
                      <w:sz w:val="18"/>
                      <w:szCs w:val="18"/>
                      <w:highlight w:val="none"/>
                    </w:rPr>
                  </w:pPr>
                </w:p>
              </w:tc>
              <w:tc>
                <w:tcPr>
                  <w:tcW w:w="43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4A8881">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91A5CB">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79DBD8">
                  <w:pPr>
                    <w:widowControl/>
                    <w:jc w:val="left"/>
                    <w:rPr>
                      <w:rFonts w:ascii="Times New Roman" w:hAnsi="Times New Roman" w:cs="Times New Roman"/>
                      <w:color w:val="auto"/>
                      <w:kern w:val="0"/>
                      <w:sz w:val="18"/>
                      <w:szCs w:val="18"/>
                      <w:highlight w:val="none"/>
                    </w:rPr>
                  </w:pPr>
                </w:p>
              </w:tc>
              <w:tc>
                <w:tcPr>
                  <w:tcW w:w="3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BEAE74">
                  <w:pPr>
                    <w:widowControl/>
                    <w:jc w:val="left"/>
                    <w:rPr>
                      <w:rFonts w:ascii="Times New Roman" w:hAnsi="Times New Roman" w:cs="Times New Roman"/>
                      <w:color w:val="auto"/>
                      <w:kern w:val="0"/>
                      <w:sz w:val="18"/>
                      <w:szCs w:val="18"/>
                      <w:highlight w:val="none"/>
                    </w:rPr>
                  </w:pPr>
                </w:p>
              </w:tc>
              <w:tc>
                <w:tcPr>
                  <w:tcW w:w="39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87FCF7">
                  <w:pPr>
                    <w:widowControl/>
                    <w:jc w:val="left"/>
                    <w:rPr>
                      <w:rFonts w:ascii="Times New Roman" w:hAnsi="Times New Roman" w:cs="Times New Roman"/>
                      <w:color w:val="auto"/>
                      <w:kern w:val="0"/>
                      <w:sz w:val="18"/>
                      <w:szCs w:val="18"/>
                      <w:highlight w:val="none"/>
                    </w:rPr>
                  </w:pPr>
                </w:p>
              </w:tc>
              <w:tc>
                <w:tcPr>
                  <w:tcW w:w="455" w:type="pct"/>
                  <w:tcBorders>
                    <w:top w:val="single" w:color="auto" w:sz="4" w:space="0"/>
                    <w:left w:val="single" w:color="auto" w:sz="4" w:space="0"/>
                    <w:bottom w:val="single" w:color="auto" w:sz="4" w:space="0"/>
                    <w:right w:val="single" w:color="auto" w:sz="4" w:space="0"/>
                  </w:tcBorders>
                  <w:shd w:val="clear" w:color="auto" w:fill="auto"/>
                  <w:vAlign w:val="center"/>
                </w:tcPr>
                <w:p w14:paraId="008CC03A">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SS</w:t>
                  </w:r>
                </w:p>
              </w:tc>
              <w:tc>
                <w:tcPr>
                  <w:tcW w:w="486" w:type="pct"/>
                  <w:tcBorders>
                    <w:top w:val="single" w:color="auto" w:sz="4" w:space="0"/>
                    <w:left w:val="single" w:color="auto" w:sz="4" w:space="0"/>
                    <w:bottom w:val="single" w:color="auto" w:sz="4" w:space="0"/>
                    <w:right w:val="nil"/>
                  </w:tcBorders>
                  <w:shd w:val="clear" w:color="000000" w:fill="FFFFFF"/>
                  <w:vAlign w:val="center"/>
                </w:tcPr>
                <w:p w14:paraId="192BFD47">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10</w:t>
                  </w:r>
                </w:p>
              </w:tc>
            </w:tr>
            <w:tr w14:paraId="26E87CC1">
              <w:trPr>
                <w:trHeight w:val="340" w:hRule="atLeast"/>
              </w:trPr>
              <w:tc>
                <w:tcPr>
                  <w:tcW w:w="399" w:type="pct"/>
                  <w:vMerge w:val="continue"/>
                  <w:tcBorders>
                    <w:top w:val="single" w:color="auto" w:sz="4" w:space="0"/>
                    <w:left w:val="nil"/>
                    <w:bottom w:val="single" w:color="auto" w:sz="8" w:space="0"/>
                    <w:right w:val="single" w:color="auto" w:sz="4" w:space="0"/>
                  </w:tcBorders>
                  <w:vAlign w:val="center"/>
                </w:tcPr>
                <w:p w14:paraId="209BA099">
                  <w:pPr>
                    <w:widowControl/>
                    <w:jc w:val="left"/>
                    <w:rPr>
                      <w:rFonts w:ascii="Times New Roman" w:hAnsi="Times New Roman" w:cs="Times New Roman"/>
                      <w:color w:val="auto"/>
                      <w:kern w:val="0"/>
                      <w:sz w:val="18"/>
                      <w:szCs w:val="18"/>
                      <w:highlight w:val="none"/>
                    </w:rPr>
                  </w:pPr>
                </w:p>
              </w:tc>
              <w:tc>
                <w:tcPr>
                  <w:tcW w:w="493" w:type="pct"/>
                  <w:vMerge w:val="continue"/>
                  <w:tcBorders>
                    <w:top w:val="single" w:color="auto" w:sz="4" w:space="0"/>
                    <w:left w:val="single" w:color="auto" w:sz="4" w:space="0"/>
                    <w:bottom w:val="single" w:color="auto" w:sz="8" w:space="0"/>
                    <w:right w:val="single" w:color="auto" w:sz="4" w:space="0"/>
                  </w:tcBorders>
                  <w:vAlign w:val="center"/>
                </w:tcPr>
                <w:p w14:paraId="2AECF112">
                  <w:pPr>
                    <w:widowControl/>
                    <w:jc w:val="left"/>
                    <w:rPr>
                      <w:rFonts w:ascii="Times New Roman" w:hAnsi="Times New Roman" w:cs="Times New Roman"/>
                      <w:color w:val="auto"/>
                      <w:kern w:val="0"/>
                      <w:sz w:val="18"/>
                      <w:szCs w:val="18"/>
                      <w:highlight w:val="none"/>
                    </w:rPr>
                  </w:pPr>
                </w:p>
              </w:tc>
              <w:tc>
                <w:tcPr>
                  <w:tcW w:w="401" w:type="pct"/>
                  <w:vMerge w:val="continue"/>
                  <w:tcBorders>
                    <w:top w:val="single" w:color="auto" w:sz="4" w:space="0"/>
                    <w:left w:val="single" w:color="auto" w:sz="4" w:space="0"/>
                    <w:bottom w:val="single" w:color="auto" w:sz="8" w:space="0"/>
                    <w:right w:val="single" w:color="auto" w:sz="4" w:space="0"/>
                  </w:tcBorders>
                  <w:vAlign w:val="center"/>
                </w:tcPr>
                <w:p w14:paraId="21AC5573">
                  <w:pPr>
                    <w:widowControl/>
                    <w:jc w:val="left"/>
                    <w:rPr>
                      <w:rFonts w:ascii="Times New Roman" w:hAnsi="Times New Roman" w:cs="Times New Roman"/>
                      <w:color w:val="auto"/>
                      <w:kern w:val="0"/>
                      <w:sz w:val="18"/>
                      <w:szCs w:val="18"/>
                      <w:highlight w:val="none"/>
                    </w:rPr>
                  </w:pPr>
                </w:p>
              </w:tc>
              <w:tc>
                <w:tcPr>
                  <w:tcW w:w="446" w:type="pct"/>
                  <w:vMerge w:val="continue"/>
                  <w:tcBorders>
                    <w:top w:val="single" w:color="auto" w:sz="4" w:space="0"/>
                    <w:left w:val="single" w:color="auto" w:sz="4" w:space="0"/>
                    <w:bottom w:val="single" w:color="auto" w:sz="8" w:space="0"/>
                    <w:right w:val="single" w:color="auto" w:sz="4" w:space="0"/>
                  </w:tcBorders>
                  <w:vAlign w:val="center"/>
                </w:tcPr>
                <w:p w14:paraId="39AF7C10">
                  <w:pPr>
                    <w:widowControl/>
                    <w:jc w:val="left"/>
                    <w:rPr>
                      <w:rFonts w:ascii="Times New Roman" w:hAnsi="Times New Roman" w:cs="Times New Roman"/>
                      <w:color w:val="auto"/>
                      <w:kern w:val="0"/>
                      <w:sz w:val="18"/>
                      <w:szCs w:val="18"/>
                      <w:highlight w:val="none"/>
                    </w:rPr>
                  </w:pPr>
                </w:p>
              </w:tc>
              <w:tc>
                <w:tcPr>
                  <w:tcW w:w="434" w:type="pct"/>
                  <w:vMerge w:val="continue"/>
                  <w:tcBorders>
                    <w:top w:val="single" w:color="auto" w:sz="4" w:space="0"/>
                    <w:left w:val="single" w:color="auto" w:sz="4" w:space="0"/>
                    <w:bottom w:val="single" w:color="auto" w:sz="8" w:space="0"/>
                    <w:right w:val="single" w:color="auto" w:sz="4" w:space="0"/>
                  </w:tcBorders>
                  <w:vAlign w:val="center"/>
                </w:tcPr>
                <w:p w14:paraId="34A3977A">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8" w:space="0"/>
                    <w:right w:val="single" w:color="auto" w:sz="4" w:space="0"/>
                  </w:tcBorders>
                  <w:vAlign w:val="center"/>
                </w:tcPr>
                <w:p w14:paraId="4E712C37">
                  <w:pPr>
                    <w:widowControl/>
                    <w:jc w:val="left"/>
                    <w:rPr>
                      <w:rFonts w:ascii="Times New Roman" w:hAnsi="Times New Roman" w:cs="Times New Roman"/>
                      <w:color w:val="auto"/>
                      <w:kern w:val="0"/>
                      <w:sz w:val="18"/>
                      <w:szCs w:val="18"/>
                      <w:highlight w:val="none"/>
                    </w:rPr>
                  </w:pPr>
                </w:p>
              </w:tc>
              <w:tc>
                <w:tcPr>
                  <w:tcW w:w="544" w:type="pct"/>
                  <w:vMerge w:val="continue"/>
                  <w:tcBorders>
                    <w:top w:val="single" w:color="auto" w:sz="4" w:space="0"/>
                    <w:left w:val="single" w:color="auto" w:sz="4" w:space="0"/>
                    <w:bottom w:val="single" w:color="auto" w:sz="8" w:space="0"/>
                    <w:right w:val="single" w:color="auto" w:sz="4" w:space="0"/>
                  </w:tcBorders>
                  <w:vAlign w:val="center"/>
                </w:tcPr>
                <w:p w14:paraId="35159F90">
                  <w:pPr>
                    <w:widowControl/>
                    <w:jc w:val="left"/>
                    <w:rPr>
                      <w:rFonts w:ascii="Times New Roman" w:hAnsi="Times New Roman" w:cs="Times New Roman"/>
                      <w:color w:val="auto"/>
                      <w:kern w:val="0"/>
                      <w:sz w:val="18"/>
                      <w:szCs w:val="18"/>
                      <w:highlight w:val="none"/>
                    </w:rPr>
                  </w:pPr>
                </w:p>
              </w:tc>
              <w:tc>
                <w:tcPr>
                  <w:tcW w:w="398" w:type="pct"/>
                  <w:vMerge w:val="continue"/>
                  <w:tcBorders>
                    <w:top w:val="single" w:color="auto" w:sz="4" w:space="0"/>
                    <w:left w:val="single" w:color="auto" w:sz="4" w:space="0"/>
                    <w:bottom w:val="single" w:color="auto" w:sz="8" w:space="0"/>
                    <w:right w:val="single" w:color="auto" w:sz="4" w:space="0"/>
                  </w:tcBorders>
                  <w:vAlign w:val="center"/>
                </w:tcPr>
                <w:p w14:paraId="446022A0">
                  <w:pPr>
                    <w:widowControl/>
                    <w:jc w:val="left"/>
                    <w:rPr>
                      <w:rFonts w:ascii="Times New Roman" w:hAnsi="Times New Roman" w:cs="Times New Roman"/>
                      <w:color w:val="auto"/>
                      <w:kern w:val="0"/>
                      <w:sz w:val="18"/>
                      <w:szCs w:val="18"/>
                      <w:highlight w:val="none"/>
                    </w:rPr>
                  </w:pPr>
                </w:p>
              </w:tc>
              <w:tc>
                <w:tcPr>
                  <w:tcW w:w="399" w:type="pct"/>
                  <w:vMerge w:val="continue"/>
                  <w:tcBorders>
                    <w:top w:val="single" w:color="auto" w:sz="4" w:space="0"/>
                    <w:left w:val="single" w:color="auto" w:sz="4" w:space="0"/>
                    <w:bottom w:val="single" w:color="auto" w:sz="8" w:space="0"/>
                    <w:right w:val="single" w:color="auto" w:sz="4" w:space="0"/>
                  </w:tcBorders>
                  <w:vAlign w:val="center"/>
                </w:tcPr>
                <w:p w14:paraId="5D67D667">
                  <w:pPr>
                    <w:widowControl/>
                    <w:jc w:val="left"/>
                    <w:rPr>
                      <w:rFonts w:ascii="Times New Roman" w:hAnsi="Times New Roman" w:cs="Times New Roman"/>
                      <w:color w:val="auto"/>
                      <w:kern w:val="0"/>
                      <w:sz w:val="18"/>
                      <w:szCs w:val="18"/>
                      <w:highlight w:val="none"/>
                    </w:rPr>
                  </w:pPr>
                </w:p>
              </w:tc>
              <w:tc>
                <w:tcPr>
                  <w:tcW w:w="455" w:type="pct"/>
                  <w:tcBorders>
                    <w:top w:val="single" w:color="auto" w:sz="4" w:space="0"/>
                    <w:left w:val="single" w:color="auto" w:sz="4" w:space="0"/>
                    <w:bottom w:val="single" w:color="auto" w:sz="8" w:space="0"/>
                    <w:right w:val="single" w:color="auto" w:sz="4" w:space="0"/>
                  </w:tcBorders>
                  <w:vAlign w:val="center"/>
                </w:tcPr>
                <w:p w14:paraId="0981DD70">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NH</w:t>
                  </w:r>
                  <w:r>
                    <w:rPr>
                      <w:rFonts w:ascii="Times New Roman" w:hAnsi="Times New Roman" w:cs="Times New Roman"/>
                      <w:color w:val="auto"/>
                      <w:kern w:val="0"/>
                      <w:sz w:val="18"/>
                      <w:szCs w:val="18"/>
                      <w:highlight w:val="none"/>
                      <w:vertAlign w:val="subscript"/>
                    </w:rPr>
                    <w:t>3</w:t>
                  </w:r>
                  <w:r>
                    <w:rPr>
                      <w:rFonts w:ascii="Times New Roman" w:hAnsi="Times New Roman" w:cs="Times New Roman"/>
                      <w:color w:val="auto"/>
                      <w:kern w:val="0"/>
                      <w:sz w:val="18"/>
                      <w:szCs w:val="18"/>
                      <w:highlight w:val="none"/>
                    </w:rPr>
                    <w:t>-N</w:t>
                  </w:r>
                </w:p>
              </w:tc>
              <w:tc>
                <w:tcPr>
                  <w:tcW w:w="486" w:type="pct"/>
                  <w:tcBorders>
                    <w:top w:val="single" w:color="auto" w:sz="4" w:space="0"/>
                    <w:left w:val="single" w:color="auto" w:sz="4" w:space="0"/>
                    <w:bottom w:val="single" w:color="auto" w:sz="8" w:space="0"/>
                    <w:right w:val="nil"/>
                  </w:tcBorders>
                  <w:vAlign w:val="center"/>
                </w:tcPr>
                <w:p w14:paraId="0848A314">
                  <w:pPr>
                    <w:widowControl/>
                    <w:jc w:val="center"/>
                    <w:rPr>
                      <w:rFonts w:ascii="Times New Roman" w:hAnsi="Times New Roman" w:cs="Times New Roman"/>
                      <w:color w:val="auto"/>
                      <w:kern w:val="0"/>
                      <w:sz w:val="18"/>
                      <w:szCs w:val="18"/>
                      <w:highlight w:val="none"/>
                    </w:rPr>
                  </w:pPr>
                  <w:r>
                    <w:rPr>
                      <w:rFonts w:ascii="Times New Roman" w:hAnsi="Times New Roman" w:cs="Times New Roman"/>
                      <w:color w:val="auto"/>
                      <w:kern w:val="0"/>
                      <w:sz w:val="18"/>
                      <w:szCs w:val="18"/>
                      <w:highlight w:val="none"/>
                    </w:rPr>
                    <w:t>5</w:t>
                  </w:r>
                </w:p>
              </w:tc>
            </w:tr>
          </w:tbl>
          <w:p w14:paraId="55BC61C0">
            <w:pPr>
              <w:spacing w:line="460" w:lineRule="exact"/>
              <w:jc w:val="center"/>
              <w:rPr>
                <w:rFonts w:ascii="Times New Roman" w:hAnsi="Times New Roman" w:eastAsia="黑体" w:cs="Times New Roman"/>
                <w:bCs/>
                <w:color w:val="auto"/>
                <w:szCs w:val="21"/>
                <w:highlight w:val="none"/>
              </w:rPr>
            </w:pPr>
            <w:r>
              <w:rPr>
                <w:rFonts w:ascii="Times New Roman" w:hAnsi="Times New Roman" w:eastAsia="黑体" w:cs="Times New Roman"/>
                <w:bCs/>
                <w:color w:val="auto"/>
                <w:szCs w:val="21"/>
                <w:highlight w:val="none"/>
              </w:rPr>
              <w:t>表4-</w:t>
            </w:r>
            <w:r>
              <w:rPr>
                <w:rFonts w:hint="eastAsia" w:ascii="Times New Roman" w:hAnsi="Times New Roman" w:eastAsia="黑体" w:cs="Times New Roman"/>
                <w:bCs/>
                <w:color w:val="auto"/>
                <w:szCs w:val="21"/>
                <w:highlight w:val="none"/>
                <w:lang w:val="en-US" w:eastAsia="zh-CN"/>
              </w:rPr>
              <w:t>4</w:t>
            </w:r>
            <w:r>
              <w:rPr>
                <w:rFonts w:ascii="Times New Roman" w:hAnsi="Times New Roman" w:eastAsia="黑体" w:cs="Times New Roman"/>
                <w:bCs/>
                <w:color w:val="auto"/>
                <w:szCs w:val="21"/>
                <w:highlight w:val="none"/>
              </w:rPr>
              <w:t xml:space="preserve"> 废水污染物排放执行标准表</w:t>
            </w:r>
          </w:p>
          <w:tbl>
            <w:tblPr>
              <w:tblStyle w:val="18"/>
              <w:tblW w:w="5000" w:type="pct"/>
              <w:tblInd w:w="0" w:type="dxa"/>
              <w:tblLayout w:type="fixed"/>
              <w:tblCellMar>
                <w:top w:w="0" w:type="dxa"/>
                <w:left w:w="108" w:type="dxa"/>
                <w:bottom w:w="0" w:type="dxa"/>
                <w:right w:w="108" w:type="dxa"/>
              </w:tblCellMar>
            </w:tblPr>
            <w:tblGrid>
              <w:gridCol w:w="1548"/>
              <w:gridCol w:w="1548"/>
              <w:gridCol w:w="1547"/>
              <w:gridCol w:w="1547"/>
              <w:gridCol w:w="1547"/>
            </w:tblGrid>
            <w:tr w14:paraId="73F74F94">
              <w:tblPrEx>
                <w:tblCellMar>
                  <w:top w:w="0" w:type="dxa"/>
                  <w:left w:w="108" w:type="dxa"/>
                  <w:bottom w:w="0" w:type="dxa"/>
                  <w:right w:w="108" w:type="dxa"/>
                </w:tblCellMar>
              </w:tblPrEx>
              <w:trPr>
                <w:trHeight w:val="340" w:hRule="atLeast"/>
              </w:trPr>
              <w:tc>
                <w:tcPr>
                  <w:tcW w:w="1000" w:type="pct"/>
                  <w:vMerge w:val="restart"/>
                  <w:tcBorders>
                    <w:top w:val="single" w:color="auto" w:sz="8" w:space="0"/>
                    <w:left w:val="single" w:color="auto" w:sz="4" w:space="0"/>
                    <w:bottom w:val="single" w:color="auto" w:sz="4" w:space="0"/>
                    <w:right w:val="single" w:color="auto" w:sz="4" w:space="0"/>
                  </w:tcBorders>
                  <w:vAlign w:val="center"/>
                </w:tcPr>
                <w:p w14:paraId="1ED29EDF">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序号</w:t>
                  </w:r>
                </w:p>
              </w:tc>
              <w:tc>
                <w:tcPr>
                  <w:tcW w:w="1000" w:type="pct"/>
                  <w:vMerge w:val="restart"/>
                  <w:tcBorders>
                    <w:top w:val="single" w:color="auto" w:sz="8" w:space="0"/>
                    <w:left w:val="single" w:color="auto" w:sz="4" w:space="0"/>
                    <w:bottom w:val="single" w:color="auto" w:sz="4" w:space="0"/>
                    <w:right w:val="single" w:color="auto" w:sz="4" w:space="0"/>
                  </w:tcBorders>
                  <w:vAlign w:val="center"/>
                </w:tcPr>
                <w:p w14:paraId="4476B143">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排放编号</w:t>
                  </w:r>
                </w:p>
              </w:tc>
              <w:tc>
                <w:tcPr>
                  <w:tcW w:w="1000" w:type="pct"/>
                  <w:vMerge w:val="restart"/>
                  <w:tcBorders>
                    <w:top w:val="single" w:color="auto" w:sz="8" w:space="0"/>
                    <w:left w:val="single" w:color="auto" w:sz="4" w:space="0"/>
                    <w:bottom w:val="single" w:color="auto" w:sz="4" w:space="0"/>
                    <w:right w:val="single" w:color="auto" w:sz="4" w:space="0"/>
                  </w:tcBorders>
                  <w:vAlign w:val="center"/>
                </w:tcPr>
                <w:p w14:paraId="23AEDEE4">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污染物种类</w:t>
                  </w:r>
                </w:p>
              </w:tc>
              <w:tc>
                <w:tcPr>
                  <w:tcW w:w="2000" w:type="pct"/>
                  <w:gridSpan w:val="2"/>
                  <w:tcBorders>
                    <w:top w:val="single" w:color="auto" w:sz="8" w:space="0"/>
                    <w:left w:val="single" w:color="auto" w:sz="4" w:space="0"/>
                    <w:bottom w:val="single" w:color="auto" w:sz="4" w:space="0"/>
                    <w:right w:val="nil"/>
                  </w:tcBorders>
                  <w:vAlign w:val="center"/>
                </w:tcPr>
                <w:p w14:paraId="50A70E3C">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《污水综合排放标准》</w:t>
                  </w:r>
                </w:p>
                <w:p w14:paraId="0F6F004E">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(GB 8978-1996</w:t>
                  </w:r>
                  <w:r>
                    <w:rPr>
                      <w:rFonts w:hint="eastAsia" w:ascii="Times New Roman" w:hAnsi="Times New Roman" w:cs="Times New Roman"/>
                      <w:b/>
                      <w:bCs/>
                      <w:color w:val="auto"/>
                      <w:kern w:val="0"/>
                      <w:sz w:val="18"/>
                      <w:szCs w:val="18"/>
                      <w:highlight w:val="none"/>
                      <w:lang w:eastAsia="zh-CN"/>
                    </w:rPr>
                    <w:t>）</w:t>
                  </w:r>
                  <w:r>
                    <w:rPr>
                      <w:rFonts w:ascii="Times New Roman" w:hAnsi="Times New Roman" w:cs="Times New Roman"/>
                      <w:b/>
                      <w:bCs/>
                      <w:color w:val="auto"/>
                      <w:kern w:val="0"/>
                      <w:sz w:val="18"/>
                      <w:szCs w:val="18"/>
                      <w:highlight w:val="none"/>
                    </w:rPr>
                    <w:t>三级标准</w:t>
                  </w:r>
                </w:p>
              </w:tc>
            </w:tr>
            <w:tr w14:paraId="4E63433C">
              <w:tblPrEx>
                <w:tblCellMar>
                  <w:top w:w="0" w:type="dxa"/>
                  <w:left w:w="108" w:type="dxa"/>
                  <w:bottom w:w="0" w:type="dxa"/>
                  <w:right w:w="108" w:type="dxa"/>
                </w:tblCellMar>
              </w:tblPrEx>
              <w:trPr>
                <w:trHeight w:val="340" w:hRule="atLeast"/>
              </w:trPr>
              <w:tc>
                <w:tcPr>
                  <w:tcW w:w="1000" w:type="pct"/>
                  <w:vMerge w:val="continue"/>
                  <w:tcBorders>
                    <w:top w:val="single" w:color="auto" w:sz="4" w:space="0"/>
                    <w:left w:val="nil"/>
                    <w:bottom w:val="single" w:color="auto" w:sz="4" w:space="0"/>
                    <w:right w:val="single" w:color="auto" w:sz="4" w:space="0"/>
                  </w:tcBorders>
                  <w:vAlign w:val="center"/>
                </w:tcPr>
                <w:p w14:paraId="09B5F5BF">
                  <w:pPr>
                    <w:widowControl/>
                    <w:jc w:val="left"/>
                    <w:rPr>
                      <w:rFonts w:ascii="Times New Roman" w:hAnsi="Times New Roman" w:cs="Times New Roman"/>
                      <w:b/>
                      <w:bCs/>
                      <w:color w:val="auto"/>
                      <w:kern w:val="0"/>
                      <w:sz w:val="18"/>
                      <w:szCs w:val="18"/>
                      <w:highlight w:val="none"/>
                    </w:rPr>
                  </w:pP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13F627C6">
                  <w:pPr>
                    <w:widowControl/>
                    <w:jc w:val="left"/>
                    <w:rPr>
                      <w:rFonts w:ascii="Times New Roman" w:hAnsi="Times New Roman" w:cs="Times New Roman"/>
                      <w:b/>
                      <w:bCs/>
                      <w:color w:val="auto"/>
                      <w:kern w:val="0"/>
                      <w:sz w:val="18"/>
                      <w:szCs w:val="18"/>
                      <w:highlight w:val="none"/>
                    </w:rPr>
                  </w:pP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0AAF2E0D">
                  <w:pPr>
                    <w:widowControl/>
                    <w:jc w:val="left"/>
                    <w:rPr>
                      <w:rFonts w:ascii="Times New Roman" w:hAnsi="Times New Roman" w:cs="Times New Roman"/>
                      <w:b/>
                      <w:bCs/>
                      <w:color w:val="auto"/>
                      <w:kern w:val="0"/>
                      <w:sz w:val="18"/>
                      <w:szCs w:val="18"/>
                      <w:highlight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279EE20E">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名称</w:t>
                  </w:r>
                </w:p>
              </w:tc>
              <w:tc>
                <w:tcPr>
                  <w:tcW w:w="1000" w:type="pct"/>
                  <w:tcBorders>
                    <w:top w:val="single" w:color="auto" w:sz="4" w:space="0"/>
                    <w:left w:val="single" w:color="auto" w:sz="4" w:space="0"/>
                    <w:bottom w:val="single" w:color="auto" w:sz="4" w:space="0"/>
                    <w:right w:val="nil"/>
                  </w:tcBorders>
                  <w:vAlign w:val="center"/>
                </w:tcPr>
                <w:p w14:paraId="07EB1AD3">
                  <w:pPr>
                    <w:widowControl/>
                    <w:jc w:val="center"/>
                    <w:rPr>
                      <w:rFonts w:ascii="Times New Roman" w:hAnsi="Times New Roman" w:cs="Times New Roman"/>
                      <w:b/>
                      <w:bCs/>
                      <w:color w:val="auto"/>
                      <w:kern w:val="0"/>
                      <w:sz w:val="18"/>
                      <w:szCs w:val="18"/>
                      <w:highlight w:val="none"/>
                    </w:rPr>
                  </w:pPr>
                  <w:r>
                    <w:rPr>
                      <w:rFonts w:ascii="Times New Roman" w:hAnsi="Times New Roman" w:cs="Times New Roman"/>
                      <w:b/>
                      <w:bCs/>
                      <w:color w:val="auto"/>
                      <w:kern w:val="0"/>
                      <w:sz w:val="18"/>
                      <w:szCs w:val="18"/>
                      <w:highlight w:val="none"/>
                    </w:rPr>
                    <w:t>浓度限值/(mg/L)</w:t>
                  </w:r>
                </w:p>
              </w:tc>
            </w:tr>
            <w:tr w14:paraId="7C1F90BF">
              <w:tblPrEx>
                <w:tblCellMar>
                  <w:top w:w="0" w:type="dxa"/>
                  <w:left w:w="108" w:type="dxa"/>
                  <w:bottom w:w="0" w:type="dxa"/>
                  <w:right w:w="108" w:type="dxa"/>
                </w:tblCellMar>
              </w:tblPrEx>
              <w:trPr>
                <w:trHeight w:val="340" w:hRule="atLeast"/>
              </w:trPr>
              <w:tc>
                <w:tcPr>
                  <w:tcW w:w="1000" w:type="pct"/>
                  <w:vMerge w:val="restart"/>
                  <w:tcBorders>
                    <w:top w:val="single" w:color="auto" w:sz="4" w:space="0"/>
                    <w:left w:val="nil"/>
                    <w:bottom w:val="single" w:color="auto" w:sz="4" w:space="0"/>
                    <w:right w:val="single" w:color="auto" w:sz="4" w:space="0"/>
                  </w:tcBorders>
                  <w:vAlign w:val="center"/>
                </w:tcPr>
                <w:p w14:paraId="3B2DA7AA">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1</w:t>
                  </w:r>
                </w:p>
              </w:tc>
              <w:tc>
                <w:tcPr>
                  <w:tcW w:w="1000" w:type="pct"/>
                  <w:vMerge w:val="restart"/>
                  <w:tcBorders>
                    <w:top w:val="single" w:color="auto" w:sz="4" w:space="0"/>
                    <w:left w:val="single" w:color="auto" w:sz="4" w:space="0"/>
                    <w:bottom w:val="single" w:color="auto" w:sz="4" w:space="0"/>
                    <w:right w:val="single" w:color="auto" w:sz="4" w:space="0"/>
                  </w:tcBorders>
                  <w:vAlign w:val="center"/>
                </w:tcPr>
                <w:p w14:paraId="03DCCDC8">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DW001</w:t>
                  </w:r>
                </w:p>
              </w:tc>
              <w:tc>
                <w:tcPr>
                  <w:tcW w:w="1000" w:type="pct"/>
                  <w:tcBorders>
                    <w:top w:val="single" w:color="auto" w:sz="4" w:space="0"/>
                    <w:left w:val="single" w:color="auto" w:sz="4" w:space="0"/>
                    <w:bottom w:val="single" w:color="auto" w:sz="4" w:space="0"/>
                    <w:right w:val="single" w:color="auto" w:sz="4" w:space="0"/>
                  </w:tcBorders>
                  <w:vAlign w:val="center"/>
                </w:tcPr>
                <w:p w14:paraId="393FBA19">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pH</w:t>
                  </w:r>
                </w:p>
              </w:tc>
              <w:tc>
                <w:tcPr>
                  <w:tcW w:w="1000" w:type="pct"/>
                  <w:vMerge w:val="restart"/>
                  <w:tcBorders>
                    <w:top w:val="single" w:color="auto" w:sz="4" w:space="0"/>
                    <w:left w:val="single" w:color="auto" w:sz="4" w:space="0"/>
                    <w:bottom w:val="single" w:color="auto" w:sz="4" w:space="0"/>
                    <w:right w:val="single" w:color="auto" w:sz="4" w:space="0"/>
                  </w:tcBorders>
                  <w:vAlign w:val="center"/>
                </w:tcPr>
                <w:p w14:paraId="2ECD9502">
                  <w:pPr>
                    <w:widowControl/>
                    <w:jc w:val="center"/>
                    <w:rPr>
                      <w:rFonts w:ascii="Times New Roman" w:hAnsi="Times New Roman" w:cs="Times New Roman"/>
                      <w:color w:val="auto"/>
                      <w:kern w:val="0"/>
                      <w:sz w:val="18"/>
                      <w:szCs w:val="18"/>
                      <w:highlight w:val="none"/>
                    </w:rPr>
                  </w:pPr>
                  <w:r>
                    <w:rPr>
                      <w:rFonts w:hint="eastAsia" w:ascii="Times New Roman" w:hAnsi="Times New Roman" w:cs="Times New Roman"/>
                      <w:color w:val="auto"/>
                      <w:kern w:val="0"/>
                      <w:sz w:val="18"/>
                      <w:szCs w:val="18"/>
                      <w:highlight w:val="none"/>
                    </w:rPr>
                    <w:t>《污水综合排放标准》</w:t>
                  </w:r>
                  <w:r>
                    <w:rPr>
                      <w:rFonts w:hint="eastAsia" w:ascii="Times New Roman" w:hAnsi="Times New Roman" w:cs="Times New Roman"/>
                      <w:color w:val="auto"/>
                      <w:kern w:val="0"/>
                      <w:sz w:val="18"/>
                      <w:szCs w:val="18"/>
                      <w:highlight w:val="none"/>
                      <w:lang w:eastAsia="zh-CN"/>
                    </w:rPr>
                    <w:t>（</w:t>
                  </w:r>
                  <w:r>
                    <w:rPr>
                      <w:rFonts w:hint="eastAsia" w:ascii="Times New Roman" w:hAnsi="Times New Roman" w:cs="Times New Roman"/>
                      <w:color w:val="auto"/>
                      <w:kern w:val="0"/>
                      <w:sz w:val="18"/>
                      <w:szCs w:val="18"/>
                      <w:highlight w:val="none"/>
                    </w:rPr>
                    <w:t>GB 8978-1996</w:t>
                  </w:r>
                  <w:r>
                    <w:rPr>
                      <w:rFonts w:hint="eastAsia" w:ascii="Times New Roman" w:hAnsi="Times New Roman" w:cs="Times New Roman"/>
                      <w:color w:val="auto"/>
                      <w:kern w:val="0"/>
                      <w:sz w:val="18"/>
                      <w:szCs w:val="18"/>
                      <w:highlight w:val="none"/>
                      <w:lang w:eastAsia="zh-CN"/>
                    </w:rPr>
                    <w:t>）</w:t>
                  </w:r>
                  <w:r>
                    <w:rPr>
                      <w:rFonts w:hint="eastAsia" w:ascii="Times New Roman" w:hAnsi="Times New Roman" w:cs="Times New Roman"/>
                      <w:color w:val="auto"/>
                      <w:kern w:val="0"/>
                      <w:sz w:val="18"/>
                      <w:szCs w:val="18"/>
                      <w:highlight w:val="none"/>
                    </w:rPr>
                    <w:t>三级标准</w:t>
                  </w:r>
                </w:p>
              </w:tc>
              <w:tc>
                <w:tcPr>
                  <w:tcW w:w="1000" w:type="pct"/>
                  <w:tcBorders>
                    <w:top w:val="single" w:color="auto" w:sz="4" w:space="0"/>
                    <w:left w:val="single" w:color="auto" w:sz="4" w:space="0"/>
                    <w:bottom w:val="single" w:color="auto" w:sz="4" w:space="0"/>
                    <w:right w:val="nil"/>
                  </w:tcBorders>
                  <w:vAlign w:val="center"/>
                </w:tcPr>
                <w:p w14:paraId="3EAD72DB">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6~9</w:t>
                  </w:r>
                </w:p>
              </w:tc>
            </w:tr>
            <w:tr w14:paraId="60FCA12D">
              <w:tblPrEx>
                <w:tblCellMar>
                  <w:top w:w="0" w:type="dxa"/>
                  <w:left w:w="108" w:type="dxa"/>
                  <w:bottom w:w="0" w:type="dxa"/>
                  <w:right w:w="108" w:type="dxa"/>
                </w:tblCellMar>
              </w:tblPrEx>
              <w:trPr>
                <w:trHeight w:val="340" w:hRule="atLeast"/>
              </w:trPr>
              <w:tc>
                <w:tcPr>
                  <w:tcW w:w="1000" w:type="pct"/>
                  <w:vMerge w:val="continue"/>
                  <w:tcBorders>
                    <w:top w:val="single" w:color="auto" w:sz="4" w:space="0"/>
                    <w:left w:val="nil"/>
                    <w:bottom w:val="single" w:color="auto" w:sz="4" w:space="0"/>
                    <w:right w:val="single" w:color="auto" w:sz="4" w:space="0"/>
                  </w:tcBorders>
                  <w:vAlign w:val="center"/>
                </w:tcPr>
                <w:p w14:paraId="5CD1687B">
                  <w:pPr>
                    <w:widowControl/>
                    <w:jc w:val="left"/>
                    <w:rPr>
                      <w:rFonts w:ascii="Times New Roman" w:hAnsi="Times New Roman" w:eastAsia="等线" w:cs="Times New Roman"/>
                      <w:color w:val="auto"/>
                      <w:kern w:val="0"/>
                      <w:sz w:val="18"/>
                      <w:szCs w:val="18"/>
                      <w:highlight w:val="none"/>
                    </w:rPr>
                  </w:pP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39B1BFFD">
                  <w:pPr>
                    <w:widowControl/>
                    <w:jc w:val="left"/>
                    <w:rPr>
                      <w:rFonts w:ascii="Times New Roman" w:hAnsi="Times New Roman" w:eastAsia="等线" w:cs="Times New Roman"/>
                      <w:color w:val="auto"/>
                      <w:kern w:val="0"/>
                      <w:sz w:val="18"/>
                      <w:szCs w:val="18"/>
                      <w:highlight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10F4ABE3">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COD</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25EE436D">
                  <w:pPr>
                    <w:widowControl/>
                    <w:jc w:val="left"/>
                    <w:rPr>
                      <w:rFonts w:ascii="Times New Roman" w:hAnsi="Times New Roman" w:cs="Times New Roman"/>
                      <w:color w:val="auto"/>
                      <w:kern w:val="0"/>
                      <w:sz w:val="18"/>
                      <w:szCs w:val="18"/>
                      <w:highlight w:val="none"/>
                    </w:rPr>
                  </w:pPr>
                </w:p>
              </w:tc>
              <w:tc>
                <w:tcPr>
                  <w:tcW w:w="1000" w:type="pct"/>
                  <w:tcBorders>
                    <w:top w:val="single" w:color="auto" w:sz="4" w:space="0"/>
                    <w:left w:val="single" w:color="auto" w:sz="4" w:space="0"/>
                    <w:bottom w:val="single" w:color="auto" w:sz="4" w:space="0"/>
                    <w:right w:val="nil"/>
                  </w:tcBorders>
                  <w:vAlign w:val="center"/>
                </w:tcPr>
                <w:p w14:paraId="607E8934">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500</w:t>
                  </w:r>
                </w:p>
              </w:tc>
            </w:tr>
            <w:tr w14:paraId="69FDFCFB">
              <w:tblPrEx>
                <w:tblCellMar>
                  <w:top w:w="0" w:type="dxa"/>
                  <w:left w:w="108" w:type="dxa"/>
                  <w:bottom w:w="0" w:type="dxa"/>
                  <w:right w:w="108" w:type="dxa"/>
                </w:tblCellMar>
              </w:tblPrEx>
              <w:trPr>
                <w:trHeight w:val="340" w:hRule="atLeast"/>
              </w:trPr>
              <w:tc>
                <w:tcPr>
                  <w:tcW w:w="1000" w:type="pct"/>
                  <w:vMerge w:val="continue"/>
                  <w:tcBorders>
                    <w:top w:val="single" w:color="auto" w:sz="4" w:space="0"/>
                    <w:left w:val="nil"/>
                    <w:bottom w:val="single" w:color="auto" w:sz="4" w:space="0"/>
                    <w:right w:val="single" w:color="auto" w:sz="4" w:space="0"/>
                  </w:tcBorders>
                  <w:vAlign w:val="center"/>
                </w:tcPr>
                <w:p w14:paraId="2E7A50DA">
                  <w:pPr>
                    <w:widowControl/>
                    <w:jc w:val="left"/>
                    <w:rPr>
                      <w:rFonts w:ascii="Times New Roman" w:hAnsi="Times New Roman" w:eastAsia="等线" w:cs="Times New Roman"/>
                      <w:color w:val="auto"/>
                      <w:kern w:val="0"/>
                      <w:sz w:val="18"/>
                      <w:szCs w:val="18"/>
                      <w:highlight w:val="none"/>
                    </w:rPr>
                  </w:pP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725E6148">
                  <w:pPr>
                    <w:widowControl/>
                    <w:jc w:val="left"/>
                    <w:rPr>
                      <w:rFonts w:ascii="Times New Roman" w:hAnsi="Times New Roman" w:eastAsia="等线" w:cs="Times New Roman"/>
                      <w:color w:val="auto"/>
                      <w:kern w:val="0"/>
                      <w:sz w:val="18"/>
                      <w:szCs w:val="18"/>
                      <w:highlight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6EB278C6">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BOD</w:t>
                  </w:r>
                  <w:r>
                    <w:rPr>
                      <w:rFonts w:ascii="Times New Roman" w:hAnsi="Times New Roman" w:eastAsia="等线" w:cs="Times New Roman"/>
                      <w:color w:val="auto"/>
                      <w:kern w:val="0"/>
                      <w:sz w:val="18"/>
                      <w:szCs w:val="18"/>
                      <w:highlight w:val="none"/>
                      <w:vertAlign w:val="subscript"/>
                    </w:rPr>
                    <w:t>5</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50696D92">
                  <w:pPr>
                    <w:widowControl/>
                    <w:jc w:val="left"/>
                    <w:rPr>
                      <w:rFonts w:ascii="Times New Roman" w:hAnsi="Times New Roman" w:cs="Times New Roman"/>
                      <w:color w:val="auto"/>
                      <w:kern w:val="0"/>
                      <w:sz w:val="18"/>
                      <w:szCs w:val="18"/>
                      <w:highlight w:val="none"/>
                    </w:rPr>
                  </w:pPr>
                </w:p>
              </w:tc>
              <w:tc>
                <w:tcPr>
                  <w:tcW w:w="1000" w:type="pct"/>
                  <w:tcBorders>
                    <w:top w:val="single" w:color="auto" w:sz="4" w:space="0"/>
                    <w:left w:val="single" w:color="auto" w:sz="4" w:space="0"/>
                    <w:bottom w:val="single" w:color="auto" w:sz="4" w:space="0"/>
                    <w:right w:val="nil"/>
                  </w:tcBorders>
                  <w:vAlign w:val="center"/>
                </w:tcPr>
                <w:p w14:paraId="7858439D">
                  <w:pPr>
                    <w:widowControl/>
                    <w:jc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3</w:t>
                  </w:r>
                  <w:r>
                    <w:rPr>
                      <w:rFonts w:ascii="Times New Roman" w:hAnsi="Times New Roman" w:eastAsia="等线" w:cs="Times New Roman"/>
                      <w:color w:val="auto"/>
                      <w:kern w:val="0"/>
                      <w:sz w:val="18"/>
                      <w:szCs w:val="18"/>
                      <w:highlight w:val="none"/>
                    </w:rPr>
                    <w:t>00</w:t>
                  </w:r>
                </w:p>
              </w:tc>
            </w:tr>
            <w:tr w14:paraId="26CDCACA">
              <w:tblPrEx>
                <w:tblCellMar>
                  <w:top w:w="0" w:type="dxa"/>
                  <w:left w:w="108" w:type="dxa"/>
                  <w:bottom w:w="0" w:type="dxa"/>
                  <w:right w:w="108" w:type="dxa"/>
                </w:tblCellMar>
              </w:tblPrEx>
              <w:trPr>
                <w:trHeight w:val="340" w:hRule="atLeast"/>
              </w:trPr>
              <w:tc>
                <w:tcPr>
                  <w:tcW w:w="1000" w:type="pct"/>
                  <w:vMerge w:val="continue"/>
                  <w:tcBorders>
                    <w:top w:val="single" w:color="auto" w:sz="4" w:space="0"/>
                    <w:left w:val="nil"/>
                    <w:bottom w:val="single" w:color="auto" w:sz="4" w:space="0"/>
                    <w:right w:val="single" w:color="auto" w:sz="4" w:space="0"/>
                  </w:tcBorders>
                  <w:vAlign w:val="center"/>
                </w:tcPr>
                <w:p w14:paraId="4B45B882">
                  <w:pPr>
                    <w:widowControl/>
                    <w:jc w:val="left"/>
                    <w:rPr>
                      <w:rFonts w:ascii="Times New Roman" w:hAnsi="Times New Roman" w:eastAsia="等线" w:cs="Times New Roman"/>
                      <w:color w:val="auto"/>
                      <w:kern w:val="0"/>
                      <w:sz w:val="18"/>
                      <w:szCs w:val="18"/>
                      <w:highlight w:val="none"/>
                    </w:rPr>
                  </w:pP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3493E257">
                  <w:pPr>
                    <w:widowControl/>
                    <w:jc w:val="left"/>
                    <w:rPr>
                      <w:rFonts w:ascii="Times New Roman" w:hAnsi="Times New Roman" w:eastAsia="等线" w:cs="Times New Roman"/>
                      <w:color w:val="auto"/>
                      <w:kern w:val="0"/>
                      <w:sz w:val="18"/>
                      <w:szCs w:val="18"/>
                      <w:highlight w:val="none"/>
                    </w:rPr>
                  </w:pPr>
                </w:p>
              </w:tc>
              <w:tc>
                <w:tcPr>
                  <w:tcW w:w="1000" w:type="pct"/>
                  <w:tcBorders>
                    <w:top w:val="single" w:color="auto" w:sz="4" w:space="0"/>
                    <w:left w:val="single" w:color="auto" w:sz="4" w:space="0"/>
                    <w:bottom w:val="single" w:color="auto" w:sz="4" w:space="0"/>
                    <w:right w:val="single" w:color="auto" w:sz="4" w:space="0"/>
                  </w:tcBorders>
                  <w:vAlign w:val="center"/>
                </w:tcPr>
                <w:p w14:paraId="6AD75759">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SS</w:t>
                  </w:r>
                </w:p>
              </w:tc>
              <w:tc>
                <w:tcPr>
                  <w:tcW w:w="1000" w:type="pct"/>
                  <w:vMerge w:val="continue"/>
                  <w:tcBorders>
                    <w:top w:val="single" w:color="auto" w:sz="4" w:space="0"/>
                    <w:left w:val="single" w:color="auto" w:sz="4" w:space="0"/>
                    <w:bottom w:val="single" w:color="auto" w:sz="4" w:space="0"/>
                    <w:right w:val="single" w:color="auto" w:sz="4" w:space="0"/>
                  </w:tcBorders>
                  <w:vAlign w:val="center"/>
                </w:tcPr>
                <w:p w14:paraId="0A03378C">
                  <w:pPr>
                    <w:widowControl/>
                    <w:jc w:val="left"/>
                    <w:rPr>
                      <w:rFonts w:ascii="Times New Roman" w:hAnsi="Times New Roman" w:cs="Times New Roman"/>
                      <w:color w:val="auto"/>
                      <w:kern w:val="0"/>
                      <w:sz w:val="18"/>
                      <w:szCs w:val="18"/>
                      <w:highlight w:val="none"/>
                    </w:rPr>
                  </w:pPr>
                </w:p>
              </w:tc>
              <w:tc>
                <w:tcPr>
                  <w:tcW w:w="1000" w:type="pct"/>
                  <w:tcBorders>
                    <w:top w:val="single" w:color="auto" w:sz="4" w:space="0"/>
                    <w:left w:val="single" w:color="auto" w:sz="4" w:space="0"/>
                    <w:bottom w:val="single" w:color="auto" w:sz="4" w:space="0"/>
                    <w:right w:val="nil"/>
                  </w:tcBorders>
                  <w:vAlign w:val="center"/>
                </w:tcPr>
                <w:p w14:paraId="25F9BE3B">
                  <w:pPr>
                    <w:widowControl/>
                    <w:jc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4</w:t>
                  </w:r>
                  <w:r>
                    <w:rPr>
                      <w:rFonts w:ascii="Times New Roman" w:hAnsi="Times New Roman" w:eastAsia="等线" w:cs="Times New Roman"/>
                      <w:color w:val="auto"/>
                      <w:kern w:val="0"/>
                      <w:sz w:val="18"/>
                      <w:szCs w:val="18"/>
                      <w:highlight w:val="none"/>
                    </w:rPr>
                    <w:t>00</w:t>
                  </w:r>
                </w:p>
              </w:tc>
            </w:tr>
            <w:tr w14:paraId="04172C49">
              <w:tblPrEx>
                <w:tblCellMar>
                  <w:top w:w="0" w:type="dxa"/>
                  <w:left w:w="108" w:type="dxa"/>
                  <w:bottom w:w="0" w:type="dxa"/>
                  <w:right w:w="108" w:type="dxa"/>
                </w:tblCellMar>
              </w:tblPrEx>
              <w:trPr>
                <w:trHeight w:val="340" w:hRule="atLeast"/>
              </w:trPr>
              <w:tc>
                <w:tcPr>
                  <w:tcW w:w="1000" w:type="pct"/>
                  <w:vMerge w:val="continue"/>
                  <w:tcBorders>
                    <w:top w:val="single" w:color="auto" w:sz="4" w:space="0"/>
                    <w:left w:val="nil"/>
                    <w:bottom w:val="single" w:color="auto" w:sz="8" w:space="0"/>
                    <w:right w:val="single" w:color="auto" w:sz="4" w:space="0"/>
                  </w:tcBorders>
                  <w:vAlign w:val="center"/>
                </w:tcPr>
                <w:p w14:paraId="21B82F9A">
                  <w:pPr>
                    <w:widowControl/>
                    <w:jc w:val="left"/>
                    <w:rPr>
                      <w:rFonts w:ascii="Times New Roman" w:hAnsi="Times New Roman" w:eastAsia="等线" w:cs="Times New Roman"/>
                      <w:color w:val="auto"/>
                      <w:kern w:val="0"/>
                      <w:sz w:val="18"/>
                      <w:szCs w:val="18"/>
                      <w:highlight w:val="none"/>
                    </w:rPr>
                  </w:pPr>
                </w:p>
              </w:tc>
              <w:tc>
                <w:tcPr>
                  <w:tcW w:w="1000" w:type="pct"/>
                  <w:vMerge w:val="continue"/>
                  <w:tcBorders>
                    <w:top w:val="single" w:color="auto" w:sz="4" w:space="0"/>
                    <w:left w:val="single" w:color="auto" w:sz="4" w:space="0"/>
                    <w:bottom w:val="single" w:color="auto" w:sz="8" w:space="0"/>
                    <w:right w:val="single" w:color="auto" w:sz="4" w:space="0"/>
                  </w:tcBorders>
                  <w:vAlign w:val="center"/>
                </w:tcPr>
                <w:p w14:paraId="39825E00">
                  <w:pPr>
                    <w:widowControl/>
                    <w:jc w:val="left"/>
                    <w:rPr>
                      <w:rFonts w:ascii="Times New Roman" w:hAnsi="Times New Roman" w:eastAsia="等线" w:cs="Times New Roman"/>
                      <w:color w:val="auto"/>
                      <w:kern w:val="0"/>
                      <w:sz w:val="18"/>
                      <w:szCs w:val="18"/>
                      <w:highlight w:val="none"/>
                    </w:rPr>
                  </w:pPr>
                </w:p>
              </w:tc>
              <w:tc>
                <w:tcPr>
                  <w:tcW w:w="1000" w:type="pct"/>
                  <w:tcBorders>
                    <w:top w:val="single" w:color="auto" w:sz="4" w:space="0"/>
                    <w:left w:val="single" w:color="auto" w:sz="4" w:space="0"/>
                    <w:bottom w:val="single" w:color="auto" w:sz="8" w:space="0"/>
                    <w:right w:val="single" w:color="auto" w:sz="4" w:space="0"/>
                  </w:tcBorders>
                  <w:vAlign w:val="center"/>
                </w:tcPr>
                <w:p w14:paraId="58645DD1">
                  <w:pPr>
                    <w:widowControl/>
                    <w:jc w:val="center"/>
                    <w:rPr>
                      <w:rFonts w:ascii="Times New Roman" w:hAnsi="Times New Roman" w:eastAsia="等线" w:cs="Times New Roman"/>
                      <w:color w:val="auto"/>
                      <w:kern w:val="0"/>
                      <w:sz w:val="18"/>
                      <w:szCs w:val="18"/>
                      <w:highlight w:val="none"/>
                    </w:rPr>
                  </w:pPr>
                  <w:r>
                    <w:rPr>
                      <w:rFonts w:ascii="Times New Roman" w:hAnsi="Times New Roman" w:eastAsia="等线" w:cs="Times New Roman"/>
                      <w:color w:val="auto"/>
                      <w:kern w:val="0"/>
                      <w:sz w:val="18"/>
                      <w:szCs w:val="18"/>
                      <w:highlight w:val="none"/>
                    </w:rPr>
                    <w:t>NH</w:t>
                  </w:r>
                  <w:r>
                    <w:rPr>
                      <w:rFonts w:ascii="Times New Roman" w:hAnsi="Times New Roman" w:eastAsia="等线" w:cs="Times New Roman"/>
                      <w:color w:val="auto"/>
                      <w:kern w:val="0"/>
                      <w:sz w:val="18"/>
                      <w:szCs w:val="18"/>
                      <w:highlight w:val="none"/>
                      <w:vertAlign w:val="subscript"/>
                    </w:rPr>
                    <w:t>3</w:t>
                  </w:r>
                  <w:r>
                    <w:rPr>
                      <w:rFonts w:ascii="Times New Roman" w:hAnsi="Times New Roman" w:eastAsia="等线" w:cs="Times New Roman"/>
                      <w:color w:val="auto"/>
                      <w:kern w:val="0"/>
                      <w:sz w:val="18"/>
                      <w:szCs w:val="18"/>
                      <w:highlight w:val="none"/>
                    </w:rPr>
                    <w:t>-N</w:t>
                  </w:r>
                </w:p>
              </w:tc>
              <w:tc>
                <w:tcPr>
                  <w:tcW w:w="1000" w:type="pct"/>
                  <w:vMerge w:val="continue"/>
                  <w:tcBorders>
                    <w:top w:val="single" w:color="auto" w:sz="4" w:space="0"/>
                    <w:left w:val="single" w:color="auto" w:sz="4" w:space="0"/>
                    <w:bottom w:val="single" w:color="auto" w:sz="8" w:space="0"/>
                    <w:right w:val="single" w:color="auto" w:sz="4" w:space="0"/>
                  </w:tcBorders>
                  <w:vAlign w:val="center"/>
                </w:tcPr>
                <w:p w14:paraId="49C32181">
                  <w:pPr>
                    <w:widowControl/>
                    <w:jc w:val="left"/>
                    <w:rPr>
                      <w:rFonts w:ascii="Times New Roman" w:hAnsi="Times New Roman" w:cs="Times New Roman"/>
                      <w:color w:val="auto"/>
                      <w:kern w:val="0"/>
                      <w:sz w:val="18"/>
                      <w:szCs w:val="18"/>
                      <w:highlight w:val="none"/>
                    </w:rPr>
                  </w:pPr>
                </w:p>
              </w:tc>
              <w:tc>
                <w:tcPr>
                  <w:tcW w:w="1000" w:type="pct"/>
                  <w:tcBorders>
                    <w:top w:val="single" w:color="auto" w:sz="4" w:space="0"/>
                    <w:left w:val="single" w:color="auto" w:sz="4" w:space="0"/>
                    <w:bottom w:val="single" w:color="auto" w:sz="8" w:space="0"/>
                    <w:right w:val="nil"/>
                  </w:tcBorders>
                  <w:vAlign w:val="center"/>
                </w:tcPr>
                <w:p w14:paraId="35FF8EBA">
                  <w:pPr>
                    <w:widowControl/>
                    <w:jc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w:t>
                  </w:r>
                </w:p>
              </w:tc>
            </w:tr>
          </w:tbl>
          <w:p w14:paraId="275751E8">
            <w:pPr>
              <w:spacing w:line="460" w:lineRule="exact"/>
              <w:jc w:val="center"/>
              <w:rPr>
                <w:rFonts w:ascii="Times New Roman" w:hAnsi="Times New Roman" w:eastAsia="黑体" w:cs="Times New Roman"/>
                <w:bCs/>
                <w:color w:val="auto"/>
                <w:szCs w:val="21"/>
                <w:highlight w:val="none"/>
              </w:rPr>
            </w:pPr>
            <w:r>
              <w:rPr>
                <w:rFonts w:ascii="Times New Roman" w:hAnsi="Times New Roman" w:eastAsia="黑体" w:cs="Times New Roman"/>
                <w:bCs/>
                <w:color w:val="auto"/>
                <w:szCs w:val="21"/>
                <w:highlight w:val="none"/>
              </w:rPr>
              <w:t>表4-</w:t>
            </w:r>
            <w:r>
              <w:rPr>
                <w:rFonts w:hint="eastAsia" w:ascii="Times New Roman" w:hAnsi="Times New Roman" w:eastAsia="黑体" w:cs="Times New Roman"/>
                <w:bCs/>
                <w:color w:val="auto"/>
                <w:szCs w:val="21"/>
                <w:highlight w:val="none"/>
                <w:lang w:val="en-US" w:eastAsia="zh-CN"/>
              </w:rPr>
              <w:t>5</w:t>
            </w:r>
            <w:r>
              <w:rPr>
                <w:rFonts w:ascii="Times New Roman" w:hAnsi="Times New Roman" w:eastAsia="黑体" w:cs="Times New Roman"/>
                <w:bCs/>
                <w:color w:val="auto"/>
                <w:szCs w:val="21"/>
                <w:highlight w:val="none"/>
              </w:rPr>
              <w:t xml:space="preserve"> 废水污染物排放信息表</w:t>
            </w:r>
          </w:p>
          <w:tbl>
            <w:tblPr>
              <w:tblStyle w:val="18"/>
              <w:tblW w:w="4998" w:type="pct"/>
              <w:tblInd w:w="0" w:type="dxa"/>
              <w:tblLayout w:type="fixed"/>
              <w:tblCellMar>
                <w:top w:w="0" w:type="dxa"/>
                <w:left w:w="108" w:type="dxa"/>
                <w:bottom w:w="0" w:type="dxa"/>
                <w:right w:w="108" w:type="dxa"/>
              </w:tblCellMar>
            </w:tblPr>
            <w:tblGrid>
              <w:gridCol w:w="589"/>
              <w:gridCol w:w="1143"/>
              <w:gridCol w:w="1142"/>
              <w:gridCol w:w="1726"/>
              <w:gridCol w:w="1572"/>
              <w:gridCol w:w="1563"/>
            </w:tblGrid>
            <w:tr w14:paraId="01E886C5">
              <w:tblPrEx>
                <w:tblCellMar>
                  <w:top w:w="0" w:type="dxa"/>
                  <w:left w:w="108" w:type="dxa"/>
                  <w:bottom w:w="0" w:type="dxa"/>
                  <w:right w:w="108" w:type="dxa"/>
                </w:tblCellMar>
              </w:tblPrEx>
              <w:trPr>
                <w:trHeight w:val="340" w:hRule="atLeast"/>
              </w:trPr>
              <w:tc>
                <w:tcPr>
                  <w:tcW w:w="380" w:type="pct"/>
                  <w:tcBorders>
                    <w:top w:val="single" w:color="auto" w:sz="8" w:space="0"/>
                    <w:left w:val="single" w:color="auto" w:sz="4" w:space="0"/>
                    <w:bottom w:val="single" w:color="auto" w:sz="4" w:space="0"/>
                    <w:right w:val="single" w:color="auto" w:sz="4" w:space="0"/>
                  </w:tcBorders>
                  <w:vAlign w:val="center"/>
                </w:tcPr>
                <w:p w14:paraId="1480C89D">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序号</w:t>
                  </w:r>
                </w:p>
              </w:tc>
              <w:tc>
                <w:tcPr>
                  <w:tcW w:w="738" w:type="pct"/>
                  <w:tcBorders>
                    <w:top w:val="single" w:color="auto" w:sz="8" w:space="0"/>
                    <w:left w:val="single" w:color="auto" w:sz="4" w:space="0"/>
                    <w:bottom w:val="single" w:color="auto" w:sz="4" w:space="0"/>
                    <w:right w:val="single" w:color="auto" w:sz="4" w:space="0"/>
                  </w:tcBorders>
                  <w:vAlign w:val="center"/>
                </w:tcPr>
                <w:p w14:paraId="2C19079D">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排放口编号</w:t>
                  </w:r>
                </w:p>
              </w:tc>
              <w:tc>
                <w:tcPr>
                  <w:tcW w:w="738" w:type="pct"/>
                  <w:tcBorders>
                    <w:top w:val="single" w:color="auto" w:sz="8" w:space="0"/>
                    <w:left w:val="single" w:color="auto" w:sz="4" w:space="0"/>
                    <w:bottom w:val="single" w:color="auto" w:sz="4" w:space="0"/>
                    <w:right w:val="single" w:color="auto" w:sz="4" w:space="0"/>
                  </w:tcBorders>
                  <w:vAlign w:val="center"/>
                </w:tcPr>
                <w:p w14:paraId="2ACA102E">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污染物种类</w:t>
                  </w:r>
                </w:p>
              </w:tc>
              <w:tc>
                <w:tcPr>
                  <w:tcW w:w="1115" w:type="pct"/>
                  <w:tcBorders>
                    <w:top w:val="single" w:color="auto" w:sz="8" w:space="0"/>
                    <w:left w:val="single" w:color="auto" w:sz="4" w:space="0"/>
                    <w:bottom w:val="single" w:color="auto" w:sz="4" w:space="0"/>
                    <w:right w:val="single" w:color="auto" w:sz="4" w:space="0"/>
                  </w:tcBorders>
                  <w:vAlign w:val="center"/>
                </w:tcPr>
                <w:p w14:paraId="0810A89C">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排放浓度（mg/L）</w:t>
                  </w:r>
                </w:p>
              </w:tc>
              <w:tc>
                <w:tcPr>
                  <w:tcW w:w="1016" w:type="pct"/>
                  <w:tcBorders>
                    <w:top w:val="single" w:color="auto" w:sz="8" w:space="0"/>
                    <w:left w:val="single" w:color="auto" w:sz="4" w:space="0"/>
                    <w:bottom w:val="single" w:color="auto" w:sz="4" w:space="0"/>
                    <w:right w:val="single" w:color="auto" w:sz="4" w:space="0"/>
                  </w:tcBorders>
                  <w:vAlign w:val="center"/>
                </w:tcPr>
                <w:p w14:paraId="249B36DB">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日排放量/（t/d）</w:t>
                  </w:r>
                </w:p>
              </w:tc>
              <w:tc>
                <w:tcPr>
                  <w:tcW w:w="1010" w:type="pct"/>
                  <w:tcBorders>
                    <w:top w:val="single" w:color="auto" w:sz="8" w:space="0"/>
                    <w:left w:val="single" w:color="auto" w:sz="4" w:space="0"/>
                    <w:bottom w:val="single" w:color="auto" w:sz="4" w:space="0"/>
                    <w:right w:val="nil"/>
                  </w:tcBorders>
                  <w:vAlign w:val="center"/>
                </w:tcPr>
                <w:p w14:paraId="44B781F5">
                  <w:pPr>
                    <w:widowControl/>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年排放量/（t/a）</w:t>
                  </w:r>
                </w:p>
              </w:tc>
            </w:tr>
            <w:tr w14:paraId="74C6F750">
              <w:tblPrEx>
                <w:tblCellMar>
                  <w:top w:w="0" w:type="dxa"/>
                  <w:left w:w="108" w:type="dxa"/>
                  <w:bottom w:w="0" w:type="dxa"/>
                  <w:right w:w="108" w:type="dxa"/>
                </w:tblCellMar>
              </w:tblPrEx>
              <w:trPr>
                <w:trHeight w:val="340" w:hRule="atLeast"/>
              </w:trPr>
              <w:tc>
                <w:tcPr>
                  <w:tcW w:w="380" w:type="pct"/>
                  <w:vMerge w:val="restart"/>
                  <w:tcBorders>
                    <w:top w:val="single" w:color="auto" w:sz="4" w:space="0"/>
                    <w:left w:val="nil"/>
                    <w:bottom w:val="single" w:color="auto" w:sz="4" w:space="0"/>
                    <w:right w:val="single" w:color="auto" w:sz="4" w:space="0"/>
                  </w:tcBorders>
                  <w:vAlign w:val="center"/>
                </w:tcPr>
                <w:p w14:paraId="32D38C7F">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p>
              </w:tc>
              <w:tc>
                <w:tcPr>
                  <w:tcW w:w="738" w:type="pct"/>
                  <w:vMerge w:val="restart"/>
                  <w:tcBorders>
                    <w:top w:val="single" w:color="auto" w:sz="4" w:space="0"/>
                    <w:left w:val="single" w:color="auto" w:sz="4" w:space="0"/>
                    <w:bottom w:val="single" w:color="auto" w:sz="4" w:space="0"/>
                    <w:right w:val="single" w:color="auto" w:sz="4" w:space="0"/>
                  </w:tcBorders>
                  <w:vAlign w:val="center"/>
                </w:tcPr>
                <w:p w14:paraId="4E465C4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DW001</w:t>
                  </w:r>
                </w:p>
              </w:tc>
              <w:tc>
                <w:tcPr>
                  <w:tcW w:w="738" w:type="pct"/>
                  <w:tcBorders>
                    <w:top w:val="single" w:color="auto" w:sz="4" w:space="0"/>
                    <w:left w:val="single" w:color="auto" w:sz="4" w:space="0"/>
                    <w:bottom w:val="single" w:color="auto" w:sz="4" w:space="0"/>
                    <w:right w:val="single" w:color="auto" w:sz="4" w:space="0"/>
                  </w:tcBorders>
                  <w:vAlign w:val="center"/>
                </w:tcPr>
                <w:p w14:paraId="3D239880">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pH</w:t>
                  </w:r>
                </w:p>
              </w:tc>
              <w:tc>
                <w:tcPr>
                  <w:tcW w:w="1115" w:type="pct"/>
                  <w:tcBorders>
                    <w:top w:val="single" w:color="auto" w:sz="4" w:space="0"/>
                    <w:left w:val="single" w:color="auto" w:sz="4" w:space="0"/>
                    <w:bottom w:val="single" w:color="auto" w:sz="4" w:space="0"/>
                    <w:right w:val="single" w:color="auto" w:sz="4" w:space="0"/>
                  </w:tcBorders>
                  <w:vAlign w:val="center"/>
                </w:tcPr>
                <w:p w14:paraId="48EF4C1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6~9</w:t>
                  </w:r>
                </w:p>
              </w:tc>
              <w:tc>
                <w:tcPr>
                  <w:tcW w:w="1016" w:type="pct"/>
                  <w:tcBorders>
                    <w:top w:val="single" w:color="auto" w:sz="4" w:space="0"/>
                    <w:left w:val="single" w:color="auto" w:sz="4" w:space="0"/>
                    <w:bottom w:val="single" w:color="auto" w:sz="4" w:space="0"/>
                    <w:right w:val="single" w:color="auto" w:sz="4" w:space="0"/>
                  </w:tcBorders>
                  <w:vAlign w:val="center"/>
                </w:tcPr>
                <w:p w14:paraId="5D210ED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c>
                <w:tcPr>
                  <w:tcW w:w="1010" w:type="pct"/>
                  <w:tcBorders>
                    <w:top w:val="single" w:color="auto" w:sz="4" w:space="0"/>
                    <w:left w:val="single" w:color="auto" w:sz="4" w:space="0"/>
                    <w:bottom w:val="single" w:color="auto" w:sz="4" w:space="0"/>
                    <w:right w:val="nil"/>
                  </w:tcBorders>
                  <w:vAlign w:val="center"/>
                </w:tcPr>
                <w:p w14:paraId="064A922E">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w:t>
                  </w:r>
                </w:p>
              </w:tc>
            </w:tr>
            <w:tr w14:paraId="3DBF5C26">
              <w:tblPrEx>
                <w:tblCellMar>
                  <w:top w:w="0" w:type="dxa"/>
                  <w:left w:w="108" w:type="dxa"/>
                  <w:bottom w:w="0" w:type="dxa"/>
                  <w:right w:w="108" w:type="dxa"/>
                </w:tblCellMar>
              </w:tblPrEx>
              <w:trPr>
                <w:trHeight w:val="340" w:hRule="atLeast"/>
              </w:trPr>
              <w:tc>
                <w:tcPr>
                  <w:tcW w:w="380" w:type="pct"/>
                  <w:vMerge w:val="continue"/>
                  <w:tcBorders>
                    <w:top w:val="single" w:color="auto" w:sz="4" w:space="0"/>
                    <w:left w:val="nil"/>
                    <w:bottom w:val="single" w:color="auto" w:sz="4" w:space="0"/>
                    <w:right w:val="single" w:color="auto" w:sz="4" w:space="0"/>
                  </w:tcBorders>
                  <w:vAlign w:val="center"/>
                </w:tcPr>
                <w:p w14:paraId="0055482E">
                  <w:pPr>
                    <w:jc w:val="center"/>
                    <w:rPr>
                      <w:rFonts w:ascii="Times New Roman" w:hAnsi="Times New Roman" w:eastAsia="宋体" w:cs="Times New Roman"/>
                      <w:color w:val="auto"/>
                      <w:sz w:val="18"/>
                      <w:szCs w:val="18"/>
                      <w:highlight w:val="none"/>
                    </w:rPr>
                  </w:pPr>
                </w:p>
              </w:tc>
              <w:tc>
                <w:tcPr>
                  <w:tcW w:w="738" w:type="pct"/>
                  <w:vMerge w:val="continue"/>
                  <w:tcBorders>
                    <w:top w:val="single" w:color="auto" w:sz="4" w:space="0"/>
                    <w:left w:val="single" w:color="auto" w:sz="4" w:space="0"/>
                    <w:bottom w:val="single" w:color="auto" w:sz="4" w:space="0"/>
                    <w:right w:val="single" w:color="auto" w:sz="4" w:space="0"/>
                  </w:tcBorders>
                  <w:vAlign w:val="center"/>
                </w:tcPr>
                <w:p w14:paraId="64A32E17">
                  <w:pPr>
                    <w:jc w:val="center"/>
                    <w:rPr>
                      <w:rFonts w:ascii="Times New Roman" w:hAnsi="Times New Roman" w:eastAsia="宋体" w:cs="Times New Roman"/>
                      <w:color w:val="auto"/>
                      <w:sz w:val="18"/>
                      <w:szCs w:val="18"/>
                      <w:highlight w:val="none"/>
                    </w:rPr>
                  </w:pPr>
                </w:p>
              </w:tc>
              <w:tc>
                <w:tcPr>
                  <w:tcW w:w="738" w:type="pct"/>
                  <w:tcBorders>
                    <w:top w:val="single" w:color="auto" w:sz="4" w:space="0"/>
                    <w:left w:val="single" w:color="auto" w:sz="4" w:space="0"/>
                    <w:bottom w:val="single" w:color="auto" w:sz="4" w:space="0"/>
                    <w:right w:val="single" w:color="auto" w:sz="4" w:space="0"/>
                  </w:tcBorders>
                  <w:vAlign w:val="center"/>
                </w:tcPr>
                <w:p w14:paraId="282C940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COD</w:t>
                  </w:r>
                </w:p>
              </w:tc>
              <w:tc>
                <w:tcPr>
                  <w:tcW w:w="1115" w:type="pct"/>
                  <w:tcBorders>
                    <w:top w:val="single" w:color="auto" w:sz="4" w:space="0"/>
                    <w:left w:val="single" w:color="auto" w:sz="4" w:space="0"/>
                    <w:bottom w:val="single" w:color="auto" w:sz="4" w:space="0"/>
                    <w:right w:val="single" w:color="auto" w:sz="4" w:space="0"/>
                  </w:tcBorders>
                  <w:vAlign w:val="center"/>
                </w:tcPr>
                <w:p w14:paraId="3DCC4FF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300</w:t>
                  </w:r>
                </w:p>
              </w:tc>
              <w:tc>
                <w:tcPr>
                  <w:tcW w:w="1016" w:type="pct"/>
                  <w:tcBorders>
                    <w:top w:val="single" w:color="auto" w:sz="4" w:space="0"/>
                    <w:left w:val="single" w:color="auto" w:sz="4" w:space="0"/>
                    <w:bottom w:val="single" w:color="auto" w:sz="4" w:space="0"/>
                    <w:right w:val="single" w:color="auto" w:sz="4" w:space="0"/>
                  </w:tcBorders>
                  <w:vAlign w:val="center"/>
                </w:tcPr>
                <w:p w14:paraId="0B02DB8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0.0005 </w:t>
                  </w:r>
                </w:p>
              </w:tc>
              <w:tc>
                <w:tcPr>
                  <w:tcW w:w="1010" w:type="pct"/>
                  <w:tcBorders>
                    <w:top w:val="single" w:color="auto" w:sz="4" w:space="0"/>
                    <w:left w:val="single" w:color="auto" w:sz="4" w:space="0"/>
                    <w:bottom w:val="single" w:color="auto" w:sz="4" w:space="0"/>
                    <w:right w:val="nil"/>
                  </w:tcBorders>
                  <w:vAlign w:val="center"/>
                </w:tcPr>
                <w:p w14:paraId="4E45CFBE">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0.162</w:t>
                  </w:r>
                </w:p>
              </w:tc>
            </w:tr>
            <w:tr w14:paraId="1F5ECE77">
              <w:tblPrEx>
                <w:tblCellMar>
                  <w:top w:w="0" w:type="dxa"/>
                  <w:left w:w="108" w:type="dxa"/>
                  <w:bottom w:w="0" w:type="dxa"/>
                  <w:right w:w="108" w:type="dxa"/>
                </w:tblCellMar>
              </w:tblPrEx>
              <w:trPr>
                <w:trHeight w:val="340" w:hRule="atLeast"/>
              </w:trPr>
              <w:tc>
                <w:tcPr>
                  <w:tcW w:w="380" w:type="pct"/>
                  <w:vMerge w:val="continue"/>
                  <w:tcBorders>
                    <w:top w:val="single" w:color="auto" w:sz="4" w:space="0"/>
                    <w:left w:val="nil"/>
                    <w:bottom w:val="single" w:color="auto" w:sz="4" w:space="0"/>
                    <w:right w:val="single" w:color="auto" w:sz="4" w:space="0"/>
                  </w:tcBorders>
                  <w:vAlign w:val="center"/>
                </w:tcPr>
                <w:p w14:paraId="22441F73">
                  <w:pPr>
                    <w:jc w:val="center"/>
                    <w:rPr>
                      <w:rFonts w:ascii="Times New Roman" w:hAnsi="Times New Roman" w:eastAsia="宋体" w:cs="Times New Roman"/>
                      <w:color w:val="auto"/>
                      <w:sz w:val="18"/>
                      <w:szCs w:val="18"/>
                      <w:highlight w:val="none"/>
                    </w:rPr>
                  </w:pPr>
                </w:p>
              </w:tc>
              <w:tc>
                <w:tcPr>
                  <w:tcW w:w="738" w:type="pct"/>
                  <w:vMerge w:val="continue"/>
                  <w:tcBorders>
                    <w:top w:val="single" w:color="auto" w:sz="4" w:space="0"/>
                    <w:left w:val="single" w:color="auto" w:sz="4" w:space="0"/>
                    <w:bottom w:val="single" w:color="auto" w:sz="4" w:space="0"/>
                    <w:right w:val="single" w:color="auto" w:sz="4" w:space="0"/>
                  </w:tcBorders>
                  <w:vAlign w:val="center"/>
                </w:tcPr>
                <w:p w14:paraId="5A03BF85">
                  <w:pPr>
                    <w:jc w:val="center"/>
                    <w:rPr>
                      <w:rFonts w:ascii="Times New Roman" w:hAnsi="Times New Roman" w:eastAsia="宋体" w:cs="Times New Roman"/>
                      <w:color w:val="auto"/>
                      <w:sz w:val="18"/>
                      <w:szCs w:val="18"/>
                      <w:highlight w:val="none"/>
                    </w:rPr>
                  </w:pPr>
                </w:p>
              </w:tc>
              <w:tc>
                <w:tcPr>
                  <w:tcW w:w="738" w:type="pct"/>
                  <w:tcBorders>
                    <w:top w:val="single" w:color="auto" w:sz="4" w:space="0"/>
                    <w:left w:val="single" w:color="auto" w:sz="4" w:space="0"/>
                    <w:bottom w:val="single" w:color="auto" w:sz="4" w:space="0"/>
                    <w:right w:val="single" w:color="auto" w:sz="4" w:space="0"/>
                  </w:tcBorders>
                  <w:vAlign w:val="center"/>
                </w:tcPr>
                <w:p w14:paraId="2C77F79B">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BOD</w:t>
                  </w:r>
                  <w:r>
                    <w:rPr>
                      <w:rFonts w:ascii="Times New Roman" w:hAnsi="Times New Roman" w:eastAsia="宋体" w:cs="Times New Roman"/>
                      <w:color w:val="auto"/>
                      <w:kern w:val="0"/>
                      <w:sz w:val="18"/>
                      <w:szCs w:val="18"/>
                      <w:highlight w:val="none"/>
                      <w:vertAlign w:val="subscript"/>
                    </w:rPr>
                    <w:t>5</w:t>
                  </w:r>
                </w:p>
              </w:tc>
              <w:tc>
                <w:tcPr>
                  <w:tcW w:w="1115" w:type="pct"/>
                  <w:tcBorders>
                    <w:top w:val="single" w:color="auto" w:sz="4" w:space="0"/>
                    <w:left w:val="single" w:color="auto" w:sz="4" w:space="0"/>
                    <w:bottom w:val="single" w:color="auto" w:sz="4" w:space="0"/>
                    <w:right w:val="single" w:color="auto" w:sz="4" w:space="0"/>
                  </w:tcBorders>
                  <w:vAlign w:val="center"/>
                </w:tcPr>
                <w:p w14:paraId="01706DD4">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180</w:t>
                  </w:r>
                </w:p>
              </w:tc>
              <w:tc>
                <w:tcPr>
                  <w:tcW w:w="1016" w:type="pct"/>
                  <w:tcBorders>
                    <w:top w:val="single" w:color="auto" w:sz="4" w:space="0"/>
                    <w:left w:val="single" w:color="auto" w:sz="4" w:space="0"/>
                    <w:bottom w:val="single" w:color="auto" w:sz="4" w:space="0"/>
                    <w:right w:val="single" w:color="auto" w:sz="4" w:space="0"/>
                  </w:tcBorders>
                  <w:vAlign w:val="center"/>
                </w:tcPr>
                <w:p w14:paraId="0141A1A4">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0.0003 </w:t>
                  </w:r>
                </w:p>
              </w:tc>
              <w:tc>
                <w:tcPr>
                  <w:tcW w:w="1010" w:type="pct"/>
                  <w:tcBorders>
                    <w:top w:val="single" w:color="auto" w:sz="4" w:space="0"/>
                    <w:left w:val="single" w:color="auto" w:sz="4" w:space="0"/>
                    <w:bottom w:val="single" w:color="auto" w:sz="4" w:space="0"/>
                    <w:right w:val="nil"/>
                  </w:tcBorders>
                  <w:vAlign w:val="center"/>
                </w:tcPr>
                <w:p w14:paraId="284B5E95">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0.097</w:t>
                  </w:r>
                </w:p>
              </w:tc>
            </w:tr>
            <w:tr w14:paraId="33F6985C">
              <w:tblPrEx>
                <w:tblCellMar>
                  <w:top w:w="0" w:type="dxa"/>
                  <w:left w:w="108" w:type="dxa"/>
                  <w:bottom w:w="0" w:type="dxa"/>
                  <w:right w:w="108" w:type="dxa"/>
                </w:tblCellMar>
              </w:tblPrEx>
              <w:trPr>
                <w:trHeight w:val="340" w:hRule="atLeast"/>
              </w:trPr>
              <w:tc>
                <w:tcPr>
                  <w:tcW w:w="380" w:type="pct"/>
                  <w:vMerge w:val="continue"/>
                  <w:tcBorders>
                    <w:top w:val="single" w:color="auto" w:sz="4" w:space="0"/>
                    <w:left w:val="nil"/>
                    <w:bottom w:val="single" w:color="auto" w:sz="4" w:space="0"/>
                    <w:right w:val="single" w:color="auto" w:sz="4" w:space="0"/>
                  </w:tcBorders>
                  <w:vAlign w:val="center"/>
                </w:tcPr>
                <w:p w14:paraId="3F16BB14">
                  <w:pPr>
                    <w:jc w:val="center"/>
                    <w:rPr>
                      <w:rFonts w:ascii="Times New Roman" w:hAnsi="Times New Roman" w:eastAsia="宋体" w:cs="Times New Roman"/>
                      <w:color w:val="auto"/>
                      <w:sz w:val="18"/>
                      <w:szCs w:val="18"/>
                      <w:highlight w:val="none"/>
                    </w:rPr>
                  </w:pPr>
                </w:p>
              </w:tc>
              <w:tc>
                <w:tcPr>
                  <w:tcW w:w="738" w:type="pct"/>
                  <w:vMerge w:val="continue"/>
                  <w:tcBorders>
                    <w:top w:val="single" w:color="auto" w:sz="4" w:space="0"/>
                    <w:left w:val="single" w:color="auto" w:sz="4" w:space="0"/>
                    <w:bottom w:val="single" w:color="auto" w:sz="4" w:space="0"/>
                    <w:right w:val="single" w:color="auto" w:sz="4" w:space="0"/>
                  </w:tcBorders>
                  <w:vAlign w:val="center"/>
                </w:tcPr>
                <w:p w14:paraId="11A9489E">
                  <w:pPr>
                    <w:jc w:val="center"/>
                    <w:rPr>
                      <w:rFonts w:ascii="Times New Roman" w:hAnsi="Times New Roman" w:eastAsia="宋体" w:cs="Times New Roman"/>
                      <w:color w:val="auto"/>
                      <w:sz w:val="18"/>
                      <w:szCs w:val="18"/>
                      <w:highlight w:val="none"/>
                    </w:rPr>
                  </w:pPr>
                </w:p>
              </w:tc>
              <w:tc>
                <w:tcPr>
                  <w:tcW w:w="738" w:type="pct"/>
                  <w:tcBorders>
                    <w:top w:val="single" w:color="auto" w:sz="4" w:space="0"/>
                    <w:left w:val="single" w:color="auto" w:sz="4" w:space="0"/>
                    <w:bottom w:val="single" w:color="auto" w:sz="4" w:space="0"/>
                    <w:right w:val="single" w:color="auto" w:sz="4" w:space="0"/>
                  </w:tcBorders>
                  <w:vAlign w:val="center"/>
                </w:tcPr>
                <w:p w14:paraId="133EDAC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SS</w:t>
                  </w:r>
                </w:p>
              </w:tc>
              <w:tc>
                <w:tcPr>
                  <w:tcW w:w="1115" w:type="pct"/>
                  <w:tcBorders>
                    <w:top w:val="single" w:color="auto" w:sz="4" w:space="0"/>
                    <w:left w:val="single" w:color="auto" w:sz="4" w:space="0"/>
                    <w:bottom w:val="single" w:color="auto" w:sz="4" w:space="0"/>
                    <w:right w:val="single" w:color="auto" w:sz="4" w:space="0"/>
                  </w:tcBorders>
                  <w:vAlign w:val="center"/>
                </w:tcPr>
                <w:p w14:paraId="271128EF">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150</w:t>
                  </w:r>
                </w:p>
              </w:tc>
              <w:tc>
                <w:tcPr>
                  <w:tcW w:w="1016" w:type="pct"/>
                  <w:tcBorders>
                    <w:top w:val="single" w:color="auto" w:sz="4" w:space="0"/>
                    <w:left w:val="single" w:color="auto" w:sz="4" w:space="0"/>
                    <w:bottom w:val="single" w:color="auto" w:sz="4" w:space="0"/>
                    <w:right w:val="single" w:color="auto" w:sz="4" w:space="0"/>
                  </w:tcBorders>
                  <w:vAlign w:val="center"/>
                </w:tcPr>
                <w:p w14:paraId="3EF0E66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0.0003 </w:t>
                  </w:r>
                </w:p>
              </w:tc>
              <w:tc>
                <w:tcPr>
                  <w:tcW w:w="1010" w:type="pct"/>
                  <w:tcBorders>
                    <w:top w:val="single" w:color="auto" w:sz="4" w:space="0"/>
                    <w:left w:val="single" w:color="auto" w:sz="4" w:space="0"/>
                    <w:bottom w:val="single" w:color="auto" w:sz="4" w:space="0"/>
                    <w:right w:val="nil"/>
                  </w:tcBorders>
                  <w:vAlign w:val="center"/>
                </w:tcPr>
                <w:p w14:paraId="7D553534">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0.081</w:t>
                  </w:r>
                </w:p>
              </w:tc>
            </w:tr>
            <w:tr w14:paraId="560B27F3">
              <w:tblPrEx>
                <w:tblCellMar>
                  <w:top w:w="0" w:type="dxa"/>
                  <w:left w:w="108" w:type="dxa"/>
                  <w:bottom w:w="0" w:type="dxa"/>
                  <w:right w:w="108" w:type="dxa"/>
                </w:tblCellMar>
              </w:tblPrEx>
              <w:trPr>
                <w:trHeight w:val="340" w:hRule="atLeast"/>
              </w:trPr>
              <w:tc>
                <w:tcPr>
                  <w:tcW w:w="380" w:type="pct"/>
                  <w:vMerge w:val="continue"/>
                  <w:tcBorders>
                    <w:top w:val="single" w:color="auto" w:sz="4" w:space="0"/>
                    <w:left w:val="nil"/>
                    <w:bottom w:val="single" w:color="auto" w:sz="8" w:space="0"/>
                    <w:right w:val="single" w:color="auto" w:sz="4" w:space="0"/>
                  </w:tcBorders>
                  <w:vAlign w:val="center"/>
                </w:tcPr>
                <w:p w14:paraId="3ADBC35D">
                  <w:pPr>
                    <w:jc w:val="center"/>
                    <w:rPr>
                      <w:rFonts w:ascii="Times New Roman" w:hAnsi="Times New Roman" w:eastAsia="宋体" w:cs="Times New Roman"/>
                      <w:color w:val="auto"/>
                      <w:sz w:val="18"/>
                      <w:szCs w:val="18"/>
                      <w:highlight w:val="none"/>
                    </w:rPr>
                  </w:pPr>
                </w:p>
              </w:tc>
              <w:tc>
                <w:tcPr>
                  <w:tcW w:w="738" w:type="pct"/>
                  <w:vMerge w:val="continue"/>
                  <w:tcBorders>
                    <w:top w:val="single" w:color="auto" w:sz="4" w:space="0"/>
                    <w:left w:val="single" w:color="auto" w:sz="4" w:space="0"/>
                    <w:bottom w:val="single" w:color="auto" w:sz="8" w:space="0"/>
                    <w:right w:val="single" w:color="auto" w:sz="4" w:space="0"/>
                  </w:tcBorders>
                  <w:vAlign w:val="center"/>
                </w:tcPr>
                <w:p w14:paraId="7939803F">
                  <w:pPr>
                    <w:jc w:val="center"/>
                    <w:rPr>
                      <w:rFonts w:ascii="Times New Roman" w:hAnsi="Times New Roman" w:eastAsia="宋体" w:cs="Times New Roman"/>
                      <w:color w:val="auto"/>
                      <w:sz w:val="18"/>
                      <w:szCs w:val="18"/>
                      <w:highlight w:val="none"/>
                    </w:rPr>
                  </w:pPr>
                </w:p>
              </w:tc>
              <w:tc>
                <w:tcPr>
                  <w:tcW w:w="738" w:type="pct"/>
                  <w:tcBorders>
                    <w:top w:val="single" w:color="auto" w:sz="4" w:space="0"/>
                    <w:left w:val="single" w:color="auto" w:sz="4" w:space="0"/>
                    <w:bottom w:val="single" w:color="auto" w:sz="8" w:space="0"/>
                    <w:right w:val="single" w:color="auto" w:sz="4" w:space="0"/>
                  </w:tcBorders>
                  <w:vAlign w:val="center"/>
                </w:tcPr>
                <w:p w14:paraId="3A5C555E">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NH</w:t>
                  </w:r>
                  <w:r>
                    <w:rPr>
                      <w:rFonts w:ascii="Times New Roman" w:hAnsi="Times New Roman" w:eastAsia="宋体" w:cs="Times New Roman"/>
                      <w:color w:val="auto"/>
                      <w:kern w:val="0"/>
                      <w:sz w:val="18"/>
                      <w:szCs w:val="18"/>
                      <w:highlight w:val="none"/>
                      <w:vertAlign w:val="subscript"/>
                    </w:rPr>
                    <w:t>3</w:t>
                  </w:r>
                  <w:r>
                    <w:rPr>
                      <w:rFonts w:ascii="Times New Roman" w:hAnsi="Times New Roman" w:eastAsia="宋体" w:cs="Times New Roman"/>
                      <w:color w:val="auto"/>
                      <w:kern w:val="0"/>
                      <w:sz w:val="18"/>
                      <w:szCs w:val="18"/>
                      <w:highlight w:val="none"/>
                    </w:rPr>
                    <w:t>-N</w:t>
                  </w:r>
                </w:p>
              </w:tc>
              <w:tc>
                <w:tcPr>
                  <w:tcW w:w="1115" w:type="pct"/>
                  <w:tcBorders>
                    <w:top w:val="single" w:color="auto" w:sz="4" w:space="0"/>
                    <w:left w:val="single" w:color="auto" w:sz="4" w:space="0"/>
                    <w:bottom w:val="single" w:color="auto" w:sz="8" w:space="0"/>
                    <w:right w:val="single" w:color="auto" w:sz="4" w:space="0"/>
                  </w:tcBorders>
                  <w:vAlign w:val="center"/>
                </w:tcPr>
                <w:p w14:paraId="742A2E1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25</w:t>
                  </w:r>
                </w:p>
              </w:tc>
              <w:tc>
                <w:tcPr>
                  <w:tcW w:w="1016" w:type="pct"/>
                  <w:tcBorders>
                    <w:top w:val="single" w:color="auto" w:sz="4" w:space="0"/>
                    <w:left w:val="single" w:color="auto" w:sz="4" w:space="0"/>
                    <w:bottom w:val="single" w:color="auto" w:sz="8" w:space="0"/>
                    <w:right w:val="single" w:color="auto" w:sz="4" w:space="0"/>
                  </w:tcBorders>
                  <w:vAlign w:val="center"/>
                </w:tcPr>
                <w:p w14:paraId="6E3801D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0.00005 </w:t>
                  </w:r>
                </w:p>
              </w:tc>
              <w:tc>
                <w:tcPr>
                  <w:tcW w:w="1010" w:type="pct"/>
                  <w:tcBorders>
                    <w:top w:val="single" w:color="auto" w:sz="4" w:space="0"/>
                    <w:left w:val="single" w:color="auto" w:sz="4" w:space="0"/>
                    <w:bottom w:val="single" w:color="auto" w:sz="8" w:space="0"/>
                    <w:right w:val="nil"/>
                  </w:tcBorders>
                  <w:vAlign w:val="center"/>
                </w:tcPr>
                <w:p w14:paraId="147A7895">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0.01</w:t>
                  </w:r>
                  <w:r>
                    <w:rPr>
                      <w:rFonts w:hint="eastAsia" w:ascii="Times New Roman" w:hAnsi="Times New Roman" w:eastAsia="宋体" w:cs="Times New Roman"/>
                      <w:color w:val="auto"/>
                      <w:kern w:val="0"/>
                      <w:sz w:val="18"/>
                      <w:szCs w:val="18"/>
                      <w:highlight w:val="none"/>
                    </w:rPr>
                    <w:t>4</w:t>
                  </w:r>
                </w:p>
              </w:tc>
            </w:tr>
          </w:tbl>
          <w:p w14:paraId="66035E0A">
            <w:pPr>
              <w:spacing w:line="360" w:lineRule="auto"/>
              <w:ind w:firstLine="482" w:firstLineChars="200"/>
              <w:rPr>
                <w:rFonts w:ascii="Times New Roman" w:hAnsi="Times New Roman" w:cs="Times New Roman"/>
                <w:b/>
                <w:color w:val="auto"/>
                <w:kern w:val="0"/>
                <w:sz w:val="24"/>
                <w:highlight w:val="none"/>
              </w:rPr>
            </w:pPr>
            <w:r>
              <w:rPr>
                <w:rFonts w:ascii="Times New Roman" w:hAnsi="Times New Roman" w:cs="Times New Roman"/>
                <w:b/>
                <w:color w:val="auto"/>
                <w:kern w:val="0"/>
                <w:sz w:val="24"/>
                <w:highlight w:val="none"/>
              </w:rPr>
              <w:t>3、废水污染物自行监测计划</w:t>
            </w:r>
          </w:p>
          <w:p w14:paraId="456A5C30">
            <w:pPr>
              <w:pStyle w:val="27"/>
              <w:adjustRightInd/>
              <w:spacing w:line="360" w:lineRule="auto"/>
              <w:ind w:firstLine="480" w:firstLineChars="200"/>
              <w:rPr>
                <w:rFonts w:ascii="Times New Roman" w:cs="Times New Roman"/>
                <w:color w:val="auto"/>
                <w:highlight w:val="none"/>
              </w:rPr>
            </w:pPr>
            <w:r>
              <w:rPr>
                <w:rFonts w:hint="eastAsia" w:ascii="Times New Roman" w:cs="Times New Roman"/>
                <w:color w:val="auto"/>
                <w:highlight w:val="none"/>
                <w:lang w:val="en-US" w:eastAsia="zh-CN"/>
              </w:rPr>
              <w:t>根据</w:t>
            </w:r>
            <w:r>
              <w:rPr>
                <w:color w:val="auto"/>
                <w:szCs w:val="21"/>
                <w:highlight w:val="none"/>
              </w:rPr>
              <w:t>《排污单位自行监测技术指南 总则》</w:t>
            </w:r>
            <w:r>
              <w:rPr>
                <w:rFonts w:ascii="Times New Roman" w:hAnsi="Times New Roman" w:cs="Times New Roman"/>
                <w:color w:val="auto"/>
                <w:szCs w:val="21"/>
                <w:highlight w:val="none"/>
              </w:rPr>
              <w:t>（HJ819-2017）</w:t>
            </w:r>
            <w:r>
              <w:rPr>
                <w:rFonts w:hint="eastAsia" w:ascii="Times New Roman" w:hAnsi="Times New Roman" w:cs="Times New Roman"/>
                <w:color w:val="auto"/>
                <w:szCs w:val="21"/>
                <w:highlight w:val="none"/>
                <w:lang w:val="en-US" w:eastAsia="zh-CN"/>
              </w:rPr>
              <w:t>中表1 废水排放监测点位、监测指标及最低监测频次，</w:t>
            </w:r>
            <w:r>
              <w:rPr>
                <w:rFonts w:ascii="Times New Roman" w:cs="Times New Roman"/>
                <w:color w:val="auto"/>
                <w:highlight w:val="none"/>
              </w:rPr>
              <w:t>本项目仅有生活污水，</w:t>
            </w:r>
            <w:r>
              <w:rPr>
                <w:rFonts w:hint="eastAsia" w:ascii="Times New Roman" w:cs="Times New Roman"/>
                <w:color w:val="auto"/>
                <w:highlight w:val="none"/>
              </w:rPr>
              <w:t>属于间接排放，</w:t>
            </w:r>
            <w:r>
              <w:rPr>
                <w:rFonts w:ascii="Times New Roman" w:cs="Times New Roman"/>
                <w:color w:val="auto"/>
                <w:highlight w:val="none"/>
              </w:rPr>
              <w:t>可不进行监测。</w:t>
            </w:r>
          </w:p>
          <w:bookmarkEnd w:id="5"/>
          <w:bookmarkEnd w:id="6"/>
          <w:p w14:paraId="6E9D3898">
            <w:pPr>
              <w:spacing w:line="360" w:lineRule="auto"/>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二、运营期大气污染物环境影响和保护措施</w:t>
            </w:r>
          </w:p>
          <w:p w14:paraId="1F7E2D07">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1、运营期大气污染物环境影响分析</w:t>
            </w:r>
          </w:p>
          <w:p w14:paraId="591CBEE9">
            <w:pPr>
              <w:spacing w:line="358"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根据工程分析可知，本项目产生的废气为切割粉尘G1、焊接烟尘G2、喷塑粉尘G3和固化废气G4。</w:t>
            </w:r>
          </w:p>
          <w:p w14:paraId="17F29F56">
            <w:pPr>
              <w:spacing w:line="360" w:lineRule="auto"/>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w:t>
            </w:r>
            <w:r>
              <w:rPr>
                <w:rFonts w:ascii="Times New Roman" w:hAnsi="Times New Roman" w:eastAsia="宋体" w:cs="Times New Roman"/>
                <w:bCs/>
                <w:color w:val="auto"/>
                <w:sz w:val="24"/>
                <w:szCs w:val="24"/>
                <w:highlight w:val="none"/>
              </w:rPr>
              <w:t>切割粉尘G1</w:t>
            </w:r>
          </w:p>
          <w:p w14:paraId="4AF982C6">
            <w:pPr>
              <w:pStyle w:val="80"/>
              <w:adjustRightInd w:val="0"/>
              <w:snapToGrid w:val="0"/>
              <w:spacing w:line="360" w:lineRule="auto"/>
              <w:ind w:firstLine="48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本项目切割过程中会产生切割烟尘，参照</w:t>
            </w:r>
            <w:r>
              <w:rPr>
                <w:rFonts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sz w:val="24"/>
                <w:szCs w:val="24"/>
                <w:highlight w:val="none"/>
              </w:rPr>
              <w:t>排污源统计调查产污核算方法和系数手册</w:t>
            </w:r>
            <w:r>
              <w:rPr>
                <w:rFonts w:ascii="Times New Roman" w:hAnsi="Times New Roman" w:eastAsia="宋体" w:cs="Times New Roman"/>
                <w:bCs/>
                <w:color w:val="auto"/>
                <w:kern w:val="0"/>
                <w:sz w:val="24"/>
                <w:szCs w:val="24"/>
                <w:highlight w:val="none"/>
              </w:rPr>
              <w:t>》“33 金属制品业、34 通用设备制造业、35 专用设备制造业、36 汽车制造业、37 铁路、船舶、航空航天和其他运输 设备制造业、431 金属制品修理、432 通用设备修理、433 专用设备修理、434 铁路、船舶、航空航天等运输设备 修理（不包括电镀工艺）行业系数表</w:t>
            </w:r>
            <w:r>
              <w:rPr>
                <w:rFonts w:ascii="Times New Roman" w:hAnsi="Times New Roman" w:eastAsia="宋体" w:cs="Times New Roman"/>
                <w:color w:val="auto"/>
                <w:sz w:val="24"/>
                <w:szCs w:val="24"/>
                <w:highlight w:val="none"/>
              </w:rPr>
              <w:t>”中</w:t>
            </w:r>
            <w:r>
              <w:rPr>
                <w:rFonts w:ascii="Times New Roman" w:hAnsi="Times New Roman" w:eastAsia="宋体" w:cs="Times New Roman"/>
                <w:bCs/>
                <w:color w:val="auto"/>
                <w:sz w:val="24"/>
                <w:szCs w:val="24"/>
                <w:highlight w:val="none"/>
              </w:rPr>
              <w:t>，切割的颗粒物产污系数为1.1kg/吨-原料，由原辅材料消耗表可知，本项目钢材的用量为1000t/a，则颗粒物产生量为1.1t/a。</w:t>
            </w:r>
          </w:p>
          <w:p w14:paraId="418EA16F">
            <w:pPr>
              <w:pStyle w:val="80"/>
              <w:adjustRightInd w:val="0"/>
              <w:snapToGrid w:val="0"/>
              <w:spacing w:line="360" w:lineRule="auto"/>
              <w:ind w:firstLine="474"/>
              <w:rPr>
                <w:rFonts w:ascii="Times New Roman" w:hAnsi="Times New Roman" w:eastAsia="宋体" w:cs="Times New Roman"/>
                <w:b/>
                <w:color w:val="auto"/>
                <w:spacing w:val="-2"/>
                <w:sz w:val="24"/>
                <w:highlight w:val="none"/>
              </w:rPr>
            </w:pPr>
            <w:r>
              <w:rPr>
                <w:rFonts w:ascii="Times New Roman" w:hAnsi="Times New Roman" w:eastAsia="宋体" w:cs="Times New Roman"/>
                <w:b/>
                <w:color w:val="auto"/>
                <w:spacing w:val="-2"/>
                <w:sz w:val="24"/>
                <w:highlight w:val="none"/>
              </w:rPr>
              <w:t>（2）</w:t>
            </w:r>
            <w:r>
              <w:rPr>
                <w:rFonts w:ascii="Times New Roman" w:hAnsi="Times New Roman" w:eastAsia="宋体" w:cs="Times New Roman"/>
                <w:bCs/>
                <w:color w:val="auto"/>
                <w:sz w:val="24"/>
                <w:szCs w:val="24"/>
                <w:highlight w:val="none"/>
              </w:rPr>
              <w:t>焊接烟尘G2</w:t>
            </w:r>
          </w:p>
          <w:p w14:paraId="5CC448CB">
            <w:pPr>
              <w:pStyle w:val="80"/>
              <w:adjustRightInd w:val="0"/>
              <w:snapToGrid w:val="0"/>
              <w:spacing w:line="360" w:lineRule="auto"/>
              <w:ind w:firstLine="48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本项目焊接工序会产生焊接烟尘（G1），参照</w:t>
            </w:r>
            <w:r>
              <w:rPr>
                <w:rFonts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sz w:val="24"/>
                <w:szCs w:val="24"/>
                <w:highlight w:val="none"/>
              </w:rPr>
              <w:t>排污源统计调查产污核算方法和系数手册</w:t>
            </w:r>
            <w:r>
              <w:rPr>
                <w:rFonts w:ascii="Times New Roman" w:hAnsi="Times New Roman" w:eastAsia="宋体" w:cs="Times New Roman"/>
                <w:bCs/>
                <w:color w:val="auto"/>
                <w:kern w:val="0"/>
                <w:sz w:val="24"/>
                <w:szCs w:val="24"/>
                <w:highlight w:val="none"/>
              </w:rPr>
              <w:t>》“33 金属制品业、34 通用设备制造业、35 专用设备制造业、36 汽车制造业、37 铁路、船舶、航空航天和其他运输 设备制造业、431 金属制品修理、432 通用设备修理、433 专用设备修理、434 铁路、船舶、航空航天等运输设备 修理（不包括电镀工艺）行业系数表</w:t>
            </w:r>
            <w:r>
              <w:rPr>
                <w:rFonts w:ascii="Times New Roman" w:hAnsi="Times New Roman" w:eastAsia="宋体" w:cs="Times New Roman"/>
                <w:color w:val="auto"/>
                <w:sz w:val="24"/>
                <w:szCs w:val="24"/>
                <w:highlight w:val="none"/>
              </w:rPr>
              <w:t>”中</w:t>
            </w:r>
            <w:r>
              <w:rPr>
                <w:rFonts w:ascii="Times New Roman" w:hAnsi="Times New Roman" w:eastAsia="宋体" w:cs="Times New Roman"/>
                <w:bCs/>
                <w:color w:val="auto"/>
                <w:sz w:val="24"/>
                <w:szCs w:val="24"/>
                <w:highlight w:val="none"/>
              </w:rPr>
              <w:t>，</w:t>
            </w:r>
            <w:r>
              <w:rPr>
                <w:rFonts w:ascii="Times New Roman" w:hAnsi="Times New Roman" w:eastAsia="宋体" w:cs="Times New Roman"/>
                <w:color w:val="auto"/>
                <w:sz w:val="24"/>
                <w:szCs w:val="20"/>
                <w:highlight w:val="none"/>
              </w:rPr>
              <w:t>焊接颗粒物产生量为20.5kg/吨-原料</w:t>
            </w:r>
            <w:r>
              <w:rPr>
                <w:rFonts w:ascii="Times New Roman" w:hAnsi="Times New Roman" w:eastAsia="宋体" w:cs="Times New Roman"/>
                <w:bCs/>
                <w:color w:val="auto"/>
                <w:sz w:val="24"/>
                <w:szCs w:val="24"/>
                <w:highlight w:val="none"/>
              </w:rPr>
              <w:t>，由原辅材料消耗表可知，本项目焊丝的用量为1t/a，则颗粒物产生量为0.</w:t>
            </w:r>
            <w:r>
              <w:rPr>
                <w:rFonts w:hint="eastAsia" w:ascii="Times New Roman" w:hAnsi="Times New Roman" w:eastAsia="宋体" w:cs="Times New Roman"/>
                <w:bCs/>
                <w:color w:val="auto"/>
                <w:sz w:val="24"/>
                <w:szCs w:val="24"/>
                <w:highlight w:val="none"/>
              </w:rPr>
              <w:t>0</w:t>
            </w:r>
            <w:r>
              <w:rPr>
                <w:rFonts w:ascii="Times New Roman" w:hAnsi="Times New Roman" w:eastAsia="宋体" w:cs="Times New Roman"/>
                <w:bCs/>
                <w:color w:val="auto"/>
                <w:sz w:val="24"/>
                <w:szCs w:val="24"/>
                <w:highlight w:val="none"/>
              </w:rPr>
              <w:t>205t/a。</w:t>
            </w:r>
          </w:p>
          <w:p w14:paraId="3D09AA98">
            <w:pPr>
              <w:pStyle w:val="80"/>
              <w:adjustRightInd w:val="0"/>
              <w:snapToGrid w:val="0"/>
              <w:spacing w:line="360" w:lineRule="auto"/>
              <w:ind w:firstLine="48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上述切割粉尘G1和焊接烟尘G2通过集气装置收集后经1套袋式除尘器净化处理，经15m高1#排气筒（DA001）排放。废气收集效率按90%计，布袋除尘器处理效率按99%计，风机总风量为10000m</w:t>
            </w:r>
            <w:r>
              <w:rPr>
                <w:rFonts w:ascii="Times New Roman" w:hAnsi="Times New Roman" w:eastAsia="宋体" w:cs="Times New Roman"/>
                <w:bCs/>
                <w:color w:val="auto"/>
                <w:sz w:val="24"/>
                <w:szCs w:val="24"/>
                <w:highlight w:val="none"/>
                <w:vertAlign w:val="superscript"/>
              </w:rPr>
              <w:t>3</w:t>
            </w:r>
            <w:r>
              <w:rPr>
                <w:rFonts w:ascii="Times New Roman" w:hAnsi="Times New Roman" w:eastAsia="宋体" w:cs="Times New Roman"/>
                <w:bCs/>
                <w:color w:val="auto"/>
                <w:sz w:val="24"/>
                <w:szCs w:val="24"/>
                <w:highlight w:val="none"/>
              </w:rPr>
              <w:t>/h，操作时间平均为2400h/a。</w:t>
            </w:r>
          </w:p>
          <w:p w14:paraId="7483D416">
            <w:pPr>
              <w:pStyle w:val="80"/>
              <w:adjustRightInd w:val="0"/>
              <w:snapToGrid w:val="0"/>
              <w:spacing w:line="360" w:lineRule="auto"/>
              <w:ind w:firstLine="48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（3）喷塑粉尘G3</w:t>
            </w:r>
          </w:p>
          <w:p w14:paraId="310A9BC8">
            <w:pPr>
              <w:pStyle w:val="80"/>
              <w:adjustRightInd w:val="0"/>
              <w:snapToGrid w:val="0"/>
              <w:spacing w:line="360" w:lineRule="auto"/>
              <w:ind w:firstLine="48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项目喷塑工序产生的废气主要为未附着到工件的粉尘。根据</w:t>
            </w:r>
            <w:r>
              <w:rPr>
                <w:rFonts w:ascii="Times New Roman" w:hAnsi="Times New Roman" w:eastAsia="宋体" w:cs="Times New Roman"/>
                <w:bCs/>
                <w:color w:val="auto"/>
                <w:kern w:val="0"/>
                <w:sz w:val="24"/>
                <w:szCs w:val="24"/>
                <w:highlight w:val="none"/>
              </w:rPr>
              <w:t>《</w:t>
            </w:r>
            <w:r>
              <w:rPr>
                <w:rFonts w:ascii="Times New Roman" w:hAnsi="Times New Roman" w:eastAsia="宋体" w:cs="Times New Roman"/>
                <w:bCs/>
                <w:color w:val="auto"/>
                <w:sz w:val="24"/>
                <w:szCs w:val="24"/>
                <w:highlight w:val="none"/>
              </w:rPr>
              <w:t>排污源统计调查产污核算方法和系数手册</w:t>
            </w:r>
            <w:r>
              <w:rPr>
                <w:rFonts w:ascii="Times New Roman" w:hAnsi="Times New Roman" w:eastAsia="宋体" w:cs="Times New Roman"/>
                <w:bCs/>
                <w:color w:val="auto"/>
                <w:kern w:val="0"/>
                <w:sz w:val="24"/>
                <w:szCs w:val="24"/>
                <w:highlight w:val="none"/>
              </w:rPr>
              <w:t>》“33 金属制品业、34 通用设备制造业、35 专用设备制造业、36 汽车制造业、37 铁路、船舶、航空航天和其他运输 设备制造业、431 金属制品修理、432 通用设备修理、433 专用设备修理、434 铁路、船舶、航空航天等运输设备 修理（不包括电镀工艺）行业系数表</w:t>
            </w:r>
            <w:r>
              <w:rPr>
                <w:rFonts w:ascii="Times New Roman" w:hAnsi="Times New Roman" w:eastAsia="宋体" w:cs="Times New Roman"/>
                <w:color w:val="auto"/>
                <w:sz w:val="24"/>
                <w:szCs w:val="24"/>
                <w:highlight w:val="none"/>
              </w:rPr>
              <w:t>”中</w:t>
            </w:r>
            <w:r>
              <w:rPr>
                <w:rFonts w:ascii="Times New Roman" w:hAnsi="Times New Roman" w:eastAsia="宋体" w:cs="Times New Roman"/>
                <w:color w:val="auto"/>
                <w:sz w:val="24"/>
                <w:szCs w:val="20"/>
                <w:highlight w:val="none"/>
              </w:rPr>
              <w:t>，喷塑工序颗粒物产生量为300kg/吨-原料，由原辅材料消耗表可知，本项目塑粉的用量为100t/a，因此未喷上的粉末产生量约为30t/a。粉末喷涂过程是在喷塑房内进行的，该房体为封闭式，通过风机将房体内没有喷上工件的粉末吸入回收系统，粉尘经收集后通过滤芯粉末回收装置进行回收。未喷上工件的粉末</w:t>
            </w:r>
            <w:r>
              <w:rPr>
                <w:rFonts w:ascii="Times New Roman" w:hAnsi="Times New Roman" w:eastAsia="宋体" w:cs="Times New Roman"/>
                <w:color w:val="auto"/>
                <w:sz w:val="24"/>
                <w:highlight w:val="none"/>
              </w:rPr>
              <w:t>通过喷塑间内设置</w:t>
            </w:r>
            <w:r>
              <w:rPr>
                <w:rFonts w:hint="eastAsia" w:ascii="Times New Roman" w:hAnsi="Times New Roman" w:eastAsia="宋体" w:cs="Times New Roman"/>
                <w:color w:val="auto"/>
                <w:sz w:val="24"/>
                <w:highlight w:val="none"/>
                <w:lang w:eastAsia="zh-CN"/>
              </w:rPr>
              <w:t>大旋风+滤芯粉末回收+袋式除尘装置</w:t>
            </w:r>
            <w:r>
              <w:rPr>
                <w:rFonts w:hint="eastAsia" w:ascii="Times New Roman" w:hAnsi="Times New Roman" w:eastAsia="宋体" w:cs="Times New Roman"/>
                <w:color w:val="auto"/>
                <w:sz w:val="24"/>
                <w:highlight w:val="none"/>
              </w:rPr>
              <w:t>处理后经15m高2#排气筒（DA002）排放，</w:t>
            </w:r>
            <w:r>
              <w:rPr>
                <w:rFonts w:ascii="Times New Roman" w:hAnsi="Times New Roman" w:eastAsia="宋体" w:cs="Times New Roman"/>
                <w:color w:val="auto"/>
                <w:sz w:val="24"/>
                <w:szCs w:val="20"/>
                <w:highlight w:val="none"/>
              </w:rPr>
              <w:t>喷塑粉尘收集效率以99%计，回收效率为</w:t>
            </w:r>
            <w:r>
              <w:rPr>
                <w:rFonts w:hint="eastAsia" w:ascii="Times New Roman" w:hAnsi="Times New Roman" w:eastAsia="宋体" w:cs="Times New Roman"/>
                <w:color w:val="auto"/>
                <w:sz w:val="24"/>
                <w:szCs w:val="20"/>
                <w:highlight w:val="none"/>
              </w:rPr>
              <w:t>90</w:t>
            </w:r>
            <w:r>
              <w:rPr>
                <w:rFonts w:ascii="Times New Roman" w:hAnsi="Times New Roman" w:eastAsia="宋体" w:cs="Times New Roman"/>
                <w:color w:val="auto"/>
                <w:sz w:val="24"/>
                <w:szCs w:val="20"/>
                <w:highlight w:val="none"/>
              </w:rPr>
              <w:t>%，</w:t>
            </w:r>
            <w:r>
              <w:rPr>
                <w:rFonts w:hint="eastAsia" w:ascii="Times New Roman" w:hAnsi="Times New Roman" w:eastAsia="宋体" w:cs="Times New Roman"/>
                <w:color w:val="auto"/>
                <w:sz w:val="24"/>
                <w:szCs w:val="20"/>
                <w:highlight w:val="none"/>
                <w:lang w:val="en-US" w:eastAsia="zh-CN"/>
              </w:rPr>
              <w:t>袋式除尘处理效率为99%，</w:t>
            </w:r>
            <w:r>
              <w:rPr>
                <w:rFonts w:ascii="Times New Roman" w:hAnsi="Times New Roman" w:eastAsia="宋体" w:cs="Times New Roman"/>
                <w:color w:val="auto"/>
                <w:sz w:val="24"/>
                <w:szCs w:val="20"/>
                <w:highlight w:val="none"/>
              </w:rPr>
              <w:t>喷塑操作时间平均为2400h/a。</w:t>
            </w:r>
          </w:p>
          <w:p w14:paraId="5346B556">
            <w:pPr>
              <w:pStyle w:val="80"/>
              <w:adjustRightInd w:val="0"/>
              <w:snapToGrid w:val="0"/>
              <w:spacing w:line="360" w:lineRule="auto"/>
              <w:ind w:firstLine="48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（4）固化废气G4</w:t>
            </w:r>
          </w:p>
          <w:p w14:paraId="4737B90F">
            <w:pPr>
              <w:pStyle w:val="80"/>
              <w:adjustRightInd w:val="0"/>
              <w:snapToGrid w:val="0"/>
              <w:spacing w:line="360" w:lineRule="auto"/>
              <w:ind w:firstLine="480"/>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项目喷塑的塑粉为热固性树脂粉末在180℃条件下固化会产生有机废气，根据《排污源统计调查产污核算方法和系数手册》“33 金属制品业、34 通用设备制造业、35 专用设备制造业、36 汽车制造业、37 铁路、船舶、航空航天和其他运输 设备制造业、431 金属制品修理、432 通用设备修理、433 专用设备修理、434 铁路、船舶、航空航天等运输设备 修理（不包括电镀工艺）行业系数表”中，喷塑后烘干工序挥发性有机物产生量为1.2kg/吨-原料，</w:t>
            </w:r>
            <w:r>
              <w:rPr>
                <w:rFonts w:ascii="Times New Roman" w:hAnsi="Times New Roman" w:eastAsia="宋体" w:cs="Times New Roman"/>
                <w:bCs/>
                <w:color w:val="auto"/>
                <w:kern w:val="0"/>
                <w:sz w:val="24"/>
                <w:szCs w:val="24"/>
                <w:highlight w:val="none"/>
                <w:lang w:val="en-GB"/>
              </w:rPr>
              <w:t>由原辅材料消耗表可知，本项目塑粉的用量为</w:t>
            </w:r>
            <w:r>
              <w:rPr>
                <w:rFonts w:hint="eastAsia" w:ascii="Times New Roman" w:hAnsi="Times New Roman" w:eastAsia="宋体" w:cs="Times New Roman"/>
                <w:bCs/>
                <w:color w:val="auto"/>
                <w:kern w:val="0"/>
                <w:sz w:val="24"/>
                <w:szCs w:val="24"/>
                <w:highlight w:val="none"/>
              </w:rPr>
              <w:t>10</w:t>
            </w:r>
            <w:r>
              <w:rPr>
                <w:rFonts w:ascii="Times New Roman" w:hAnsi="Times New Roman" w:eastAsia="宋体" w:cs="Times New Roman"/>
                <w:bCs/>
                <w:color w:val="auto"/>
                <w:kern w:val="0"/>
                <w:sz w:val="24"/>
                <w:szCs w:val="24"/>
                <w:highlight w:val="none"/>
              </w:rPr>
              <w:t>0</w:t>
            </w:r>
            <w:r>
              <w:rPr>
                <w:rFonts w:ascii="Times New Roman" w:hAnsi="Times New Roman" w:eastAsia="宋体" w:cs="Times New Roman"/>
                <w:bCs/>
                <w:color w:val="auto"/>
                <w:kern w:val="0"/>
                <w:sz w:val="24"/>
                <w:szCs w:val="24"/>
                <w:highlight w:val="none"/>
                <w:lang w:val="en-GB"/>
              </w:rPr>
              <w:t>t/a</w:t>
            </w:r>
            <w:r>
              <w:rPr>
                <w:rFonts w:ascii="Times New Roman" w:hAnsi="Times New Roman" w:eastAsia="宋体" w:cs="Times New Roman"/>
                <w:bCs/>
                <w:color w:val="auto"/>
                <w:kern w:val="0"/>
                <w:sz w:val="24"/>
                <w:szCs w:val="24"/>
                <w:highlight w:val="none"/>
              </w:rPr>
              <w:t>，因此固化废气（非甲烷总烃）产生量为0.12t/a。本项目固化过程在密闭的固化间内进行，通过</w:t>
            </w:r>
            <w:r>
              <w:rPr>
                <w:rFonts w:hint="eastAsia" w:ascii="Times New Roman" w:hAnsi="Times New Roman" w:eastAsia="宋体" w:cs="Times New Roman"/>
                <w:bCs/>
                <w:color w:val="auto"/>
                <w:kern w:val="0"/>
                <w:sz w:val="24"/>
                <w:szCs w:val="24"/>
                <w:highlight w:val="none"/>
              </w:rPr>
              <w:t>密闭管道</w:t>
            </w:r>
            <w:r>
              <w:rPr>
                <w:rFonts w:ascii="Times New Roman" w:hAnsi="Times New Roman" w:eastAsia="宋体" w:cs="Times New Roman"/>
                <w:bCs/>
                <w:color w:val="auto"/>
                <w:kern w:val="0"/>
                <w:sz w:val="24"/>
                <w:szCs w:val="24"/>
                <w:highlight w:val="none"/>
              </w:rPr>
              <w:t>收集后经1套二级活性炭吸附装置处理后，经15m高</w:t>
            </w:r>
            <w:r>
              <w:rPr>
                <w:rFonts w:hint="eastAsia" w:ascii="Times New Roman" w:hAnsi="Times New Roman" w:eastAsia="宋体" w:cs="Times New Roman"/>
                <w:bCs/>
                <w:color w:val="auto"/>
                <w:kern w:val="0"/>
                <w:sz w:val="24"/>
                <w:szCs w:val="24"/>
                <w:highlight w:val="none"/>
              </w:rPr>
              <w:t>3</w:t>
            </w:r>
            <w:r>
              <w:rPr>
                <w:rFonts w:ascii="Times New Roman" w:hAnsi="Times New Roman" w:eastAsia="宋体" w:cs="Times New Roman"/>
                <w:bCs/>
                <w:color w:val="auto"/>
                <w:kern w:val="0"/>
                <w:sz w:val="24"/>
                <w:szCs w:val="24"/>
                <w:highlight w:val="none"/>
              </w:rPr>
              <w:t>#排气筒（DA00</w:t>
            </w:r>
            <w:r>
              <w:rPr>
                <w:rFonts w:hint="eastAsia" w:ascii="Times New Roman" w:hAnsi="Times New Roman" w:eastAsia="宋体" w:cs="Times New Roman"/>
                <w:bCs/>
                <w:color w:val="auto"/>
                <w:kern w:val="0"/>
                <w:sz w:val="24"/>
                <w:szCs w:val="24"/>
                <w:highlight w:val="none"/>
              </w:rPr>
              <w:t>3</w:t>
            </w:r>
            <w:r>
              <w:rPr>
                <w:rFonts w:ascii="Times New Roman" w:hAnsi="Times New Roman" w:eastAsia="宋体" w:cs="Times New Roman"/>
                <w:bCs/>
                <w:color w:val="auto"/>
                <w:kern w:val="0"/>
                <w:sz w:val="24"/>
                <w:szCs w:val="24"/>
                <w:highlight w:val="none"/>
              </w:rPr>
              <w:t>）排放。固化废气收集效率按99%计，二级活性炭吸附装置总处理效率按90%计，风机风量为</w:t>
            </w:r>
            <w:r>
              <w:rPr>
                <w:rFonts w:hint="eastAsia" w:ascii="Times New Roman" w:hAnsi="Times New Roman" w:eastAsia="宋体" w:cs="Times New Roman"/>
                <w:bCs/>
                <w:color w:val="auto"/>
                <w:kern w:val="0"/>
                <w:sz w:val="24"/>
                <w:szCs w:val="24"/>
                <w:highlight w:val="none"/>
              </w:rPr>
              <w:t>10</w:t>
            </w:r>
            <w:r>
              <w:rPr>
                <w:rFonts w:ascii="Times New Roman" w:hAnsi="Times New Roman" w:eastAsia="宋体" w:cs="Times New Roman"/>
                <w:bCs/>
                <w:color w:val="auto"/>
                <w:kern w:val="0"/>
                <w:sz w:val="24"/>
                <w:szCs w:val="24"/>
                <w:highlight w:val="none"/>
              </w:rPr>
              <w:t>000m</w:t>
            </w:r>
            <w:r>
              <w:rPr>
                <w:rFonts w:ascii="Times New Roman" w:hAnsi="Times New Roman" w:eastAsia="宋体" w:cs="Times New Roman"/>
                <w:bCs/>
                <w:color w:val="auto"/>
                <w:kern w:val="0"/>
                <w:sz w:val="24"/>
                <w:szCs w:val="24"/>
                <w:highlight w:val="none"/>
                <w:vertAlign w:val="superscript"/>
              </w:rPr>
              <w:t>3</w:t>
            </w:r>
            <w:r>
              <w:rPr>
                <w:rFonts w:ascii="Times New Roman" w:hAnsi="Times New Roman" w:eastAsia="宋体" w:cs="Times New Roman"/>
                <w:bCs/>
                <w:color w:val="auto"/>
                <w:kern w:val="0"/>
                <w:sz w:val="24"/>
                <w:szCs w:val="24"/>
                <w:highlight w:val="none"/>
              </w:rPr>
              <w:t>/h。</w:t>
            </w:r>
          </w:p>
          <w:p w14:paraId="7F83FC19">
            <w:pPr>
              <w:pStyle w:val="80"/>
              <w:adjustRightInd w:val="0"/>
              <w:snapToGrid w:val="0"/>
              <w:spacing w:line="360" w:lineRule="auto"/>
              <w:ind w:firstLine="480"/>
              <w:rPr>
                <w:rFonts w:ascii="Times New Roman" w:hAnsi="Times New Roman" w:eastAsia="宋体" w:cs="Times New Roman"/>
                <w:color w:val="auto"/>
                <w:sz w:val="24"/>
                <w:szCs w:val="20"/>
                <w:highlight w:val="none"/>
              </w:rPr>
            </w:pPr>
          </w:p>
          <w:p w14:paraId="181D8031">
            <w:pPr>
              <w:tabs>
                <w:tab w:val="left" w:pos="2679"/>
              </w:tabs>
              <w:rPr>
                <w:rFonts w:ascii="Times New Roman" w:hAnsi="Times New Roman" w:eastAsia="宋体" w:cs="Times New Roman"/>
                <w:color w:val="auto"/>
                <w:szCs w:val="21"/>
                <w:highlight w:val="none"/>
              </w:rPr>
            </w:pPr>
          </w:p>
        </w:tc>
      </w:tr>
    </w:tbl>
    <w:p w14:paraId="177F7BFD">
      <w:pPr>
        <w:rPr>
          <w:rFonts w:ascii="Times New Roman" w:hAnsi="Times New Roman" w:eastAsia="宋体" w:cs="Times New Roman"/>
          <w:color w:val="auto"/>
          <w:highlight w:val="none"/>
        </w:rPr>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12" w:charSpace="0"/>
        </w:sectPr>
      </w:pPr>
    </w:p>
    <w:p w14:paraId="29249132">
      <w:pPr>
        <w:rPr>
          <w:rFonts w:ascii="Times New Roman" w:hAnsi="Times New Roman" w:eastAsia="宋体" w:cs="Times New Roman"/>
          <w:color w:val="auto"/>
          <w:highlight w:val="none"/>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14:paraId="4114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0" w:hRule="atLeast"/>
        </w:trPr>
        <w:tc>
          <w:tcPr>
            <w:tcW w:w="14174" w:type="dxa"/>
          </w:tcPr>
          <w:p w14:paraId="3E146995">
            <w:pPr>
              <w:spacing w:line="360" w:lineRule="auto"/>
              <w:ind w:firstLine="420" w:firstLineChars="200"/>
              <w:rPr>
                <w:rFonts w:ascii="Times New Roman" w:hAnsi="Times New Roman" w:eastAsia="宋体" w:cs="Times New Roman"/>
                <w:bCs/>
                <w:color w:val="auto"/>
                <w:sz w:val="24"/>
                <w:szCs w:val="28"/>
                <w:highlight w:val="none"/>
              </w:rPr>
            </w:pPr>
            <w:r>
              <w:rPr>
                <w:rFonts w:ascii="Times New Roman" w:hAnsi="Times New Roman" w:eastAsia="宋体" w:cs="Times New Roman"/>
                <w:color w:val="auto"/>
                <w:highlight w:val="none"/>
              </w:rPr>
              <w:tab/>
            </w:r>
            <w:r>
              <w:rPr>
                <w:rFonts w:ascii="Times New Roman" w:hAnsi="Times New Roman" w:eastAsia="宋体" w:cs="Times New Roman"/>
                <w:bCs/>
                <w:color w:val="auto"/>
                <w:sz w:val="24"/>
                <w:szCs w:val="28"/>
                <w:highlight w:val="none"/>
              </w:rPr>
              <w:t>本项目有组织废气排放情况见下表：</w:t>
            </w:r>
          </w:p>
          <w:p w14:paraId="6C7D6529">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w:t>
            </w:r>
            <w:r>
              <w:rPr>
                <w:rFonts w:hint="eastAsia" w:ascii="Times New Roman" w:hAnsi="Times New Roman" w:eastAsia="黑体" w:cs="Times New Roman"/>
                <w:color w:val="auto"/>
                <w:sz w:val="24"/>
                <w:highlight w:val="none"/>
              </w:rPr>
              <w:t>3</w:t>
            </w:r>
            <w:r>
              <w:rPr>
                <w:rFonts w:ascii="Times New Roman" w:hAnsi="Times New Roman" w:eastAsia="黑体" w:cs="Times New Roman"/>
                <w:color w:val="auto"/>
                <w:sz w:val="24"/>
                <w:highlight w:val="none"/>
              </w:rPr>
              <w:t xml:space="preserve">  项目有组织废气产生和排放情况表</w:t>
            </w:r>
          </w:p>
          <w:tbl>
            <w:tblPr>
              <w:tblStyle w:val="18"/>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19"/>
              <w:gridCol w:w="427"/>
              <w:gridCol w:w="435"/>
              <w:gridCol w:w="461"/>
              <w:gridCol w:w="729"/>
              <w:gridCol w:w="620"/>
              <w:gridCol w:w="623"/>
              <w:gridCol w:w="396"/>
              <w:gridCol w:w="547"/>
              <w:gridCol w:w="396"/>
              <w:gridCol w:w="547"/>
              <w:gridCol w:w="667"/>
              <w:gridCol w:w="715"/>
              <w:gridCol w:w="729"/>
              <w:gridCol w:w="603"/>
              <w:gridCol w:w="715"/>
              <w:gridCol w:w="477"/>
              <w:gridCol w:w="829"/>
              <w:gridCol w:w="790"/>
              <w:gridCol w:w="904"/>
              <w:gridCol w:w="832"/>
              <w:gridCol w:w="397"/>
            </w:tblGrid>
            <w:tr w14:paraId="7EEF1B8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0" w:type="pct"/>
                  <w:vMerge w:val="restart"/>
                  <w:tcBorders>
                    <w:tl2br w:val="nil"/>
                    <w:tr2bl w:val="nil"/>
                  </w:tcBorders>
                  <w:shd w:val="clear" w:color="auto" w:fill="auto"/>
                  <w:noWrap/>
                  <w:vAlign w:val="center"/>
                </w:tcPr>
                <w:p w14:paraId="66900F57">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生产线名称</w:t>
                  </w:r>
                </w:p>
              </w:tc>
              <w:tc>
                <w:tcPr>
                  <w:tcW w:w="152" w:type="pct"/>
                  <w:vMerge w:val="restart"/>
                  <w:tcBorders>
                    <w:tl2br w:val="nil"/>
                    <w:tr2bl w:val="nil"/>
                  </w:tcBorders>
                  <w:shd w:val="clear" w:color="auto" w:fill="auto"/>
                  <w:vAlign w:val="center"/>
                </w:tcPr>
                <w:p w14:paraId="212FF42E">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废气工序</w:t>
                  </w:r>
                </w:p>
              </w:tc>
              <w:tc>
                <w:tcPr>
                  <w:tcW w:w="155" w:type="pct"/>
                  <w:vMerge w:val="restart"/>
                  <w:tcBorders>
                    <w:tl2br w:val="nil"/>
                    <w:tr2bl w:val="nil"/>
                  </w:tcBorders>
                  <w:shd w:val="clear" w:color="auto" w:fill="auto"/>
                  <w:vAlign w:val="center"/>
                </w:tcPr>
                <w:p w14:paraId="342889A1">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废气编号</w:t>
                  </w:r>
                </w:p>
              </w:tc>
              <w:tc>
                <w:tcPr>
                  <w:tcW w:w="165" w:type="pct"/>
                  <w:vMerge w:val="restart"/>
                  <w:tcBorders>
                    <w:tl2br w:val="nil"/>
                    <w:tr2bl w:val="nil"/>
                  </w:tcBorders>
                  <w:shd w:val="clear" w:color="auto" w:fill="auto"/>
                  <w:vAlign w:val="center"/>
                </w:tcPr>
                <w:p w14:paraId="7A723500">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污染物</w:t>
                  </w:r>
                </w:p>
              </w:tc>
              <w:tc>
                <w:tcPr>
                  <w:tcW w:w="706" w:type="pct"/>
                  <w:gridSpan w:val="3"/>
                  <w:tcBorders>
                    <w:tl2br w:val="nil"/>
                    <w:tr2bl w:val="nil"/>
                  </w:tcBorders>
                  <w:shd w:val="clear" w:color="auto" w:fill="auto"/>
                  <w:vAlign w:val="center"/>
                </w:tcPr>
                <w:p w14:paraId="4E85087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污染物产生</w:t>
                  </w:r>
                </w:p>
              </w:tc>
              <w:tc>
                <w:tcPr>
                  <w:tcW w:w="337" w:type="pct"/>
                  <w:gridSpan w:val="2"/>
                  <w:tcBorders>
                    <w:tl2br w:val="nil"/>
                    <w:tr2bl w:val="nil"/>
                  </w:tcBorders>
                  <w:shd w:val="clear" w:color="auto" w:fill="auto"/>
                  <w:vAlign w:val="center"/>
                </w:tcPr>
                <w:p w14:paraId="7A4A5749">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收集</w:t>
                  </w:r>
                </w:p>
              </w:tc>
              <w:tc>
                <w:tcPr>
                  <w:tcW w:w="1310" w:type="pct"/>
                  <w:gridSpan w:val="6"/>
                  <w:tcBorders>
                    <w:tl2br w:val="nil"/>
                    <w:tr2bl w:val="nil"/>
                  </w:tcBorders>
                  <w:shd w:val="clear" w:color="auto" w:fill="auto"/>
                  <w:vAlign w:val="center"/>
                </w:tcPr>
                <w:p w14:paraId="43FDD466">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污染物排放</w:t>
                  </w:r>
                </w:p>
              </w:tc>
              <w:tc>
                <w:tcPr>
                  <w:tcW w:w="426" w:type="pct"/>
                  <w:gridSpan w:val="2"/>
                  <w:tcBorders>
                    <w:tl2br w:val="nil"/>
                    <w:tr2bl w:val="nil"/>
                  </w:tcBorders>
                  <w:shd w:val="clear" w:color="auto" w:fill="auto"/>
                  <w:vAlign w:val="center"/>
                </w:tcPr>
                <w:p w14:paraId="6CD2DA02">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排放限值</w:t>
                  </w:r>
                </w:p>
              </w:tc>
              <w:tc>
                <w:tcPr>
                  <w:tcW w:w="1344" w:type="pct"/>
                  <w:gridSpan w:val="5"/>
                  <w:tcBorders>
                    <w:tl2br w:val="nil"/>
                    <w:tr2bl w:val="nil"/>
                  </w:tcBorders>
                  <w:shd w:val="clear" w:color="auto" w:fill="auto"/>
                  <w:vAlign w:val="center"/>
                </w:tcPr>
                <w:p w14:paraId="2DF6389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排放特征</w:t>
                  </w:r>
                </w:p>
              </w:tc>
            </w:tr>
            <w:tr w14:paraId="4E44A05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0" w:type="pct"/>
                  <w:vMerge w:val="continue"/>
                  <w:tcBorders>
                    <w:tl2br w:val="nil"/>
                    <w:tr2bl w:val="nil"/>
                  </w:tcBorders>
                  <w:shd w:val="clear" w:color="auto" w:fill="auto"/>
                  <w:noWrap/>
                  <w:vAlign w:val="center"/>
                </w:tcPr>
                <w:p w14:paraId="4F23738E">
                  <w:pPr>
                    <w:widowControl/>
                    <w:adjustRightInd w:val="0"/>
                    <w:snapToGrid w:val="0"/>
                    <w:jc w:val="center"/>
                    <w:rPr>
                      <w:rFonts w:ascii="Times New Roman" w:hAnsi="Times New Roman" w:eastAsia="宋体" w:cs="Times New Roman"/>
                      <w:b/>
                      <w:bCs/>
                      <w:color w:val="auto"/>
                      <w:sz w:val="18"/>
                      <w:szCs w:val="18"/>
                      <w:highlight w:val="none"/>
                    </w:rPr>
                  </w:pPr>
                </w:p>
              </w:tc>
              <w:tc>
                <w:tcPr>
                  <w:tcW w:w="152" w:type="pct"/>
                  <w:vMerge w:val="continue"/>
                  <w:tcBorders>
                    <w:tl2br w:val="nil"/>
                    <w:tr2bl w:val="nil"/>
                  </w:tcBorders>
                  <w:shd w:val="clear" w:color="auto" w:fill="auto"/>
                  <w:vAlign w:val="center"/>
                </w:tcPr>
                <w:p w14:paraId="4A5CC2AE">
                  <w:pPr>
                    <w:widowControl/>
                    <w:adjustRightInd w:val="0"/>
                    <w:snapToGrid w:val="0"/>
                    <w:jc w:val="center"/>
                    <w:rPr>
                      <w:rFonts w:ascii="Times New Roman" w:hAnsi="Times New Roman" w:eastAsia="宋体" w:cs="Times New Roman"/>
                      <w:b/>
                      <w:bCs/>
                      <w:color w:val="auto"/>
                      <w:sz w:val="18"/>
                      <w:szCs w:val="18"/>
                      <w:highlight w:val="none"/>
                    </w:rPr>
                  </w:pPr>
                </w:p>
              </w:tc>
              <w:tc>
                <w:tcPr>
                  <w:tcW w:w="155" w:type="pct"/>
                  <w:vMerge w:val="continue"/>
                  <w:tcBorders>
                    <w:tl2br w:val="nil"/>
                    <w:tr2bl w:val="nil"/>
                  </w:tcBorders>
                  <w:shd w:val="clear" w:color="auto" w:fill="auto"/>
                  <w:vAlign w:val="center"/>
                </w:tcPr>
                <w:p w14:paraId="085E8048">
                  <w:pPr>
                    <w:widowControl/>
                    <w:adjustRightInd w:val="0"/>
                    <w:snapToGrid w:val="0"/>
                    <w:jc w:val="center"/>
                    <w:rPr>
                      <w:rFonts w:ascii="Times New Roman" w:hAnsi="Times New Roman" w:eastAsia="宋体" w:cs="Times New Roman"/>
                      <w:b/>
                      <w:bCs/>
                      <w:color w:val="auto"/>
                      <w:sz w:val="18"/>
                      <w:szCs w:val="18"/>
                      <w:highlight w:val="none"/>
                    </w:rPr>
                  </w:pPr>
                </w:p>
              </w:tc>
              <w:tc>
                <w:tcPr>
                  <w:tcW w:w="165" w:type="pct"/>
                  <w:vMerge w:val="continue"/>
                  <w:tcBorders>
                    <w:tl2br w:val="nil"/>
                    <w:tr2bl w:val="nil"/>
                  </w:tcBorders>
                  <w:shd w:val="clear" w:color="auto" w:fill="auto"/>
                  <w:vAlign w:val="center"/>
                </w:tcPr>
                <w:p w14:paraId="2B1160DE">
                  <w:pPr>
                    <w:widowControl/>
                    <w:adjustRightInd w:val="0"/>
                    <w:snapToGrid w:val="0"/>
                    <w:jc w:val="center"/>
                    <w:rPr>
                      <w:rFonts w:ascii="Times New Roman" w:hAnsi="Times New Roman" w:eastAsia="宋体" w:cs="Times New Roman"/>
                      <w:b/>
                      <w:bCs/>
                      <w:color w:val="auto"/>
                      <w:sz w:val="18"/>
                      <w:szCs w:val="18"/>
                      <w:highlight w:val="none"/>
                    </w:rPr>
                  </w:pPr>
                </w:p>
              </w:tc>
              <w:tc>
                <w:tcPr>
                  <w:tcW w:w="261" w:type="pct"/>
                  <w:tcBorders>
                    <w:tl2br w:val="nil"/>
                    <w:tr2bl w:val="nil"/>
                  </w:tcBorders>
                  <w:shd w:val="clear" w:color="auto" w:fill="auto"/>
                  <w:vAlign w:val="center"/>
                </w:tcPr>
                <w:p w14:paraId="33250324">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产生浓度mg/m</w:t>
                  </w:r>
                  <w:r>
                    <w:rPr>
                      <w:rFonts w:ascii="Times New Roman" w:hAnsi="Times New Roman" w:eastAsia="宋体" w:cs="Times New Roman"/>
                      <w:b/>
                      <w:bCs/>
                      <w:color w:val="auto"/>
                      <w:kern w:val="0"/>
                      <w:sz w:val="18"/>
                      <w:szCs w:val="18"/>
                      <w:highlight w:val="none"/>
                      <w:vertAlign w:val="superscript"/>
                    </w:rPr>
                    <w:t>3</w:t>
                  </w:r>
                </w:p>
              </w:tc>
              <w:tc>
                <w:tcPr>
                  <w:tcW w:w="222" w:type="pct"/>
                  <w:tcBorders>
                    <w:tl2br w:val="nil"/>
                    <w:tr2bl w:val="nil"/>
                  </w:tcBorders>
                  <w:shd w:val="clear" w:color="auto" w:fill="auto"/>
                  <w:vAlign w:val="center"/>
                </w:tcPr>
                <w:p w14:paraId="192D577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产生速率kg/h</w:t>
                  </w:r>
                </w:p>
              </w:tc>
              <w:tc>
                <w:tcPr>
                  <w:tcW w:w="223" w:type="pct"/>
                  <w:tcBorders>
                    <w:tl2br w:val="nil"/>
                    <w:tr2bl w:val="nil"/>
                  </w:tcBorders>
                  <w:shd w:val="clear" w:color="auto" w:fill="auto"/>
                  <w:vAlign w:val="center"/>
                </w:tcPr>
                <w:p w14:paraId="3F7ACC15">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产生量t/a</w:t>
                  </w:r>
                </w:p>
              </w:tc>
              <w:tc>
                <w:tcPr>
                  <w:tcW w:w="141" w:type="pct"/>
                  <w:tcBorders>
                    <w:tl2br w:val="nil"/>
                    <w:tr2bl w:val="nil"/>
                  </w:tcBorders>
                  <w:shd w:val="clear" w:color="auto" w:fill="auto"/>
                  <w:vAlign w:val="center"/>
                </w:tcPr>
                <w:p w14:paraId="440D976D">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收集方式</w:t>
                  </w:r>
                </w:p>
              </w:tc>
              <w:tc>
                <w:tcPr>
                  <w:tcW w:w="195" w:type="pct"/>
                  <w:tcBorders>
                    <w:tl2br w:val="nil"/>
                    <w:tr2bl w:val="nil"/>
                  </w:tcBorders>
                  <w:shd w:val="clear" w:color="auto" w:fill="auto"/>
                  <w:vAlign w:val="center"/>
                </w:tcPr>
                <w:p w14:paraId="44AD014D">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收集效率</w:t>
                  </w:r>
                </w:p>
              </w:tc>
              <w:tc>
                <w:tcPr>
                  <w:tcW w:w="141" w:type="pct"/>
                  <w:tcBorders>
                    <w:tl2br w:val="nil"/>
                    <w:tr2bl w:val="nil"/>
                  </w:tcBorders>
                  <w:shd w:val="clear" w:color="auto" w:fill="auto"/>
                  <w:vAlign w:val="center"/>
                </w:tcPr>
                <w:p w14:paraId="26E049C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治理措施</w:t>
                  </w:r>
                </w:p>
              </w:tc>
              <w:tc>
                <w:tcPr>
                  <w:tcW w:w="195" w:type="pct"/>
                  <w:tcBorders>
                    <w:tl2br w:val="nil"/>
                    <w:tr2bl w:val="nil"/>
                  </w:tcBorders>
                  <w:shd w:val="clear" w:color="auto" w:fill="auto"/>
                  <w:vAlign w:val="center"/>
                </w:tcPr>
                <w:p w14:paraId="533D4D00">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处理效率</w:t>
                  </w:r>
                </w:p>
              </w:tc>
              <w:tc>
                <w:tcPr>
                  <w:tcW w:w="238" w:type="pct"/>
                  <w:tcBorders>
                    <w:tl2br w:val="nil"/>
                    <w:tr2bl w:val="nil"/>
                  </w:tcBorders>
                  <w:shd w:val="clear" w:color="auto" w:fill="auto"/>
                  <w:vAlign w:val="center"/>
                </w:tcPr>
                <w:p w14:paraId="6D2814A0">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排放废气量m</w:t>
                  </w:r>
                  <w:r>
                    <w:rPr>
                      <w:rFonts w:ascii="Times New Roman" w:hAnsi="Times New Roman" w:eastAsia="宋体" w:cs="Times New Roman"/>
                      <w:b/>
                      <w:bCs/>
                      <w:color w:val="auto"/>
                      <w:kern w:val="0"/>
                      <w:sz w:val="18"/>
                      <w:szCs w:val="18"/>
                      <w:highlight w:val="none"/>
                      <w:vertAlign w:val="superscript"/>
                    </w:rPr>
                    <w:t>3</w:t>
                  </w:r>
                  <w:r>
                    <w:rPr>
                      <w:rFonts w:ascii="Times New Roman" w:hAnsi="Times New Roman" w:eastAsia="宋体" w:cs="Times New Roman"/>
                      <w:b/>
                      <w:bCs/>
                      <w:color w:val="auto"/>
                      <w:kern w:val="0"/>
                      <w:sz w:val="18"/>
                      <w:szCs w:val="18"/>
                      <w:highlight w:val="none"/>
                    </w:rPr>
                    <w:t>/h</w:t>
                  </w:r>
                </w:p>
              </w:tc>
              <w:tc>
                <w:tcPr>
                  <w:tcW w:w="256" w:type="pct"/>
                  <w:tcBorders>
                    <w:tl2br w:val="nil"/>
                    <w:tr2bl w:val="nil"/>
                  </w:tcBorders>
                  <w:shd w:val="clear" w:color="auto" w:fill="auto"/>
                  <w:vAlign w:val="center"/>
                </w:tcPr>
                <w:p w14:paraId="384135C8">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排放浓度mg/m</w:t>
                  </w:r>
                  <w:r>
                    <w:rPr>
                      <w:rFonts w:ascii="Times New Roman" w:hAnsi="Times New Roman" w:eastAsia="宋体" w:cs="Times New Roman"/>
                      <w:b/>
                      <w:bCs/>
                      <w:color w:val="auto"/>
                      <w:kern w:val="0"/>
                      <w:sz w:val="18"/>
                      <w:szCs w:val="18"/>
                      <w:highlight w:val="none"/>
                      <w:vertAlign w:val="superscript"/>
                    </w:rPr>
                    <w:t>3</w:t>
                  </w:r>
                </w:p>
              </w:tc>
              <w:tc>
                <w:tcPr>
                  <w:tcW w:w="261" w:type="pct"/>
                  <w:tcBorders>
                    <w:tl2br w:val="nil"/>
                    <w:tr2bl w:val="nil"/>
                  </w:tcBorders>
                  <w:shd w:val="clear" w:color="auto" w:fill="auto"/>
                  <w:vAlign w:val="center"/>
                </w:tcPr>
                <w:p w14:paraId="4BD91D0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排放速率kg/h</w:t>
                  </w:r>
                </w:p>
              </w:tc>
              <w:tc>
                <w:tcPr>
                  <w:tcW w:w="216" w:type="pct"/>
                  <w:tcBorders>
                    <w:tl2br w:val="nil"/>
                    <w:tr2bl w:val="nil"/>
                  </w:tcBorders>
                  <w:shd w:val="clear" w:color="auto" w:fill="auto"/>
                  <w:vAlign w:val="center"/>
                </w:tcPr>
                <w:p w14:paraId="35511AFC">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排放量t/a</w:t>
                  </w:r>
                </w:p>
              </w:tc>
              <w:tc>
                <w:tcPr>
                  <w:tcW w:w="256" w:type="pct"/>
                  <w:tcBorders>
                    <w:tl2br w:val="nil"/>
                    <w:tr2bl w:val="nil"/>
                  </w:tcBorders>
                  <w:shd w:val="clear" w:color="auto" w:fill="auto"/>
                  <w:vAlign w:val="center"/>
                </w:tcPr>
                <w:p w14:paraId="0501744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浓度限值mg/m</w:t>
                  </w:r>
                  <w:r>
                    <w:rPr>
                      <w:rFonts w:ascii="Times New Roman" w:hAnsi="Times New Roman" w:eastAsia="宋体" w:cs="Times New Roman"/>
                      <w:b/>
                      <w:bCs/>
                      <w:color w:val="auto"/>
                      <w:kern w:val="0"/>
                      <w:sz w:val="18"/>
                      <w:szCs w:val="18"/>
                      <w:highlight w:val="none"/>
                      <w:vertAlign w:val="superscript"/>
                    </w:rPr>
                    <w:t>3</w:t>
                  </w:r>
                </w:p>
              </w:tc>
              <w:tc>
                <w:tcPr>
                  <w:tcW w:w="170" w:type="pct"/>
                  <w:tcBorders>
                    <w:tl2br w:val="nil"/>
                    <w:tr2bl w:val="nil"/>
                  </w:tcBorders>
                  <w:shd w:val="clear" w:color="auto" w:fill="auto"/>
                  <w:vAlign w:val="center"/>
                </w:tcPr>
                <w:p w14:paraId="0D3D468B">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速率kg/h</w:t>
                  </w:r>
                </w:p>
              </w:tc>
              <w:tc>
                <w:tcPr>
                  <w:tcW w:w="296" w:type="pct"/>
                  <w:tcBorders>
                    <w:tl2br w:val="nil"/>
                    <w:tr2bl w:val="nil"/>
                  </w:tcBorders>
                  <w:shd w:val="clear" w:color="auto" w:fill="auto"/>
                  <w:vAlign w:val="center"/>
                </w:tcPr>
                <w:p w14:paraId="4283B518">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排气筒编号</w:t>
                  </w:r>
                </w:p>
              </w:tc>
              <w:tc>
                <w:tcPr>
                  <w:tcW w:w="282" w:type="pct"/>
                  <w:tcBorders>
                    <w:tl2br w:val="nil"/>
                    <w:tr2bl w:val="nil"/>
                  </w:tcBorders>
                  <w:shd w:val="clear" w:color="auto" w:fill="auto"/>
                  <w:vAlign w:val="center"/>
                </w:tcPr>
                <w:p w14:paraId="5E7B3AFE">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高度m</w:t>
                  </w:r>
                </w:p>
              </w:tc>
              <w:tc>
                <w:tcPr>
                  <w:tcW w:w="323" w:type="pct"/>
                  <w:tcBorders>
                    <w:tl2br w:val="nil"/>
                    <w:tr2bl w:val="nil"/>
                  </w:tcBorders>
                  <w:shd w:val="clear" w:color="auto" w:fill="auto"/>
                  <w:vAlign w:val="center"/>
                </w:tcPr>
                <w:p w14:paraId="0286B82E">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直径m</w:t>
                  </w:r>
                </w:p>
              </w:tc>
              <w:tc>
                <w:tcPr>
                  <w:tcW w:w="298" w:type="pct"/>
                  <w:tcBorders>
                    <w:tl2br w:val="nil"/>
                    <w:tr2bl w:val="nil"/>
                  </w:tcBorders>
                  <w:shd w:val="clear" w:color="auto" w:fill="auto"/>
                  <w:vAlign w:val="center"/>
                </w:tcPr>
                <w:p w14:paraId="7D3EEDD6">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温度℃</w:t>
                  </w:r>
                </w:p>
              </w:tc>
              <w:tc>
                <w:tcPr>
                  <w:tcW w:w="142" w:type="pct"/>
                  <w:tcBorders>
                    <w:tl2br w:val="nil"/>
                    <w:tr2bl w:val="nil"/>
                  </w:tcBorders>
                  <w:shd w:val="clear" w:color="auto" w:fill="auto"/>
                  <w:vAlign w:val="center"/>
                </w:tcPr>
                <w:p w14:paraId="5C02A949">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排放方式</w:t>
                  </w:r>
                </w:p>
              </w:tc>
            </w:tr>
            <w:tr w14:paraId="530D2E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0" w:type="pct"/>
                  <w:vMerge w:val="restart"/>
                  <w:tcBorders>
                    <w:tl2br w:val="nil"/>
                    <w:tr2bl w:val="nil"/>
                  </w:tcBorders>
                  <w:shd w:val="clear" w:color="auto" w:fill="auto"/>
                  <w:vAlign w:val="center"/>
                </w:tcPr>
                <w:p w14:paraId="3C23A381">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自动售货机及智能垃圾分类箱生产线</w:t>
                  </w:r>
                </w:p>
              </w:tc>
              <w:tc>
                <w:tcPr>
                  <w:tcW w:w="152" w:type="pct"/>
                  <w:tcBorders>
                    <w:tl2br w:val="nil"/>
                    <w:tr2bl w:val="nil"/>
                  </w:tcBorders>
                  <w:shd w:val="clear" w:color="auto" w:fill="auto"/>
                  <w:vAlign w:val="center"/>
                </w:tcPr>
                <w:p w14:paraId="3A97F5D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切割</w:t>
                  </w:r>
                </w:p>
              </w:tc>
              <w:tc>
                <w:tcPr>
                  <w:tcW w:w="155" w:type="pct"/>
                  <w:tcBorders>
                    <w:tl2br w:val="nil"/>
                    <w:tr2bl w:val="nil"/>
                  </w:tcBorders>
                  <w:shd w:val="clear" w:color="auto" w:fill="auto"/>
                  <w:vAlign w:val="center"/>
                </w:tcPr>
                <w:p w14:paraId="65CEE54F">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G1</w:t>
                  </w:r>
                </w:p>
              </w:tc>
              <w:tc>
                <w:tcPr>
                  <w:tcW w:w="165" w:type="pct"/>
                  <w:tcBorders>
                    <w:tl2br w:val="nil"/>
                    <w:tr2bl w:val="nil"/>
                  </w:tcBorders>
                  <w:shd w:val="clear" w:color="auto" w:fill="auto"/>
                  <w:vAlign w:val="center"/>
                </w:tcPr>
                <w:p w14:paraId="2E3EE59C">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颗粒物</w:t>
                  </w:r>
                </w:p>
              </w:tc>
              <w:tc>
                <w:tcPr>
                  <w:tcW w:w="261" w:type="pct"/>
                  <w:tcBorders>
                    <w:tl2br w:val="nil"/>
                    <w:tr2bl w:val="nil"/>
                  </w:tcBorders>
                  <w:shd w:val="clear" w:color="auto" w:fill="auto"/>
                  <w:noWrap/>
                  <w:vAlign w:val="center"/>
                </w:tcPr>
                <w:p w14:paraId="673802F0">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45.833 </w:t>
                  </w:r>
                </w:p>
              </w:tc>
              <w:tc>
                <w:tcPr>
                  <w:tcW w:w="222" w:type="pct"/>
                  <w:tcBorders>
                    <w:tl2br w:val="nil"/>
                    <w:tr2bl w:val="nil"/>
                  </w:tcBorders>
                  <w:shd w:val="clear" w:color="auto" w:fill="auto"/>
                  <w:vAlign w:val="center"/>
                </w:tcPr>
                <w:p w14:paraId="04435187">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0.458 </w:t>
                  </w:r>
                </w:p>
              </w:tc>
              <w:tc>
                <w:tcPr>
                  <w:tcW w:w="223" w:type="pct"/>
                  <w:tcBorders>
                    <w:tl2br w:val="nil"/>
                    <w:tr2bl w:val="nil"/>
                  </w:tcBorders>
                  <w:shd w:val="clear" w:color="auto" w:fill="auto"/>
                  <w:vAlign w:val="center"/>
                </w:tcPr>
                <w:p w14:paraId="1AEAEF84">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1.1</w:t>
                  </w:r>
                </w:p>
              </w:tc>
              <w:tc>
                <w:tcPr>
                  <w:tcW w:w="141" w:type="pct"/>
                  <w:tcBorders>
                    <w:tl2br w:val="nil"/>
                    <w:tr2bl w:val="nil"/>
                  </w:tcBorders>
                  <w:shd w:val="clear" w:color="auto" w:fill="auto"/>
                  <w:vAlign w:val="center"/>
                </w:tcPr>
                <w:p w14:paraId="76557A18">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集气罩</w:t>
                  </w:r>
                </w:p>
              </w:tc>
              <w:tc>
                <w:tcPr>
                  <w:tcW w:w="195" w:type="pct"/>
                  <w:tcBorders>
                    <w:tl2br w:val="nil"/>
                    <w:tr2bl w:val="nil"/>
                  </w:tcBorders>
                  <w:shd w:val="clear" w:color="auto" w:fill="auto"/>
                  <w:vAlign w:val="center"/>
                </w:tcPr>
                <w:p w14:paraId="49F3BAA7">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90%</w:t>
                  </w:r>
                </w:p>
              </w:tc>
              <w:tc>
                <w:tcPr>
                  <w:tcW w:w="141" w:type="pct"/>
                  <w:vMerge w:val="restart"/>
                  <w:tcBorders>
                    <w:tl2br w:val="nil"/>
                    <w:tr2bl w:val="nil"/>
                  </w:tcBorders>
                  <w:shd w:val="clear" w:color="auto" w:fill="auto"/>
                  <w:vAlign w:val="center"/>
                </w:tcPr>
                <w:p w14:paraId="4A3EB30A">
                  <w:pPr>
                    <w:widowControl/>
                    <w:adjustRightInd w:val="0"/>
                    <w:snapToGrid w:val="0"/>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袋式除尘</w:t>
                  </w:r>
                </w:p>
                <w:p w14:paraId="4530F6B8">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95" w:type="pct"/>
                  <w:vMerge w:val="restart"/>
                  <w:tcBorders>
                    <w:tl2br w:val="nil"/>
                    <w:tr2bl w:val="nil"/>
                  </w:tcBorders>
                  <w:shd w:val="clear" w:color="auto" w:fill="auto"/>
                  <w:vAlign w:val="center"/>
                </w:tcPr>
                <w:p w14:paraId="112E14A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99%</w:t>
                  </w:r>
                </w:p>
              </w:tc>
              <w:tc>
                <w:tcPr>
                  <w:tcW w:w="238" w:type="pct"/>
                  <w:vMerge w:val="restart"/>
                  <w:tcBorders>
                    <w:tl2br w:val="nil"/>
                    <w:tr2bl w:val="nil"/>
                  </w:tcBorders>
                  <w:shd w:val="clear" w:color="auto" w:fill="auto"/>
                  <w:vAlign w:val="center"/>
                </w:tcPr>
                <w:p w14:paraId="2FEDAC18">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10000</w:t>
                  </w:r>
                  <w:r>
                    <w:rPr>
                      <w:rFonts w:hint="eastAsia" w:ascii="宋体" w:hAnsi="宋体" w:eastAsia="宋体" w:cs="宋体"/>
                      <w:color w:val="auto"/>
                      <w:sz w:val="18"/>
                      <w:szCs w:val="18"/>
                      <w:highlight w:val="none"/>
                      <w:vertAlign w:val="superscript"/>
                    </w:rPr>
                    <w:t>①</w:t>
                  </w:r>
                </w:p>
              </w:tc>
              <w:tc>
                <w:tcPr>
                  <w:tcW w:w="256" w:type="pct"/>
                  <w:vMerge w:val="restart"/>
                  <w:tcBorders>
                    <w:tl2br w:val="nil"/>
                    <w:tr2bl w:val="nil"/>
                  </w:tcBorders>
                  <w:shd w:val="clear" w:color="auto" w:fill="auto"/>
                  <w:vAlign w:val="center"/>
                </w:tcPr>
                <w:p w14:paraId="67B44C90">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0.42</w:t>
                  </w:r>
                </w:p>
              </w:tc>
              <w:tc>
                <w:tcPr>
                  <w:tcW w:w="261" w:type="pct"/>
                  <w:vMerge w:val="restart"/>
                  <w:tcBorders>
                    <w:tl2br w:val="nil"/>
                    <w:tr2bl w:val="nil"/>
                  </w:tcBorders>
                  <w:shd w:val="clear" w:color="auto" w:fill="auto"/>
                  <w:vAlign w:val="center"/>
                </w:tcPr>
                <w:p w14:paraId="5ED717F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0.004 </w:t>
                  </w:r>
                </w:p>
              </w:tc>
              <w:tc>
                <w:tcPr>
                  <w:tcW w:w="216" w:type="pct"/>
                  <w:vMerge w:val="restart"/>
                  <w:tcBorders>
                    <w:tl2br w:val="nil"/>
                    <w:tr2bl w:val="nil"/>
                  </w:tcBorders>
                  <w:shd w:val="clear" w:color="auto" w:fill="auto"/>
                  <w:vAlign w:val="center"/>
                </w:tcPr>
                <w:p w14:paraId="5B8C5AF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0.01 </w:t>
                  </w:r>
                </w:p>
              </w:tc>
              <w:tc>
                <w:tcPr>
                  <w:tcW w:w="256" w:type="pct"/>
                  <w:vMerge w:val="restart"/>
                  <w:tcBorders>
                    <w:tl2br w:val="nil"/>
                    <w:tr2bl w:val="nil"/>
                  </w:tcBorders>
                  <w:shd w:val="clear" w:color="auto" w:fill="auto"/>
                  <w:vAlign w:val="center"/>
                </w:tcPr>
                <w:p w14:paraId="14C72A6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120</w:t>
                  </w:r>
                </w:p>
              </w:tc>
              <w:tc>
                <w:tcPr>
                  <w:tcW w:w="170" w:type="pct"/>
                  <w:vMerge w:val="restart"/>
                  <w:tcBorders>
                    <w:tl2br w:val="nil"/>
                    <w:tr2bl w:val="nil"/>
                  </w:tcBorders>
                  <w:shd w:val="clear" w:color="auto" w:fill="auto"/>
                  <w:vAlign w:val="center"/>
                </w:tcPr>
                <w:p w14:paraId="0380AEA3">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3.5</w:t>
                  </w:r>
                </w:p>
              </w:tc>
              <w:tc>
                <w:tcPr>
                  <w:tcW w:w="296" w:type="pct"/>
                  <w:vMerge w:val="restart"/>
                  <w:tcBorders>
                    <w:tl2br w:val="nil"/>
                    <w:tr2bl w:val="nil"/>
                  </w:tcBorders>
                  <w:shd w:val="clear" w:color="auto" w:fill="auto"/>
                  <w:vAlign w:val="center"/>
                </w:tcPr>
                <w:p w14:paraId="641AE5E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DA001</w:t>
                  </w:r>
                </w:p>
              </w:tc>
              <w:tc>
                <w:tcPr>
                  <w:tcW w:w="282" w:type="pct"/>
                  <w:vMerge w:val="restart"/>
                  <w:tcBorders>
                    <w:tl2br w:val="nil"/>
                    <w:tr2bl w:val="nil"/>
                  </w:tcBorders>
                  <w:shd w:val="clear" w:color="auto" w:fill="auto"/>
                  <w:vAlign w:val="center"/>
                </w:tcPr>
                <w:p w14:paraId="099B28D7">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w:t>
                  </w:r>
                </w:p>
              </w:tc>
              <w:tc>
                <w:tcPr>
                  <w:tcW w:w="323" w:type="pct"/>
                  <w:vMerge w:val="restart"/>
                  <w:tcBorders>
                    <w:tl2br w:val="nil"/>
                    <w:tr2bl w:val="nil"/>
                  </w:tcBorders>
                  <w:shd w:val="clear" w:color="auto" w:fill="auto"/>
                  <w:vAlign w:val="center"/>
                </w:tcPr>
                <w:p w14:paraId="7D5B1CF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0.5</w:t>
                  </w:r>
                </w:p>
              </w:tc>
              <w:tc>
                <w:tcPr>
                  <w:tcW w:w="298" w:type="pct"/>
                  <w:vMerge w:val="restart"/>
                  <w:tcBorders>
                    <w:tl2br w:val="nil"/>
                    <w:tr2bl w:val="nil"/>
                  </w:tcBorders>
                  <w:shd w:val="clear" w:color="auto" w:fill="auto"/>
                  <w:vAlign w:val="center"/>
                </w:tcPr>
                <w:p w14:paraId="40FF2998">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常温</w:t>
                  </w:r>
                </w:p>
              </w:tc>
              <w:tc>
                <w:tcPr>
                  <w:tcW w:w="142" w:type="pct"/>
                  <w:vMerge w:val="restart"/>
                  <w:tcBorders>
                    <w:tl2br w:val="nil"/>
                    <w:tr2bl w:val="nil"/>
                  </w:tcBorders>
                  <w:shd w:val="clear" w:color="auto" w:fill="auto"/>
                  <w:vAlign w:val="center"/>
                </w:tcPr>
                <w:p w14:paraId="168C413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连续</w:t>
                  </w:r>
                </w:p>
              </w:tc>
            </w:tr>
            <w:tr w14:paraId="41DCB00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0" w:type="pct"/>
                  <w:vMerge w:val="continue"/>
                  <w:tcBorders>
                    <w:tl2br w:val="nil"/>
                    <w:tr2bl w:val="nil"/>
                  </w:tcBorders>
                  <w:shd w:val="clear" w:color="auto" w:fill="auto"/>
                  <w:vAlign w:val="center"/>
                </w:tcPr>
                <w:p w14:paraId="745C2EFF">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52" w:type="pct"/>
                  <w:tcBorders>
                    <w:tl2br w:val="nil"/>
                    <w:tr2bl w:val="nil"/>
                  </w:tcBorders>
                  <w:shd w:val="clear" w:color="auto" w:fill="auto"/>
                  <w:vAlign w:val="center"/>
                </w:tcPr>
                <w:p w14:paraId="45F7707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焊接</w:t>
                  </w:r>
                </w:p>
              </w:tc>
              <w:tc>
                <w:tcPr>
                  <w:tcW w:w="155" w:type="pct"/>
                  <w:tcBorders>
                    <w:tl2br w:val="nil"/>
                    <w:tr2bl w:val="nil"/>
                  </w:tcBorders>
                  <w:shd w:val="clear" w:color="auto" w:fill="auto"/>
                  <w:vAlign w:val="center"/>
                </w:tcPr>
                <w:p w14:paraId="7CD3D7C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G2</w:t>
                  </w:r>
                </w:p>
              </w:tc>
              <w:tc>
                <w:tcPr>
                  <w:tcW w:w="165" w:type="pct"/>
                  <w:tcBorders>
                    <w:tl2br w:val="nil"/>
                    <w:tr2bl w:val="nil"/>
                  </w:tcBorders>
                  <w:shd w:val="clear" w:color="auto" w:fill="auto"/>
                  <w:vAlign w:val="center"/>
                </w:tcPr>
                <w:p w14:paraId="6FA3D20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颗粒物</w:t>
                  </w:r>
                </w:p>
              </w:tc>
              <w:tc>
                <w:tcPr>
                  <w:tcW w:w="261" w:type="pct"/>
                  <w:tcBorders>
                    <w:tl2br w:val="nil"/>
                    <w:tr2bl w:val="nil"/>
                  </w:tcBorders>
                  <w:shd w:val="clear" w:color="auto" w:fill="auto"/>
                  <w:noWrap/>
                  <w:vAlign w:val="center"/>
                </w:tcPr>
                <w:p w14:paraId="7547D204">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0.854 </w:t>
                  </w:r>
                </w:p>
              </w:tc>
              <w:tc>
                <w:tcPr>
                  <w:tcW w:w="222" w:type="pct"/>
                  <w:tcBorders>
                    <w:tl2br w:val="nil"/>
                    <w:tr2bl w:val="nil"/>
                  </w:tcBorders>
                  <w:shd w:val="clear" w:color="auto" w:fill="auto"/>
                  <w:vAlign w:val="center"/>
                </w:tcPr>
                <w:p w14:paraId="175E102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0.009 </w:t>
                  </w:r>
                </w:p>
              </w:tc>
              <w:tc>
                <w:tcPr>
                  <w:tcW w:w="223" w:type="pct"/>
                  <w:tcBorders>
                    <w:tl2br w:val="nil"/>
                    <w:tr2bl w:val="nil"/>
                  </w:tcBorders>
                  <w:shd w:val="clear" w:color="auto" w:fill="auto"/>
                  <w:vAlign w:val="center"/>
                </w:tcPr>
                <w:p w14:paraId="335F471D">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0.021 </w:t>
                  </w:r>
                </w:p>
              </w:tc>
              <w:tc>
                <w:tcPr>
                  <w:tcW w:w="141" w:type="pct"/>
                  <w:tcBorders>
                    <w:tl2br w:val="nil"/>
                    <w:tr2bl w:val="nil"/>
                  </w:tcBorders>
                  <w:shd w:val="clear" w:color="auto" w:fill="auto"/>
                  <w:vAlign w:val="center"/>
                </w:tcPr>
                <w:p w14:paraId="39621CD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集气罩</w:t>
                  </w:r>
                </w:p>
              </w:tc>
              <w:tc>
                <w:tcPr>
                  <w:tcW w:w="195" w:type="pct"/>
                  <w:tcBorders>
                    <w:tl2br w:val="nil"/>
                    <w:tr2bl w:val="nil"/>
                  </w:tcBorders>
                  <w:shd w:val="clear" w:color="auto" w:fill="auto"/>
                  <w:vAlign w:val="center"/>
                </w:tcPr>
                <w:p w14:paraId="3AF4352B">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90%</w:t>
                  </w:r>
                </w:p>
              </w:tc>
              <w:tc>
                <w:tcPr>
                  <w:tcW w:w="141" w:type="pct"/>
                  <w:vMerge w:val="continue"/>
                  <w:tcBorders>
                    <w:tl2br w:val="nil"/>
                    <w:tr2bl w:val="nil"/>
                  </w:tcBorders>
                  <w:shd w:val="clear" w:color="auto" w:fill="auto"/>
                  <w:vAlign w:val="center"/>
                </w:tcPr>
                <w:p w14:paraId="78902FDC">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95" w:type="pct"/>
                  <w:vMerge w:val="continue"/>
                  <w:tcBorders>
                    <w:tl2br w:val="nil"/>
                    <w:tr2bl w:val="nil"/>
                  </w:tcBorders>
                  <w:shd w:val="clear" w:color="auto" w:fill="auto"/>
                  <w:vAlign w:val="center"/>
                </w:tcPr>
                <w:p w14:paraId="22946233">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38" w:type="pct"/>
                  <w:vMerge w:val="continue"/>
                  <w:tcBorders>
                    <w:tl2br w:val="nil"/>
                    <w:tr2bl w:val="nil"/>
                  </w:tcBorders>
                  <w:shd w:val="clear" w:color="auto" w:fill="auto"/>
                  <w:vAlign w:val="center"/>
                </w:tcPr>
                <w:p w14:paraId="47B8E39A">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56" w:type="pct"/>
                  <w:vMerge w:val="continue"/>
                  <w:tcBorders>
                    <w:tl2br w:val="nil"/>
                    <w:tr2bl w:val="nil"/>
                  </w:tcBorders>
                  <w:shd w:val="clear" w:color="auto" w:fill="auto"/>
                  <w:vAlign w:val="center"/>
                </w:tcPr>
                <w:p w14:paraId="030B36F0">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61" w:type="pct"/>
                  <w:vMerge w:val="continue"/>
                  <w:tcBorders>
                    <w:tl2br w:val="nil"/>
                    <w:tr2bl w:val="nil"/>
                  </w:tcBorders>
                  <w:shd w:val="clear" w:color="auto" w:fill="auto"/>
                  <w:vAlign w:val="center"/>
                </w:tcPr>
                <w:p w14:paraId="4BC1350E">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16" w:type="pct"/>
                  <w:vMerge w:val="continue"/>
                  <w:tcBorders>
                    <w:tl2br w:val="nil"/>
                    <w:tr2bl w:val="nil"/>
                  </w:tcBorders>
                  <w:shd w:val="clear" w:color="auto" w:fill="auto"/>
                  <w:vAlign w:val="center"/>
                </w:tcPr>
                <w:p w14:paraId="0C938757">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56" w:type="pct"/>
                  <w:vMerge w:val="continue"/>
                  <w:tcBorders>
                    <w:tl2br w:val="nil"/>
                    <w:tr2bl w:val="nil"/>
                  </w:tcBorders>
                  <w:shd w:val="clear" w:color="auto" w:fill="auto"/>
                  <w:vAlign w:val="center"/>
                </w:tcPr>
                <w:p w14:paraId="4C700CF2">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70" w:type="pct"/>
                  <w:vMerge w:val="continue"/>
                  <w:tcBorders>
                    <w:tl2br w:val="nil"/>
                    <w:tr2bl w:val="nil"/>
                  </w:tcBorders>
                  <w:shd w:val="clear" w:color="auto" w:fill="auto"/>
                  <w:vAlign w:val="center"/>
                </w:tcPr>
                <w:p w14:paraId="6CA4ABF8">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96" w:type="pct"/>
                  <w:vMerge w:val="continue"/>
                  <w:tcBorders>
                    <w:tl2br w:val="nil"/>
                    <w:tr2bl w:val="nil"/>
                  </w:tcBorders>
                  <w:shd w:val="clear" w:color="auto" w:fill="auto"/>
                  <w:vAlign w:val="center"/>
                </w:tcPr>
                <w:p w14:paraId="44BA16D2">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82" w:type="pct"/>
                  <w:vMerge w:val="continue"/>
                  <w:tcBorders>
                    <w:tl2br w:val="nil"/>
                    <w:tr2bl w:val="nil"/>
                  </w:tcBorders>
                  <w:shd w:val="clear" w:color="auto" w:fill="auto"/>
                  <w:vAlign w:val="center"/>
                </w:tcPr>
                <w:p w14:paraId="1DD7D5C7">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323" w:type="pct"/>
                  <w:vMerge w:val="continue"/>
                  <w:tcBorders>
                    <w:tl2br w:val="nil"/>
                    <w:tr2bl w:val="nil"/>
                  </w:tcBorders>
                  <w:shd w:val="clear" w:color="auto" w:fill="auto"/>
                  <w:vAlign w:val="center"/>
                </w:tcPr>
                <w:p w14:paraId="68491501">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298" w:type="pct"/>
                  <w:vMerge w:val="continue"/>
                  <w:tcBorders>
                    <w:tl2br w:val="nil"/>
                    <w:tr2bl w:val="nil"/>
                  </w:tcBorders>
                  <w:shd w:val="clear" w:color="auto" w:fill="auto"/>
                  <w:vAlign w:val="center"/>
                </w:tcPr>
                <w:p w14:paraId="25095939">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42" w:type="pct"/>
                  <w:vMerge w:val="continue"/>
                  <w:tcBorders>
                    <w:tl2br w:val="nil"/>
                    <w:tr2bl w:val="nil"/>
                  </w:tcBorders>
                  <w:shd w:val="clear" w:color="auto" w:fill="auto"/>
                  <w:vAlign w:val="center"/>
                </w:tcPr>
                <w:p w14:paraId="7A60AF97">
                  <w:pPr>
                    <w:widowControl/>
                    <w:adjustRightInd w:val="0"/>
                    <w:snapToGrid w:val="0"/>
                    <w:jc w:val="center"/>
                    <w:textAlignment w:val="center"/>
                    <w:rPr>
                      <w:rFonts w:ascii="Times New Roman" w:hAnsi="Times New Roman" w:eastAsia="宋体" w:cs="Times New Roman"/>
                      <w:color w:val="auto"/>
                      <w:sz w:val="18"/>
                      <w:szCs w:val="18"/>
                      <w:highlight w:val="none"/>
                    </w:rPr>
                  </w:pPr>
                </w:p>
              </w:tc>
            </w:tr>
            <w:tr w14:paraId="63EF02E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0" w:type="pct"/>
                  <w:vMerge w:val="continue"/>
                  <w:tcBorders>
                    <w:tl2br w:val="nil"/>
                    <w:tr2bl w:val="nil"/>
                  </w:tcBorders>
                  <w:shd w:val="clear" w:color="auto" w:fill="auto"/>
                  <w:vAlign w:val="center"/>
                </w:tcPr>
                <w:p w14:paraId="579EC702">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52" w:type="pct"/>
                  <w:tcBorders>
                    <w:tl2br w:val="nil"/>
                    <w:tr2bl w:val="nil"/>
                  </w:tcBorders>
                  <w:shd w:val="clear" w:color="auto" w:fill="auto"/>
                  <w:vAlign w:val="center"/>
                </w:tcPr>
                <w:p w14:paraId="75CD22B2">
                  <w:pPr>
                    <w:widowControl/>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喷塑</w:t>
                  </w:r>
                </w:p>
              </w:tc>
              <w:tc>
                <w:tcPr>
                  <w:tcW w:w="155" w:type="pct"/>
                  <w:tcBorders>
                    <w:tl2br w:val="nil"/>
                    <w:tr2bl w:val="nil"/>
                  </w:tcBorders>
                  <w:shd w:val="clear" w:color="auto" w:fill="auto"/>
                  <w:vAlign w:val="center"/>
                </w:tcPr>
                <w:p w14:paraId="47D3C2B2">
                  <w:pPr>
                    <w:widowControl/>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G3</w:t>
                  </w:r>
                </w:p>
              </w:tc>
              <w:tc>
                <w:tcPr>
                  <w:tcW w:w="165" w:type="pct"/>
                  <w:tcBorders>
                    <w:tl2br w:val="nil"/>
                    <w:tr2bl w:val="nil"/>
                  </w:tcBorders>
                  <w:shd w:val="clear" w:color="auto" w:fill="auto"/>
                  <w:vAlign w:val="center"/>
                </w:tcPr>
                <w:p w14:paraId="3DDE4DCB">
                  <w:pPr>
                    <w:widowControl/>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颗粒物</w:t>
                  </w:r>
                </w:p>
              </w:tc>
              <w:tc>
                <w:tcPr>
                  <w:tcW w:w="261" w:type="pct"/>
                  <w:tcBorders>
                    <w:tl2br w:val="nil"/>
                    <w:tr2bl w:val="nil"/>
                  </w:tcBorders>
                  <w:shd w:val="clear" w:color="auto" w:fill="auto"/>
                  <w:noWrap/>
                  <w:vAlign w:val="center"/>
                </w:tcPr>
                <w:p w14:paraId="33003258">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 xml:space="preserve">833.3 </w:t>
                  </w:r>
                </w:p>
              </w:tc>
              <w:tc>
                <w:tcPr>
                  <w:tcW w:w="222" w:type="pct"/>
                  <w:tcBorders>
                    <w:tl2br w:val="nil"/>
                    <w:tr2bl w:val="nil"/>
                  </w:tcBorders>
                  <w:shd w:val="clear" w:color="auto" w:fill="auto"/>
                  <w:vAlign w:val="center"/>
                </w:tcPr>
                <w:p w14:paraId="18F0D05D">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 xml:space="preserve">12.5 </w:t>
                  </w:r>
                </w:p>
              </w:tc>
              <w:tc>
                <w:tcPr>
                  <w:tcW w:w="223" w:type="pct"/>
                  <w:tcBorders>
                    <w:tl2br w:val="nil"/>
                    <w:tr2bl w:val="nil"/>
                  </w:tcBorders>
                  <w:shd w:val="clear" w:color="auto" w:fill="auto"/>
                  <w:vAlign w:val="center"/>
                </w:tcPr>
                <w:p w14:paraId="108457AD">
                  <w:pPr>
                    <w:widowControl/>
                    <w:jc w:val="center"/>
                    <w:textAlignment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30</w:t>
                  </w:r>
                </w:p>
              </w:tc>
              <w:tc>
                <w:tcPr>
                  <w:tcW w:w="141" w:type="pct"/>
                  <w:tcBorders>
                    <w:tl2br w:val="nil"/>
                    <w:tr2bl w:val="nil"/>
                  </w:tcBorders>
                  <w:shd w:val="clear" w:color="auto" w:fill="auto"/>
                  <w:vAlign w:val="center"/>
                </w:tcPr>
                <w:p w14:paraId="6AA49596">
                  <w:pPr>
                    <w:widowControl/>
                    <w:adjustRightInd w:val="0"/>
                    <w:snapToGrid w:val="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密闭管道</w:t>
                  </w:r>
                </w:p>
              </w:tc>
              <w:tc>
                <w:tcPr>
                  <w:tcW w:w="195" w:type="pct"/>
                  <w:tcBorders>
                    <w:tl2br w:val="nil"/>
                    <w:tr2bl w:val="nil"/>
                  </w:tcBorders>
                  <w:shd w:val="clear" w:color="auto" w:fill="auto"/>
                  <w:vAlign w:val="center"/>
                </w:tcPr>
                <w:p w14:paraId="37E95D0E">
                  <w:pPr>
                    <w:widowControl/>
                    <w:adjustRightInd w:val="0"/>
                    <w:snapToGrid w:val="0"/>
                    <w:jc w:val="center"/>
                    <w:textAlignment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99%</w:t>
                  </w:r>
                </w:p>
              </w:tc>
              <w:tc>
                <w:tcPr>
                  <w:tcW w:w="141" w:type="pct"/>
                  <w:tcBorders>
                    <w:tl2br w:val="nil"/>
                    <w:tr2bl w:val="nil"/>
                  </w:tcBorders>
                  <w:shd w:val="clear" w:color="auto" w:fill="auto"/>
                  <w:vAlign w:val="center"/>
                </w:tcPr>
                <w:p w14:paraId="23CD5096">
                  <w:pPr>
                    <w:widowControl/>
                    <w:adjustRightInd w:val="0"/>
                    <w:snapToGrid w:val="0"/>
                    <w:jc w:val="center"/>
                    <w:textAlignment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sz w:val="18"/>
                      <w:szCs w:val="18"/>
                      <w:highlight w:val="none"/>
                      <w:lang w:eastAsia="zh-CN"/>
                    </w:rPr>
                    <w:t>大旋风+滤芯粉末回收+袋式除尘装置</w:t>
                  </w:r>
                </w:p>
              </w:tc>
              <w:tc>
                <w:tcPr>
                  <w:tcW w:w="195" w:type="pct"/>
                  <w:tcBorders>
                    <w:tl2br w:val="nil"/>
                    <w:tr2bl w:val="nil"/>
                  </w:tcBorders>
                  <w:shd w:val="clear" w:color="auto" w:fill="auto"/>
                  <w:vAlign w:val="center"/>
                </w:tcPr>
                <w:p w14:paraId="7531912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9</w:t>
                  </w:r>
                  <w:r>
                    <w:rPr>
                      <w:rFonts w:hint="eastAsia" w:ascii="Times New Roman" w:hAnsi="Times New Roman" w:eastAsia="宋体" w:cs="Times New Roman"/>
                      <w:color w:val="auto"/>
                      <w:sz w:val="18"/>
                      <w:szCs w:val="18"/>
                      <w:highlight w:val="none"/>
                      <w:lang w:val="en-US" w:eastAsia="zh-CN"/>
                    </w:rPr>
                    <w:t>9</w:t>
                  </w:r>
                  <w:r>
                    <w:rPr>
                      <w:rFonts w:hint="eastAsia" w:ascii="Times New Roman" w:hAnsi="Times New Roman" w:eastAsia="宋体" w:cs="Times New Roman"/>
                      <w:color w:val="auto"/>
                      <w:sz w:val="18"/>
                      <w:szCs w:val="18"/>
                      <w:highlight w:val="none"/>
                    </w:rPr>
                    <w:t>%</w:t>
                  </w:r>
                </w:p>
              </w:tc>
              <w:tc>
                <w:tcPr>
                  <w:tcW w:w="238" w:type="pct"/>
                  <w:tcBorders>
                    <w:tl2br w:val="nil"/>
                    <w:tr2bl w:val="nil"/>
                  </w:tcBorders>
                  <w:shd w:val="clear" w:color="auto" w:fill="auto"/>
                  <w:vAlign w:val="center"/>
                </w:tcPr>
                <w:p w14:paraId="31406548">
                  <w:pPr>
                    <w:widowControl/>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150</w:t>
                  </w:r>
                  <w:r>
                    <w:rPr>
                      <w:rFonts w:ascii="Times New Roman" w:hAnsi="Times New Roman" w:eastAsia="宋体" w:cs="Times New Roman"/>
                      <w:color w:val="auto"/>
                      <w:kern w:val="0"/>
                      <w:sz w:val="18"/>
                      <w:szCs w:val="18"/>
                      <w:highlight w:val="none"/>
                    </w:rPr>
                    <w:t>00</w:t>
                  </w:r>
                  <w:r>
                    <w:rPr>
                      <w:rFonts w:hint="eastAsia" w:ascii="宋体" w:hAnsi="宋体" w:eastAsia="宋体" w:cs="宋体"/>
                      <w:color w:val="auto"/>
                      <w:sz w:val="18"/>
                      <w:szCs w:val="18"/>
                      <w:highlight w:val="none"/>
                      <w:vertAlign w:val="superscript"/>
                    </w:rPr>
                    <w:t>②</w:t>
                  </w:r>
                </w:p>
              </w:tc>
              <w:tc>
                <w:tcPr>
                  <w:tcW w:w="256" w:type="pct"/>
                  <w:tcBorders>
                    <w:tl2br w:val="nil"/>
                    <w:tr2bl w:val="nil"/>
                  </w:tcBorders>
                  <w:shd w:val="clear" w:color="auto" w:fill="auto"/>
                  <w:vAlign w:val="center"/>
                </w:tcPr>
                <w:p w14:paraId="5B7A2068">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0.825 </w:t>
                  </w:r>
                </w:p>
              </w:tc>
              <w:tc>
                <w:tcPr>
                  <w:tcW w:w="261" w:type="pct"/>
                  <w:tcBorders>
                    <w:tl2br w:val="nil"/>
                    <w:tr2bl w:val="nil"/>
                  </w:tcBorders>
                  <w:shd w:val="clear" w:color="auto" w:fill="auto"/>
                  <w:vAlign w:val="center"/>
                </w:tcPr>
                <w:p w14:paraId="562F237F">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0.012 </w:t>
                  </w:r>
                </w:p>
              </w:tc>
              <w:tc>
                <w:tcPr>
                  <w:tcW w:w="216" w:type="pct"/>
                  <w:tcBorders>
                    <w:tl2br w:val="nil"/>
                    <w:tr2bl w:val="nil"/>
                  </w:tcBorders>
                  <w:shd w:val="clear" w:color="auto" w:fill="auto"/>
                  <w:vAlign w:val="center"/>
                </w:tcPr>
                <w:p w14:paraId="290DBF6D">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000000"/>
                      <w:kern w:val="0"/>
                      <w:sz w:val="18"/>
                      <w:szCs w:val="18"/>
                      <w:u w:val="none"/>
                      <w:lang w:val="en-US" w:eastAsia="zh-CN" w:bidi="ar"/>
                    </w:rPr>
                    <w:t xml:space="preserve">0.0297 </w:t>
                  </w:r>
                </w:p>
              </w:tc>
              <w:tc>
                <w:tcPr>
                  <w:tcW w:w="256" w:type="pct"/>
                  <w:tcBorders>
                    <w:tl2br w:val="nil"/>
                    <w:tr2bl w:val="nil"/>
                  </w:tcBorders>
                  <w:shd w:val="clear" w:color="auto" w:fill="auto"/>
                  <w:vAlign w:val="center"/>
                </w:tcPr>
                <w:p w14:paraId="0182914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120</w:t>
                  </w:r>
                </w:p>
              </w:tc>
              <w:tc>
                <w:tcPr>
                  <w:tcW w:w="170" w:type="pct"/>
                  <w:tcBorders>
                    <w:tl2br w:val="nil"/>
                    <w:tr2bl w:val="nil"/>
                  </w:tcBorders>
                  <w:shd w:val="clear" w:color="auto" w:fill="auto"/>
                  <w:vAlign w:val="center"/>
                </w:tcPr>
                <w:p w14:paraId="6E6014C5">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3.5</w:t>
                  </w:r>
                </w:p>
              </w:tc>
              <w:tc>
                <w:tcPr>
                  <w:tcW w:w="296" w:type="pct"/>
                  <w:tcBorders>
                    <w:tl2br w:val="nil"/>
                    <w:tr2bl w:val="nil"/>
                  </w:tcBorders>
                  <w:shd w:val="clear" w:color="auto" w:fill="auto"/>
                  <w:vAlign w:val="center"/>
                </w:tcPr>
                <w:p w14:paraId="19D8283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DA002</w:t>
                  </w:r>
                </w:p>
              </w:tc>
              <w:tc>
                <w:tcPr>
                  <w:tcW w:w="282" w:type="pct"/>
                  <w:tcBorders>
                    <w:tl2br w:val="nil"/>
                    <w:tr2bl w:val="nil"/>
                  </w:tcBorders>
                  <w:shd w:val="clear" w:color="auto" w:fill="auto"/>
                  <w:vAlign w:val="center"/>
                </w:tcPr>
                <w:p w14:paraId="66282621">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w:t>
                  </w:r>
                </w:p>
              </w:tc>
              <w:tc>
                <w:tcPr>
                  <w:tcW w:w="323" w:type="pct"/>
                  <w:tcBorders>
                    <w:tl2br w:val="nil"/>
                    <w:tr2bl w:val="nil"/>
                  </w:tcBorders>
                  <w:shd w:val="clear" w:color="auto" w:fill="auto"/>
                  <w:vAlign w:val="center"/>
                </w:tcPr>
                <w:p w14:paraId="3743FC7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w:t>
                  </w:r>
                  <w:r>
                    <w:rPr>
                      <w:rFonts w:hint="eastAsia" w:ascii="Times New Roman" w:hAnsi="Times New Roman" w:eastAsia="宋体" w:cs="Times New Roman"/>
                      <w:color w:val="auto"/>
                      <w:kern w:val="0"/>
                      <w:sz w:val="18"/>
                      <w:szCs w:val="18"/>
                      <w:highlight w:val="none"/>
                    </w:rPr>
                    <w:t>5</w:t>
                  </w:r>
                  <w:r>
                    <w:rPr>
                      <w:rFonts w:ascii="Times New Roman" w:hAnsi="Times New Roman" w:eastAsia="宋体" w:cs="Times New Roman"/>
                      <w:color w:val="auto"/>
                      <w:kern w:val="0"/>
                      <w:sz w:val="18"/>
                      <w:szCs w:val="18"/>
                      <w:highlight w:val="none"/>
                    </w:rPr>
                    <w:t xml:space="preserve"> </w:t>
                  </w:r>
                </w:p>
              </w:tc>
              <w:tc>
                <w:tcPr>
                  <w:tcW w:w="298" w:type="pct"/>
                  <w:tcBorders>
                    <w:tl2br w:val="nil"/>
                    <w:tr2bl w:val="nil"/>
                  </w:tcBorders>
                  <w:shd w:val="clear" w:color="auto" w:fill="auto"/>
                  <w:vAlign w:val="center"/>
                </w:tcPr>
                <w:p w14:paraId="4D00E43D">
                  <w:pPr>
                    <w:widowControl/>
                    <w:adjustRightInd w:val="0"/>
                    <w:snapToGrid w:val="0"/>
                    <w:jc w:val="center"/>
                    <w:textAlignment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常温</w:t>
                  </w:r>
                </w:p>
              </w:tc>
              <w:tc>
                <w:tcPr>
                  <w:tcW w:w="142" w:type="pct"/>
                  <w:tcBorders>
                    <w:tl2br w:val="nil"/>
                    <w:tr2bl w:val="nil"/>
                  </w:tcBorders>
                  <w:shd w:val="clear" w:color="auto" w:fill="auto"/>
                  <w:vAlign w:val="center"/>
                </w:tcPr>
                <w:p w14:paraId="64A61B7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连续</w:t>
                  </w:r>
                </w:p>
              </w:tc>
            </w:tr>
            <w:tr w14:paraId="3BCBA17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400" w:type="pct"/>
                  <w:vMerge w:val="continue"/>
                  <w:tcBorders>
                    <w:tl2br w:val="nil"/>
                    <w:tr2bl w:val="nil"/>
                  </w:tcBorders>
                  <w:shd w:val="clear" w:color="auto" w:fill="auto"/>
                  <w:vAlign w:val="center"/>
                </w:tcPr>
                <w:p w14:paraId="4AEEAA95">
                  <w:pPr>
                    <w:widowControl/>
                    <w:adjustRightInd w:val="0"/>
                    <w:snapToGrid w:val="0"/>
                    <w:jc w:val="center"/>
                    <w:textAlignment w:val="center"/>
                    <w:rPr>
                      <w:rFonts w:ascii="Times New Roman" w:hAnsi="Times New Roman" w:eastAsia="宋体" w:cs="Times New Roman"/>
                      <w:color w:val="auto"/>
                      <w:sz w:val="18"/>
                      <w:szCs w:val="18"/>
                      <w:highlight w:val="none"/>
                    </w:rPr>
                  </w:pPr>
                </w:p>
              </w:tc>
              <w:tc>
                <w:tcPr>
                  <w:tcW w:w="152" w:type="pct"/>
                  <w:tcBorders>
                    <w:tl2br w:val="nil"/>
                    <w:tr2bl w:val="nil"/>
                  </w:tcBorders>
                  <w:shd w:val="clear" w:color="auto" w:fill="auto"/>
                  <w:vAlign w:val="center"/>
                </w:tcPr>
                <w:p w14:paraId="78CCEA70">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固化</w:t>
                  </w:r>
                </w:p>
              </w:tc>
              <w:tc>
                <w:tcPr>
                  <w:tcW w:w="155" w:type="pct"/>
                  <w:tcBorders>
                    <w:tl2br w:val="nil"/>
                    <w:tr2bl w:val="nil"/>
                  </w:tcBorders>
                  <w:shd w:val="clear" w:color="auto" w:fill="auto"/>
                  <w:vAlign w:val="center"/>
                </w:tcPr>
                <w:p w14:paraId="32CBC5C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G4</w:t>
                  </w:r>
                </w:p>
              </w:tc>
              <w:tc>
                <w:tcPr>
                  <w:tcW w:w="165" w:type="pct"/>
                  <w:tcBorders>
                    <w:tl2br w:val="nil"/>
                    <w:tr2bl w:val="nil"/>
                  </w:tcBorders>
                  <w:shd w:val="clear" w:color="auto" w:fill="auto"/>
                  <w:vAlign w:val="center"/>
                </w:tcPr>
                <w:p w14:paraId="093ACADD">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非甲烷总烃</w:t>
                  </w:r>
                </w:p>
              </w:tc>
              <w:tc>
                <w:tcPr>
                  <w:tcW w:w="261" w:type="pct"/>
                  <w:tcBorders>
                    <w:tl2br w:val="nil"/>
                    <w:tr2bl w:val="nil"/>
                  </w:tcBorders>
                  <w:shd w:val="clear" w:color="auto" w:fill="auto"/>
                  <w:noWrap/>
                  <w:vAlign w:val="center"/>
                </w:tcPr>
                <w:p w14:paraId="200B549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w:t>
                  </w:r>
                </w:p>
              </w:tc>
              <w:tc>
                <w:tcPr>
                  <w:tcW w:w="222" w:type="pct"/>
                  <w:tcBorders>
                    <w:tl2br w:val="nil"/>
                    <w:tr2bl w:val="nil"/>
                  </w:tcBorders>
                  <w:shd w:val="clear" w:color="auto" w:fill="auto"/>
                  <w:vAlign w:val="center"/>
                </w:tcPr>
                <w:p w14:paraId="288F3F4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0.05</w:t>
                  </w:r>
                </w:p>
              </w:tc>
              <w:tc>
                <w:tcPr>
                  <w:tcW w:w="223" w:type="pct"/>
                  <w:tcBorders>
                    <w:tl2br w:val="nil"/>
                    <w:tr2bl w:val="nil"/>
                  </w:tcBorders>
                  <w:shd w:val="clear" w:color="auto" w:fill="auto"/>
                  <w:vAlign w:val="center"/>
                </w:tcPr>
                <w:p w14:paraId="58A25D9B">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0.12</w:t>
                  </w:r>
                </w:p>
              </w:tc>
              <w:tc>
                <w:tcPr>
                  <w:tcW w:w="141" w:type="pct"/>
                  <w:tcBorders>
                    <w:tl2br w:val="nil"/>
                    <w:tr2bl w:val="nil"/>
                  </w:tcBorders>
                  <w:shd w:val="clear" w:color="auto" w:fill="auto"/>
                  <w:vAlign w:val="center"/>
                </w:tcPr>
                <w:p w14:paraId="3ABFDC43">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密闭管道</w:t>
                  </w:r>
                </w:p>
              </w:tc>
              <w:tc>
                <w:tcPr>
                  <w:tcW w:w="195" w:type="pct"/>
                  <w:tcBorders>
                    <w:tl2br w:val="nil"/>
                    <w:tr2bl w:val="nil"/>
                  </w:tcBorders>
                  <w:shd w:val="clear" w:color="auto" w:fill="auto"/>
                  <w:vAlign w:val="center"/>
                </w:tcPr>
                <w:p w14:paraId="21E6354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99</w:t>
                  </w:r>
                  <w:r>
                    <w:rPr>
                      <w:rFonts w:ascii="Times New Roman" w:hAnsi="Times New Roman" w:eastAsia="宋体" w:cs="Times New Roman"/>
                      <w:color w:val="auto"/>
                      <w:kern w:val="0"/>
                      <w:sz w:val="18"/>
                      <w:szCs w:val="18"/>
                      <w:highlight w:val="none"/>
                    </w:rPr>
                    <w:t>%</w:t>
                  </w:r>
                </w:p>
              </w:tc>
              <w:tc>
                <w:tcPr>
                  <w:tcW w:w="141" w:type="pct"/>
                  <w:tcBorders>
                    <w:tl2br w:val="nil"/>
                    <w:tr2bl w:val="nil"/>
                  </w:tcBorders>
                  <w:shd w:val="clear" w:color="auto" w:fill="auto"/>
                  <w:vAlign w:val="center"/>
                </w:tcPr>
                <w:p w14:paraId="7F25EB8C">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二级活性炭吸附</w:t>
                  </w:r>
                </w:p>
              </w:tc>
              <w:tc>
                <w:tcPr>
                  <w:tcW w:w="195" w:type="pct"/>
                  <w:tcBorders>
                    <w:tl2br w:val="nil"/>
                    <w:tr2bl w:val="nil"/>
                  </w:tcBorders>
                  <w:shd w:val="clear" w:color="auto" w:fill="auto"/>
                  <w:vAlign w:val="center"/>
                </w:tcPr>
                <w:p w14:paraId="3892429F">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9</w:t>
                  </w:r>
                  <w:r>
                    <w:rPr>
                      <w:rFonts w:hint="eastAsia" w:ascii="Times New Roman" w:hAnsi="Times New Roman" w:eastAsia="宋体" w:cs="Times New Roman"/>
                      <w:color w:val="auto"/>
                      <w:kern w:val="0"/>
                      <w:sz w:val="18"/>
                      <w:szCs w:val="18"/>
                      <w:highlight w:val="none"/>
                    </w:rPr>
                    <w:t>0</w:t>
                  </w:r>
                  <w:r>
                    <w:rPr>
                      <w:rFonts w:ascii="Times New Roman" w:hAnsi="Times New Roman" w:eastAsia="宋体" w:cs="Times New Roman"/>
                      <w:color w:val="auto"/>
                      <w:kern w:val="0"/>
                      <w:sz w:val="18"/>
                      <w:szCs w:val="18"/>
                      <w:highlight w:val="none"/>
                    </w:rPr>
                    <w:t>%</w:t>
                  </w:r>
                </w:p>
              </w:tc>
              <w:tc>
                <w:tcPr>
                  <w:tcW w:w="238" w:type="pct"/>
                  <w:tcBorders>
                    <w:tl2br w:val="nil"/>
                    <w:tr2bl w:val="nil"/>
                  </w:tcBorders>
                  <w:shd w:val="clear" w:color="auto" w:fill="auto"/>
                  <w:vAlign w:val="center"/>
                </w:tcPr>
                <w:p w14:paraId="2637EF6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rPr>
                    <w:t>10</w:t>
                  </w:r>
                  <w:r>
                    <w:rPr>
                      <w:rFonts w:ascii="Times New Roman" w:hAnsi="Times New Roman" w:eastAsia="宋体" w:cs="Times New Roman"/>
                      <w:color w:val="auto"/>
                      <w:kern w:val="0"/>
                      <w:sz w:val="18"/>
                      <w:szCs w:val="18"/>
                      <w:highlight w:val="none"/>
                    </w:rPr>
                    <w:t>000</w:t>
                  </w:r>
                  <w:r>
                    <w:rPr>
                      <w:rFonts w:hint="eastAsia" w:ascii="宋体" w:hAnsi="宋体" w:eastAsia="宋体" w:cs="宋体"/>
                      <w:color w:val="auto"/>
                      <w:sz w:val="18"/>
                      <w:szCs w:val="18"/>
                      <w:highlight w:val="none"/>
                      <w:vertAlign w:val="superscript"/>
                    </w:rPr>
                    <w:t>③</w:t>
                  </w:r>
                </w:p>
              </w:tc>
              <w:tc>
                <w:tcPr>
                  <w:tcW w:w="256" w:type="pct"/>
                  <w:tcBorders>
                    <w:tl2br w:val="nil"/>
                    <w:tr2bl w:val="nil"/>
                  </w:tcBorders>
                  <w:shd w:val="clear" w:color="auto" w:fill="auto"/>
                  <w:vAlign w:val="center"/>
                </w:tcPr>
                <w:p w14:paraId="3FA13CFA">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0.495 </w:t>
                  </w:r>
                </w:p>
              </w:tc>
              <w:tc>
                <w:tcPr>
                  <w:tcW w:w="261" w:type="pct"/>
                  <w:tcBorders>
                    <w:tl2br w:val="nil"/>
                    <w:tr2bl w:val="nil"/>
                  </w:tcBorders>
                  <w:shd w:val="clear" w:color="auto" w:fill="auto"/>
                  <w:vAlign w:val="center"/>
                </w:tcPr>
                <w:p w14:paraId="676BB70F">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0.005 </w:t>
                  </w:r>
                </w:p>
              </w:tc>
              <w:tc>
                <w:tcPr>
                  <w:tcW w:w="216" w:type="pct"/>
                  <w:tcBorders>
                    <w:tl2br w:val="nil"/>
                    <w:tr2bl w:val="nil"/>
                  </w:tcBorders>
                  <w:shd w:val="clear" w:color="auto" w:fill="auto"/>
                  <w:vAlign w:val="center"/>
                </w:tcPr>
                <w:p w14:paraId="1151326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 xml:space="preserve">0.0119 </w:t>
                  </w:r>
                </w:p>
              </w:tc>
              <w:tc>
                <w:tcPr>
                  <w:tcW w:w="256" w:type="pct"/>
                  <w:tcBorders>
                    <w:tl2br w:val="nil"/>
                    <w:tr2bl w:val="nil"/>
                  </w:tcBorders>
                  <w:shd w:val="clear" w:color="auto" w:fill="auto"/>
                  <w:vAlign w:val="center"/>
                </w:tcPr>
                <w:p w14:paraId="09E36D13">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40</w:t>
                  </w:r>
                </w:p>
              </w:tc>
              <w:tc>
                <w:tcPr>
                  <w:tcW w:w="170" w:type="pct"/>
                  <w:tcBorders>
                    <w:tl2br w:val="nil"/>
                    <w:tr2bl w:val="nil"/>
                  </w:tcBorders>
                  <w:shd w:val="clear" w:color="auto" w:fill="auto"/>
                  <w:vAlign w:val="center"/>
                </w:tcPr>
                <w:p w14:paraId="1BD2D854">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w:t>
                  </w:r>
                </w:p>
              </w:tc>
              <w:tc>
                <w:tcPr>
                  <w:tcW w:w="296" w:type="pct"/>
                  <w:tcBorders>
                    <w:tl2br w:val="nil"/>
                    <w:tr2bl w:val="nil"/>
                  </w:tcBorders>
                  <w:shd w:val="clear" w:color="auto" w:fill="auto"/>
                  <w:vAlign w:val="center"/>
                </w:tcPr>
                <w:p w14:paraId="70605F11">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DA00</w:t>
                  </w:r>
                  <w:r>
                    <w:rPr>
                      <w:rFonts w:hint="eastAsia" w:ascii="Times New Roman" w:hAnsi="Times New Roman" w:eastAsia="宋体" w:cs="Times New Roman"/>
                      <w:color w:val="auto"/>
                      <w:kern w:val="0"/>
                      <w:sz w:val="18"/>
                      <w:szCs w:val="18"/>
                      <w:highlight w:val="none"/>
                    </w:rPr>
                    <w:t>3</w:t>
                  </w:r>
                </w:p>
              </w:tc>
              <w:tc>
                <w:tcPr>
                  <w:tcW w:w="282" w:type="pct"/>
                  <w:tcBorders>
                    <w:tl2br w:val="nil"/>
                    <w:tr2bl w:val="nil"/>
                  </w:tcBorders>
                  <w:shd w:val="clear" w:color="auto" w:fill="auto"/>
                  <w:vAlign w:val="center"/>
                </w:tcPr>
                <w:p w14:paraId="5F79CD5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w:t>
                  </w:r>
                </w:p>
              </w:tc>
              <w:tc>
                <w:tcPr>
                  <w:tcW w:w="323" w:type="pct"/>
                  <w:tcBorders>
                    <w:tl2br w:val="nil"/>
                    <w:tr2bl w:val="nil"/>
                  </w:tcBorders>
                  <w:shd w:val="clear" w:color="auto" w:fill="auto"/>
                  <w:vAlign w:val="center"/>
                </w:tcPr>
                <w:p w14:paraId="1336F03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w:t>
                  </w:r>
                  <w:r>
                    <w:rPr>
                      <w:rFonts w:hint="eastAsia" w:ascii="Times New Roman" w:hAnsi="Times New Roman" w:eastAsia="宋体" w:cs="Times New Roman"/>
                      <w:color w:val="auto"/>
                      <w:kern w:val="0"/>
                      <w:sz w:val="18"/>
                      <w:szCs w:val="18"/>
                      <w:highlight w:val="none"/>
                    </w:rPr>
                    <w:t>.5</w:t>
                  </w:r>
                </w:p>
              </w:tc>
              <w:tc>
                <w:tcPr>
                  <w:tcW w:w="298" w:type="pct"/>
                  <w:tcBorders>
                    <w:tl2br w:val="nil"/>
                    <w:tr2bl w:val="nil"/>
                  </w:tcBorders>
                  <w:shd w:val="clear" w:color="auto" w:fill="auto"/>
                  <w:vAlign w:val="center"/>
                </w:tcPr>
                <w:p w14:paraId="53838AE2">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30</w:t>
                  </w:r>
                </w:p>
              </w:tc>
              <w:tc>
                <w:tcPr>
                  <w:tcW w:w="142" w:type="pct"/>
                  <w:tcBorders>
                    <w:tl2br w:val="nil"/>
                    <w:tr2bl w:val="nil"/>
                  </w:tcBorders>
                  <w:shd w:val="clear" w:color="auto" w:fill="auto"/>
                  <w:vAlign w:val="center"/>
                </w:tcPr>
                <w:p w14:paraId="0F11F95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连续</w:t>
                  </w:r>
                </w:p>
              </w:tc>
            </w:tr>
          </w:tbl>
          <w:p w14:paraId="6975D674">
            <w:pPr>
              <w:snapToGrid w:val="0"/>
              <w:spacing w:line="276"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注：</w:t>
            </w:r>
            <w:r>
              <w:rPr>
                <w:rFonts w:hint="eastAsia" w:ascii="宋体" w:hAnsi="宋体" w:eastAsia="宋体" w:cs="宋体"/>
                <w:color w:val="auto"/>
                <w:sz w:val="18"/>
                <w:szCs w:val="18"/>
                <w:highlight w:val="none"/>
              </w:rPr>
              <w:t>①</w:t>
            </w:r>
            <w:r>
              <w:rPr>
                <w:rFonts w:ascii="Times New Roman" w:hAnsi="Times New Roman" w:eastAsia="宋体" w:cs="Times New Roman"/>
                <w:color w:val="auto"/>
                <w:sz w:val="18"/>
                <w:szCs w:val="18"/>
                <w:highlight w:val="none"/>
              </w:rPr>
              <w:t>根据设计单位提供资料，切割和焊接工位控制风速Vx=1m/s，切割上方1个集气罩罩口尺寸为0.3m×0.3m，焊接工位上方5个集气罩每个罩口尺寸为0.25m×0.25m，罩口距离废气出口高度为H= 0.3m，根据集风系统风量估算公式：Q=K（a+b）×h×V</w:t>
            </w:r>
            <w:r>
              <w:rPr>
                <w:rFonts w:ascii="Times New Roman" w:hAnsi="Times New Roman" w:eastAsia="宋体" w:cs="Times New Roman"/>
                <w:color w:val="auto"/>
                <w:sz w:val="18"/>
                <w:szCs w:val="18"/>
                <w:highlight w:val="none"/>
                <w:vertAlign w:val="subscript"/>
              </w:rPr>
              <w:t>0</w:t>
            </w:r>
            <w:r>
              <w:rPr>
                <w:rFonts w:ascii="Times New Roman" w:hAnsi="Times New Roman" w:eastAsia="宋体" w:cs="Times New Roman"/>
                <w:color w:val="auto"/>
                <w:sz w:val="18"/>
                <w:szCs w:val="18"/>
                <w:highlight w:val="none"/>
              </w:rPr>
              <w:t>×3600，其中：K：为安全系数，取1.4；（a+b）：为集气罩周长，单位为m；H：为罩口至污染源的距离，单位为m；V</w:t>
            </w:r>
            <w:r>
              <w:rPr>
                <w:rFonts w:hint="eastAsia" w:ascii="Times New Roman" w:hAnsi="Times New Roman" w:eastAsia="宋体" w:cs="Times New Roman"/>
                <w:color w:val="auto"/>
                <w:sz w:val="18"/>
                <w:szCs w:val="18"/>
                <w:highlight w:val="none"/>
                <w:vertAlign w:val="subscript"/>
                <w:lang w:val="en-US" w:eastAsia="zh-CN"/>
              </w:rPr>
              <w:t>0</w:t>
            </w:r>
            <w:r>
              <w:rPr>
                <w:rFonts w:ascii="Times New Roman" w:hAnsi="Times New Roman" w:eastAsia="宋体" w:cs="Times New Roman"/>
                <w:color w:val="auto"/>
                <w:sz w:val="18"/>
                <w:szCs w:val="18"/>
                <w:highlight w:val="none"/>
              </w:rPr>
              <w:t>：为污染源气体流速，本项目取1。</w:t>
            </w:r>
          </w:p>
          <w:p w14:paraId="2D65864C">
            <w:pPr>
              <w:snapToGrid w:val="0"/>
              <w:spacing w:line="276" w:lineRule="auto"/>
              <w:ind w:firstLine="360" w:firstLineChars="200"/>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计算得顶吸风风量约为9374.4m</w:t>
            </w:r>
            <w:r>
              <w:rPr>
                <w:rFonts w:ascii="Times New Roman" w:hAnsi="Times New Roman" w:eastAsia="宋体" w:cs="Times New Roman"/>
                <w:color w:val="auto"/>
                <w:sz w:val="18"/>
                <w:szCs w:val="18"/>
                <w:highlight w:val="none"/>
                <w:vertAlign w:val="superscript"/>
              </w:rPr>
              <w:t>3</w:t>
            </w:r>
            <w:r>
              <w:rPr>
                <w:rFonts w:ascii="Times New Roman" w:hAnsi="Times New Roman" w:eastAsia="宋体" w:cs="Times New Roman"/>
                <w:color w:val="auto"/>
                <w:sz w:val="18"/>
                <w:szCs w:val="18"/>
                <w:highlight w:val="none"/>
              </w:rPr>
              <w:t>/h，本项目1#排气筒风量为10000m³/h。</w:t>
            </w:r>
          </w:p>
          <w:p w14:paraId="4E89633F">
            <w:pPr>
              <w:snapToGrid w:val="0"/>
              <w:spacing w:line="276" w:lineRule="auto"/>
              <w:ind w:firstLine="360" w:firstLineChars="200"/>
              <w:rPr>
                <w:rFonts w:ascii="Times New Roman" w:hAnsi="Times New Roman" w:eastAsia="宋体" w:cs="Times New Roman"/>
                <w:color w:val="auto"/>
                <w:sz w:val="18"/>
                <w:szCs w:val="18"/>
                <w:highlight w:val="none"/>
              </w:rPr>
            </w:pPr>
            <w:r>
              <w:rPr>
                <w:rFonts w:hint="eastAsia" w:ascii="宋体" w:hAnsi="宋体" w:eastAsia="宋体" w:cs="宋体"/>
                <w:color w:val="auto"/>
                <w:sz w:val="18"/>
                <w:szCs w:val="18"/>
                <w:highlight w:val="none"/>
              </w:rPr>
              <w:t>②</w:t>
            </w:r>
            <w:r>
              <w:rPr>
                <w:rFonts w:ascii="Times New Roman" w:hAnsi="Times New Roman" w:eastAsia="宋体" w:cs="Times New Roman"/>
                <w:color w:val="auto"/>
                <w:sz w:val="18"/>
                <w:szCs w:val="18"/>
                <w:highlight w:val="none"/>
              </w:rPr>
              <w:t>根据设计单位提供资料</w:t>
            </w:r>
            <w:r>
              <w:rPr>
                <w:rFonts w:hint="eastAsia" w:ascii="Times New Roman" w:hAnsi="Times New Roman" w:eastAsia="宋体" w:cs="Times New Roman"/>
                <w:color w:val="auto"/>
                <w:sz w:val="18"/>
                <w:szCs w:val="18"/>
                <w:highlight w:val="none"/>
              </w:rPr>
              <w:t>，本项目建设一个喷塑间，尺寸为25×10×3m，喷塑间每小时换气20次，则排放废气量为15000m³/h。</w:t>
            </w:r>
          </w:p>
          <w:p w14:paraId="01D5F95D">
            <w:pPr>
              <w:snapToGrid w:val="0"/>
              <w:spacing w:line="276" w:lineRule="auto"/>
              <w:ind w:firstLine="360" w:firstLineChars="200"/>
              <w:rPr>
                <w:rFonts w:ascii="Times New Roman" w:hAnsi="Times New Roman" w:eastAsia="宋体" w:cs="Times New Roman"/>
                <w:color w:val="auto"/>
                <w:sz w:val="18"/>
                <w:szCs w:val="18"/>
                <w:highlight w:val="none"/>
              </w:rPr>
            </w:pPr>
            <w:r>
              <w:rPr>
                <w:rFonts w:hint="eastAsia" w:ascii="宋体" w:hAnsi="宋体" w:eastAsia="宋体" w:cs="宋体"/>
                <w:color w:val="auto"/>
                <w:sz w:val="18"/>
                <w:szCs w:val="18"/>
                <w:highlight w:val="none"/>
              </w:rPr>
              <w:t>③</w:t>
            </w:r>
            <w:r>
              <w:rPr>
                <w:rFonts w:ascii="Times New Roman" w:hAnsi="Times New Roman" w:eastAsia="宋体" w:cs="Times New Roman"/>
                <w:color w:val="auto"/>
                <w:sz w:val="18"/>
                <w:szCs w:val="18"/>
                <w:highlight w:val="none"/>
              </w:rPr>
              <w:t>根据设计单位提供资料</w:t>
            </w:r>
            <w:r>
              <w:rPr>
                <w:rFonts w:hint="eastAsia" w:ascii="Times New Roman" w:hAnsi="Times New Roman" w:eastAsia="宋体" w:cs="Times New Roman"/>
                <w:color w:val="auto"/>
                <w:sz w:val="18"/>
                <w:szCs w:val="18"/>
                <w:highlight w:val="none"/>
              </w:rPr>
              <w:t>，本项目共设三个固化间，尺寸分别为32×3×4m一个，6×2.5×3m两个，固化间每小时换气20次，则排放废气量为9480m³/h，本项目设置风量为</w:t>
            </w:r>
            <w:r>
              <w:rPr>
                <w:rFonts w:ascii="Times New Roman" w:hAnsi="Times New Roman" w:eastAsia="宋体" w:cs="Times New Roman"/>
                <w:color w:val="auto"/>
                <w:sz w:val="18"/>
                <w:szCs w:val="18"/>
                <w:highlight w:val="none"/>
              </w:rPr>
              <w:t>10000m³/h</w:t>
            </w:r>
            <w:r>
              <w:rPr>
                <w:rFonts w:hint="eastAsia" w:ascii="Times New Roman" w:hAnsi="Times New Roman" w:eastAsia="宋体" w:cs="Times New Roman"/>
                <w:color w:val="auto"/>
                <w:sz w:val="18"/>
                <w:szCs w:val="18"/>
                <w:highlight w:val="none"/>
              </w:rPr>
              <w:t>。</w:t>
            </w:r>
          </w:p>
          <w:p w14:paraId="30A4382A">
            <w:pPr>
              <w:adjustRightInd w:val="0"/>
              <w:spacing w:line="324" w:lineRule="auto"/>
              <w:jc w:val="center"/>
              <w:rPr>
                <w:rFonts w:ascii="Times New Roman" w:hAnsi="Times New Roman" w:eastAsia="黑体" w:cs="Times New Roman"/>
                <w:color w:val="auto"/>
                <w:sz w:val="24"/>
                <w:highlight w:val="none"/>
              </w:rPr>
            </w:pPr>
            <w:r>
              <w:rPr>
                <w:rFonts w:hint="eastAsia" w:ascii="Times New Roman" w:hAnsi="Times New Roman" w:eastAsia="黑体" w:cs="Times New Roman"/>
                <w:color w:val="auto"/>
                <w:sz w:val="24"/>
                <w:highlight w:val="none"/>
              </w:rPr>
              <w:t>表4-4  项目有组织废气排放口一览表</w:t>
            </w:r>
          </w:p>
          <w:tbl>
            <w:tblPr>
              <w:tblStyle w:val="18"/>
              <w:tblW w:w="13958" w:type="dxa"/>
              <w:tblInd w:w="0" w:type="dxa"/>
              <w:tblLayout w:type="fixed"/>
              <w:tblCellMar>
                <w:top w:w="0" w:type="dxa"/>
                <w:left w:w="108" w:type="dxa"/>
                <w:bottom w:w="0" w:type="dxa"/>
                <w:right w:w="108" w:type="dxa"/>
              </w:tblCellMar>
            </w:tblPr>
            <w:tblGrid>
              <w:gridCol w:w="847"/>
              <w:gridCol w:w="1129"/>
              <w:gridCol w:w="967"/>
              <w:gridCol w:w="1380"/>
              <w:gridCol w:w="1185"/>
              <w:gridCol w:w="1058"/>
              <w:gridCol w:w="1338"/>
              <w:gridCol w:w="1389"/>
              <w:gridCol w:w="902"/>
              <w:gridCol w:w="972"/>
              <w:gridCol w:w="986"/>
              <w:gridCol w:w="687"/>
              <w:gridCol w:w="1118"/>
            </w:tblGrid>
            <w:tr w14:paraId="1E72E276">
              <w:tblPrEx>
                <w:tblCellMar>
                  <w:top w:w="0" w:type="dxa"/>
                  <w:left w:w="108" w:type="dxa"/>
                  <w:bottom w:w="0" w:type="dxa"/>
                  <w:right w:w="108" w:type="dxa"/>
                </w:tblCellMar>
              </w:tblPrEx>
              <w:trPr>
                <w:trHeight w:val="510" w:hRule="atLeast"/>
              </w:trPr>
              <w:tc>
                <w:tcPr>
                  <w:tcW w:w="303" w:type="pct"/>
                  <w:vMerge w:val="restart"/>
                  <w:tcBorders>
                    <w:top w:val="single" w:color="auto" w:sz="8" w:space="0"/>
                    <w:left w:val="single" w:color="auto" w:sz="4" w:space="0"/>
                    <w:bottom w:val="single" w:color="auto" w:sz="4" w:space="0"/>
                    <w:right w:val="single" w:color="auto" w:sz="4" w:space="0"/>
                  </w:tcBorders>
                  <w:vAlign w:val="center"/>
                </w:tcPr>
                <w:p w14:paraId="605BB322">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排放口编号</w:t>
                  </w:r>
                </w:p>
              </w:tc>
              <w:tc>
                <w:tcPr>
                  <w:tcW w:w="404" w:type="pct"/>
                  <w:vMerge w:val="restart"/>
                  <w:tcBorders>
                    <w:top w:val="single" w:color="auto" w:sz="8" w:space="0"/>
                    <w:left w:val="single" w:color="auto" w:sz="4" w:space="0"/>
                    <w:bottom w:val="single" w:color="auto" w:sz="4" w:space="0"/>
                    <w:right w:val="single" w:color="auto" w:sz="4" w:space="0"/>
                  </w:tcBorders>
                  <w:vAlign w:val="center"/>
                </w:tcPr>
                <w:p w14:paraId="60D6DBD5">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排放口名称</w:t>
                  </w:r>
                </w:p>
              </w:tc>
              <w:tc>
                <w:tcPr>
                  <w:tcW w:w="346" w:type="pct"/>
                  <w:vMerge w:val="restart"/>
                  <w:tcBorders>
                    <w:top w:val="single" w:color="auto" w:sz="8" w:space="0"/>
                    <w:left w:val="single" w:color="auto" w:sz="4" w:space="0"/>
                    <w:bottom w:val="single" w:color="auto" w:sz="4" w:space="0"/>
                    <w:right w:val="single" w:color="auto" w:sz="4" w:space="0"/>
                  </w:tcBorders>
                  <w:vAlign w:val="center"/>
                </w:tcPr>
                <w:p w14:paraId="22FBC985">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废气类型</w:t>
                  </w:r>
                </w:p>
              </w:tc>
              <w:tc>
                <w:tcPr>
                  <w:tcW w:w="918" w:type="pct"/>
                  <w:gridSpan w:val="2"/>
                  <w:tcBorders>
                    <w:top w:val="single" w:color="auto" w:sz="8" w:space="0"/>
                    <w:left w:val="single" w:color="auto" w:sz="4" w:space="0"/>
                    <w:bottom w:val="single" w:color="auto" w:sz="4" w:space="0"/>
                    <w:right w:val="single" w:color="auto" w:sz="4" w:space="0"/>
                  </w:tcBorders>
                  <w:vAlign w:val="center"/>
                </w:tcPr>
                <w:p w14:paraId="0CAB68A4">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地理坐标</w:t>
                  </w:r>
                </w:p>
              </w:tc>
              <w:tc>
                <w:tcPr>
                  <w:tcW w:w="378" w:type="pct"/>
                  <w:vMerge w:val="restart"/>
                  <w:tcBorders>
                    <w:top w:val="single" w:color="auto" w:sz="8" w:space="0"/>
                    <w:left w:val="single" w:color="auto" w:sz="4" w:space="0"/>
                    <w:bottom w:val="single" w:color="auto" w:sz="4" w:space="0"/>
                    <w:right w:val="single" w:color="auto" w:sz="4" w:space="0"/>
                  </w:tcBorders>
                  <w:vAlign w:val="center"/>
                </w:tcPr>
                <w:p w14:paraId="472CC5EE">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污染物</w:t>
                  </w:r>
                </w:p>
              </w:tc>
              <w:tc>
                <w:tcPr>
                  <w:tcW w:w="976" w:type="pct"/>
                  <w:gridSpan w:val="2"/>
                  <w:tcBorders>
                    <w:top w:val="single" w:color="auto" w:sz="8" w:space="0"/>
                    <w:left w:val="single" w:color="auto" w:sz="4" w:space="0"/>
                    <w:bottom w:val="single" w:color="auto" w:sz="4" w:space="0"/>
                    <w:right w:val="single" w:color="auto" w:sz="4" w:space="0"/>
                  </w:tcBorders>
                  <w:vAlign w:val="center"/>
                </w:tcPr>
                <w:p w14:paraId="2A37711D">
                  <w:pPr>
                    <w:widowControl/>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排放标准</w:t>
                  </w:r>
                </w:p>
              </w:tc>
              <w:tc>
                <w:tcPr>
                  <w:tcW w:w="1024" w:type="pct"/>
                  <w:gridSpan w:val="3"/>
                  <w:tcBorders>
                    <w:top w:val="single" w:color="auto" w:sz="8" w:space="0"/>
                    <w:left w:val="single" w:color="auto" w:sz="4" w:space="0"/>
                    <w:bottom w:val="single" w:color="auto" w:sz="4" w:space="0"/>
                    <w:right w:val="single" w:color="auto" w:sz="4" w:space="0"/>
                  </w:tcBorders>
                  <w:vAlign w:val="center"/>
                </w:tcPr>
                <w:p w14:paraId="58A0A27E">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排气筒参数</w:t>
                  </w:r>
                </w:p>
              </w:tc>
              <w:tc>
                <w:tcPr>
                  <w:tcW w:w="246" w:type="pct"/>
                  <w:vMerge w:val="restart"/>
                  <w:tcBorders>
                    <w:top w:val="single" w:color="auto" w:sz="8" w:space="0"/>
                    <w:left w:val="single" w:color="auto" w:sz="4" w:space="0"/>
                    <w:bottom w:val="single" w:color="auto" w:sz="4" w:space="0"/>
                    <w:right w:val="single" w:color="auto" w:sz="4" w:space="0"/>
                  </w:tcBorders>
                  <w:vAlign w:val="center"/>
                </w:tcPr>
                <w:p w14:paraId="424FC85B">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达标情况</w:t>
                  </w:r>
                </w:p>
              </w:tc>
              <w:tc>
                <w:tcPr>
                  <w:tcW w:w="400" w:type="pct"/>
                  <w:vMerge w:val="restart"/>
                  <w:tcBorders>
                    <w:top w:val="single" w:color="auto" w:sz="8" w:space="0"/>
                    <w:left w:val="single" w:color="auto" w:sz="4" w:space="0"/>
                    <w:bottom w:val="single" w:color="auto" w:sz="4" w:space="0"/>
                    <w:right w:val="nil"/>
                  </w:tcBorders>
                  <w:vAlign w:val="center"/>
                </w:tcPr>
                <w:p w14:paraId="76F5AAA5">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排放口类型</w:t>
                  </w:r>
                </w:p>
              </w:tc>
            </w:tr>
            <w:tr w14:paraId="1458C65F">
              <w:tblPrEx>
                <w:tblCellMar>
                  <w:top w:w="0" w:type="dxa"/>
                  <w:left w:w="108" w:type="dxa"/>
                  <w:bottom w:w="0" w:type="dxa"/>
                  <w:right w:w="108" w:type="dxa"/>
                </w:tblCellMar>
              </w:tblPrEx>
              <w:trPr>
                <w:trHeight w:val="510" w:hRule="atLeast"/>
              </w:trPr>
              <w:tc>
                <w:tcPr>
                  <w:tcW w:w="303" w:type="pct"/>
                  <w:vMerge w:val="continue"/>
                  <w:tcBorders>
                    <w:top w:val="single" w:color="auto" w:sz="4" w:space="0"/>
                    <w:left w:val="nil"/>
                    <w:bottom w:val="single" w:color="auto" w:sz="4" w:space="0"/>
                    <w:right w:val="single" w:color="auto" w:sz="4" w:space="0"/>
                  </w:tcBorders>
                  <w:vAlign w:val="center"/>
                </w:tcPr>
                <w:p w14:paraId="206D90AF">
                  <w:pPr>
                    <w:jc w:val="center"/>
                    <w:rPr>
                      <w:rFonts w:ascii="宋体" w:hAnsi="宋体" w:eastAsia="宋体" w:cs="宋体"/>
                      <w:b/>
                      <w:bCs/>
                      <w:color w:val="auto"/>
                      <w:sz w:val="18"/>
                      <w:szCs w:val="18"/>
                      <w:highlight w:val="none"/>
                    </w:rPr>
                  </w:pPr>
                </w:p>
              </w:tc>
              <w:tc>
                <w:tcPr>
                  <w:tcW w:w="404" w:type="pct"/>
                  <w:vMerge w:val="continue"/>
                  <w:tcBorders>
                    <w:top w:val="single" w:color="auto" w:sz="4" w:space="0"/>
                    <w:left w:val="single" w:color="auto" w:sz="4" w:space="0"/>
                    <w:bottom w:val="single" w:color="auto" w:sz="4" w:space="0"/>
                    <w:right w:val="single" w:color="auto" w:sz="4" w:space="0"/>
                  </w:tcBorders>
                  <w:vAlign w:val="center"/>
                </w:tcPr>
                <w:p w14:paraId="7A708430">
                  <w:pPr>
                    <w:jc w:val="center"/>
                    <w:rPr>
                      <w:rFonts w:ascii="宋体" w:hAnsi="宋体" w:eastAsia="宋体" w:cs="宋体"/>
                      <w:b/>
                      <w:bCs/>
                      <w:color w:val="auto"/>
                      <w:sz w:val="18"/>
                      <w:szCs w:val="18"/>
                      <w:highlight w:val="none"/>
                    </w:rPr>
                  </w:pPr>
                </w:p>
              </w:tc>
              <w:tc>
                <w:tcPr>
                  <w:tcW w:w="346" w:type="pct"/>
                  <w:vMerge w:val="continue"/>
                  <w:tcBorders>
                    <w:top w:val="single" w:color="auto" w:sz="4" w:space="0"/>
                    <w:left w:val="single" w:color="auto" w:sz="4" w:space="0"/>
                    <w:bottom w:val="single" w:color="auto" w:sz="4" w:space="0"/>
                    <w:right w:val="single" w:color="auto" w:sz="4" w:space="0"/>
                  </w:tcBorders>
                  <w:vAlign w:val="center"/>
                </w:tcPr>
                <w:p w14:paraId="05701DF1">
                  <w:pPr>
                    <w:jc w:val="center"/>
                    <w:rPr>
                      <w:rFonts w:ascii="宋体" w:hAnsi="宋体" w:eastAsia="宋体" w:cs="宋体"/>
                      <w:b/>
                      <w:bCs/>
                      <w:color w:val="auto"/>
                      <w:sz w:val="18"/>
                      <w:szCs w:val="18"/>
                      <w:highlight w:val="none"/>
                    </w:rPr>
                  </w:pPr>
                </w:p>
              </w:tc>
              <w:tc>
                <w:tcPr>
                  <w:tcW w:w="494" w:type="pct"/>
                  <w:tcBorders>
                    <w:top w:val="single" w:color="auto" w:sz="4" w:space="0"/>
                    <w:left w:val="single" w:color="auto" w:sz="4" w:space="0"/>
                    <w:bottom w:val="single" w:color="auto" w:sz="4" w:space="0"/>
                    <w:right w:val="single" w:color="auto" w:sz="4" w:space="0"/>
                  </w:tcBorders>
                  <w:vAlign w:val="center"/>
                </w:tcPr>
                <w:p w14:paraId="5A964CD3">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经度</w:t>
                  </w:r>
                </w:p>
              </w:tc>
              <w:tc>
                <w:tcPr>
                  <w:tcW w:w="424" w:type="pct"/>
                  <w:tcBorders>
                    <w:top w:val="single" w:color="auto" w:sz="4" w:space="0"/>
                    <w:left w:val="single" w:color="auto" w:sz="4" w:space="0"/>
                    <w:bottom w:val="single" w:color="auto" w:sz="4" w:space="0"/>
                    <w:right w:val="single" w:color="auto" w:sz="4" w:space="0"/>
                  </w:tcBorders>
                  <w:vAlign w:val="center"/>
                </w:tcPr>
                <w:p w14:paraId="3FA68775">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纬度</w:t>
                  </w:r>
                </w:p>
              </w:tc>
              <w:tc>
                <w:tcPr>
                  <w:tcW w:w="378" w:type="pct"/>
                  <w:vMerge w:val="continue"/>
                  <w:tcBorders>
                    <w:top w:val="single" w:color="auto" w:sz="4" w:space="0"/>
                    <w:left w:val="single" w:color="auto" w:sz="4" w:space="0"/>
                    <w:bottom w:val="single" w:color="auto" w:sz="4" w:space="0"/>
                    <w:right w:val="single" w:color="auto" w:sz="4" w:space="0"/>
                  </w:tcBorders>
                  <w:vAlign w:val="center"/>
                </w:tcPr>
                <w:p w14:paraId="50C31CF9">
                  <w:pPr>
                    <w:jc w:val="center"/>
                    <w:rPr>
                      <w:rFonts w:ascii="宋体" w:hAnsi="宋体" w:eastAsia="宋体" w:cs="宋体"/>
                      <w:b/>
                      <w:bCs/>
                      <w:color w:val="auto"/>
                      <w:sz w:val="18"/>
                      <w:szCs w:val="18"/>
                      <w:highlight w:val="none"/>
                    </w:rPr>
                  </w:pPr>
                </w:p>
              </w:tc>
              <w:tc>
                <w:tcPr>
                  <w:tcW w:w="479" w:type="pct"/>
                  <w:tcBorders>
                    <w:top w:val="single" w:color="auto" w:sz="4" w:space="0"/>
                    <w:left w:val="single" w:color="auto" w:sz="4" w:space="0"/>
                    <w:bottom w:val="single" w:color="auto" w:sz="4" w:space="0"/>
                    <w:right w:val="single" w:color="auto" w:sz="4" w:space="0"/>
                  </w:tcBorders>
                  <w:vAlign w:val="center"/>
                </w:tcPr>
                <w:p w14:paraId="36242BF2">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最高允许排放浓度</w:t>
                  </w:r>
                  <w:r>
                    <w:rPr>
                      <w:rFonts w:hint="eastAsia" w:ascii="宋体" w:hAnsi="宋体" w:eastAsia="宋体" w:cs="宋体"/>
                      <w:b/>
                      <w:bCs/>
                      <w:color w:val="auto"/>
                      <w:kern w:val="0"/>
                      <w:sz w:val="18"/>
                      <w:szCs w:val="18"/>
                      <w:highlight w:val="none"/>
                      <w:lang w:eastAsia="zh-CN"/>
                    </w:rPr>
                    <w:t>（</w:t>
                  </w:r>
                  <w:r>
                    <w:rPr>
                      <w:rFonts w:ascii="Times New Roman" w:hAnsi="Times New Roman" w:eastAsia="宋体" w:cs="Times New Roman"/>
                      <w:b/>
                      <w:bCs/>
                      <w:color w:val="auto"/>
                      <w:kern w:val="0"/>
                      <w:sz w:val="18"/>
                      <w:szCs w:val="18"/>
                      <w:highlight w:val="none"/>
                    </w:rPr>
                    <w:t>mg/m</w:t>
                  </w:r>
                  <w:r>
                    <w:rPr>
                      <w:rFonts w:ascii="Times New Roman" w:hAnsi="Times New Roman" w:eastAsia="宋体" w:cs="Times New Roman"/>
                      <w:b/>
                      <w:bCs/>
                      <w:color w:val="auto"/>
                      <w:kern w:val="0"/>
                      <w:sz w:val="18"/>
                      <w:szCs w:val="18"/>
                      <w:highlight w:val="none"/>
                      <w:vertAlign w:val="superscript"/>
                    </w:rPr>
                    <w:t>3</w:t>
                  </w:r>
                  <w:r>
                    <w:rPr>
                      <w:rFonts w:hint="eastAsia" w:ascii="Times New Roman" w:hAnsi="Times New Roman" w:eastAsia="宋体" w:cs="Times New Roman"/>
                      <w:b/>
                      <w:bCs/>
                      <w:color w:val="auto"/>
                      <w:kern w:val="0"/>
                      <w:sz w:val="18"/>
                      <w:szCs w:val="18"/>
                      <w:highlight w:val="none"/>
                      <w:vertAlign w:val="superscript"/>
                      <w:lang w:eastAsia="zh-CN"/>
                    </w:rPr>
                    <w:t>）</w:t>
                  </w:r>
                </w:p>
              </w:tc>
              <w:tc>
                <w:tcPr>
                  <w:tcW w:w="497" w:type="pct"/>
                  <w:tcBorders>
                    <w:top w:val="single" w:color="auto" w:sz="4" w:space="0"/>
                    <w:left w:val="single" w:color="auto" w:sz="4" w:space="0"/>
                    <w:bottom w:val="single" w:color="auto" w:sz="4" w:space="0"/>
                    <w:right w:val="single" w:color="auto" w:sz="4" w:space="0"/>
                  </w:tcBorders>
                  <w:vAlign w:val="center"/>
                </w:tcPr>
                <w:p w14:paraId="55722DAF">
                  <w:pPr>
                    <w:widowControl/>
                    <w:jc w:val="center"/>
                    <w:textAlignment w:val="center"/>
                    <w:rPr>
                      <w:rFonts w:hint="eastAsia" w:ascii="宋体" w:hAnsi="宋体" w:eastAsia="宋体" w:cs="宋体"/>
                      <w:b/>
                      <w:bCs/>
                      <w:color w:val="auto"/>
                      <w:kern w:val="0"/>
                      <w:sz w:val="18"/>
                      <w:szCs w:val="18"/>
                      <w:highlight w:val="none"/>
                      <w:lang w:val="en-US" w:eastAsia="zh-CN"/>
                    </w:rPr>
                  </w:pPr>
                  <w:r>
                    <w:rPr>
                      <w:rFonts w:hint="eastAsia" w:ascii="宋体" w:hAnsi="宋体" w:eastAsia="宋体" w:cs="宋体"/>
                      <w:b/>
                      <w:bCs/>
                      <w:color w:val="auto"/>
                      <w:kern w:val="0"/>
                      <w:sz w:val="18"/>
                      <w:szCs w:val="18"/>
                      <w:highlight w:val="none"/>
                      <w:lang w:val="en-US" w:eastAsia="zh-CN"/>
                    </w:rPr>
                    <w:t>最高允许排放速率（kg/h）</w:t>
                  </w:r>
                </w:p>
              </w:tc>
              <w:tc>
                <w:tcPr>
                  <w:tcW w:w="323" w:type="pct"/>
                  <w:tcBorders>
                    <w:top w:val="single" w:color="auto" w:sz="4" w:space="0"/>
                    <w:left w:val="single" w:color="auto" w:sz="4" w:space="0"/>
                    <w:bottom w:val="single" w:color="auto" w:sz="4" w:space="0"/>
                    <w:right w:val="single" w:color="auto" w:sz="4" w:space="0"/>
                  </w:tcBorders>
                  <w:vAlign w:val="center"/>
                </w:tcPr>
                <w:p w14:paraId="437CCB27">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高度</w:t>
                  </w:r>
                  <w:r>
                    <w:rPr>
                      <w:rFonts w:hint="eastAsia" w:ascii="宋体" w:hAnsi="宋体" w:eastAsia="宋体" w:cs="宋体"/>
                      <w:b/>
                      <w:bCs/>
                      <w:color w:val="auto"/>
                      <w:kern w:val="0"/>
                      <w:sz w:val="18"/>
                      <w:szCs w:val="18"/>
                      <w:highlight w:val="none"/>
                      <w:lang w:eastAsia="zh-CN"/>
                    </w:rPr>
                    <w:t>（</w:t>
                  </w:r>
                  <w:r>
                    <w:rPr>
                      <w:rFonts w:ascii="Times New Roman" w:hAnsi="Times New Roman" w:eastAsia="宋体" w:cs="Times New Roman"/>
                      <w:b/>
                      <w:bCs/>
                      <w:color w:val="auto"/>
                      <w:kern w:val="0"/>
                      <w:sz w:val="18"/>
                      <w:szCs w:val="18"/>
                      <w:highlight w:val="none"/>
                    </w:rPr>
                    <w:t>m</w:t>
                  </w:r>
                  <w:r>
                    <w:rPr>
                      <w:rFonts w:hint="eastAsia" w:ascii="Times New Roman" w:hAnsi="Times New Roman" w:eastAsia="宋体" w:cs="Times New Roman"/>
                      <w:b/>
                      <w:bCs/>
                      <w:color w:val="auto"/>
                      <w:kern w:val="0"/>
                      <w:sz w:val="18"/>
                      <w:szCs w:val="18"/>
                      <w:highlight w:val="none"/>
                      <w:lang w:eastAsia="zh-CN"/>
                    </w:rPr>
                    <w:t>）</w:t>
                  </w:r>
                </w:p>
              </w:tc>
              <w:tc>
                <w:tcPr>
                  <w:tcW w:w="348" w:type="pct"/>
                  <w:tcBorders>
                    <w:top w:val="single" w:color="auto" w:sz="4" w:space="0"/>
                    <w:left w:val="single" w:color="auto" w:sz="4" w:space="0"/>
                    <w:bottom w:val="single" w:color="auto" w:sz="4" w:space="0"/>
                    <w:right w:val="single" w:color="auto" w:sz="4" w:space="0"/>
                  </w:tcBorders>
                  <w:vAlign w:val="center"/>
                </w:tcPr>
                <w:p w14:paraId="4FB287E8">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内径</w:t>
                  </w:r>
                  <w:r>
                    <w:rPr>
                      <w:rFonts w:hint="eastAsia" w:ascii="宋体" w:hAnsi="宋体" w:eastAsia="宋体" w:cs="宋体"/>
                      <w:b/>
                      <w:bCs/>
                      <w:color w:val="auto"/>
                      <w:kern w:val="0"/>
                      <w:sz w:val="18"/>
                      <w:szCs w:val="18"/>
                      <w:highlight w:val="none"/>
                      <w:lang w:eastAsia="zh-CN"/>
                    </w:rPr>
                    <w:t>（</w:t>
                  </w:r>
                  <w:r>
                    <w:rPr>
                      <w:rFonts w:ascii="Times New Roman" w:hAnsi="Times New Roman" w:eastAsia="宋体" w:cs="Times New Roman"/>
                      <w:b/>
                      <w:bCs/>
                      <w:color w:val="auto"/>
                      <w:kern w:val="0"/>
                      <w:sz w:val="18"/>
                      <w:szCs w:val="18"/>
                      <w:highlight w:val="none"/>
                    </w:rPr>
                    <w:t>m</w:t>
                  </w:r>
                  <w:r>
                    <w:rPr>
                      <w:rFonts w:hint="eastAsia" w:ascii="Times New Roman" w:hAnsi="Times New Roman" w:eastAsia="宋体" w:cs="Times New Roman"/>
                      <w:b/>
                      <w:bCs/>
                      <w:color w:val="auto"/>
                      <w:kern w:val="0"/>
                      <w:sz w:val="18"/>
                      <w:szCs w:val="18"/>
                      <w:highlight w:val="none"/>
                      <w:lang w:eastAsia="zh-CN"/>
                    </w:rPr>
                    <w:t>）</w:t>
                  </w:r>
                </w:p>
              </w:tc>
              <w:tc>
                <w:tcPr>
                  <w:tcW w:w="353" w:type="pct"/>
                  <w:tcBorders>
                    <w:top w:val="single" w:color="auto" w:sz="4" w:space="0"/>
                    <w:left w:val="single" w:color="auto" w:sz="4" w:space="0"/>
                    <w:bottom w:val="single" w:color="auto" w:sz="4" w:space="0"/>
                    <w:right w:val="single" w:color="auto" w:sz="4" w:space="0"/>
                  </w:tcBorders>
                  <w:vAlign w:val="center"/>
                </w:tcPr>
                <w:p w14:paraId="3230C2EB">
                  <w:pPr>
                    <w:widowControl/>
                    <w:jc w:val="center"/>
                    <w:textAlignment w:val="center"/>
                    <w:rPr>
                      <w:rFonts w:ascii="宋体" w:hAnsi="宋体" w:eastAsia="宋体" w:cs="宋体"/>
                      <w:b/>
                      <w:bCs/>
                      <w:color w:val="auto"/>
                      <w:sz w:val="18"/>
                      <w:szCs w:val="18"/>
                      <w:highlight w:val="none"/>
                    </w:rPr>
                  </w:pPr>
                  <w:r>
                    <w:rPr>
                      <w:rFonts w:hint="eastAsia" w:ascii="宋体" w:hAnsi="宋体" w:eastAsia="宋体" w:cs="宋体"/>
                      <w:b/>
                      <w:bCs/>
                      <w:color w:val="auto"/>
                      <w:kern w:val="0"/>
                      <w:sz w:val="18"/>
                      <w:szCs w:val="18"/>
                      <w:highlight w:val="none"/>
                    </w:rPr>
                    <w:t>温度</w:t>
                  </w:r>
                  <w:r>
                    <w:rPr>
                      <w:rFonts w:hint="eastAsia" w:ascii="宋体" w:hAnsi="宋体" w:eastAsia="宋体" w:cs="宋体"/>
                      <w:b/>
                      <w:bCs/>
                      <w:color w:val="auto"/>
                      <w:kern w:val="0"/>
                      <w:sz w:val="18"/>
                      <w:szCs w:val="18"/>
                      <w:highlight w:val="none"/>
                      <w:lang w:eastAsia="zh-CN"/>
                    </w:rPr>
                    <w:t>（</w:t>
                  </w:r>
                  <w:r>
                    <w:rPr>
                      <w:rFonts w:ascii="Times New Roman" w:hAnsi="Times New Roman" w:eastAsia="宋体" w:cs="Times New Roman"/>
                      <w:b/>
                      <w:bCs/>
                      <w:color w:val="auto"/>
                      <w:kern w:val="0"/>
                      <w:sz w:val="18"/>
                      <w:szCs w:val="18"/>
                      <w:highlight w:val="none"/>
                    </w:rPr>
                    <w:t>℃</w:t>
                  </w:r>
                  <w:r>
                    <w:rPr>
                      <w:rFonts w:hint="eastAsia" w:ascii="Times New Roman" w:hAnsi="Times New Roman" w:eastAsia="宋体" w:cs="Times New Roman"/>
                      <w:b/>
                      <w:bCs/>
                      <w:color w:val="auto"/>
                      <w:kern w:val="0"/>
                      <w:sz w:val="18"/>
                      <w:szCs w:val="18"/>
                      <w:highlight w:val="none"/>
                      <w:lang w:eastAsia="zh-CN"/>
                    </w:rPr>
                    <w:t>）</w:t>
                  </w:r>
                </w:p>
              </w:tc>
              <w:tc>
                <w:tcPr>
                  <w:tcW w:w="246" w:type="pct"/>
                  <w:vMerge w:val="continue"/>
                  <w:tcBorders>
                    <w:top w:val="single" w:color="auto" w:sz="4" w:space="0"/>
                    <w:left w:val="single" w:color="auto" w:sz="4" w:space="0"/>
                    <w:bottom w:val="single" w:color="auto" w:sz="4" w:space="0"/>
                    <w:right w:val="single" w:color="auto" w:sz="4" w:space="0"/>
                  </w:tcBorders>
                  <w:vAlign w:val="center"/>
                </w:tcPr>
                <w:p w14:paraId="06B68D00">
                  <w:pPr>
                    <w:jc w:val="center"/>
                    <w:rPr>
                      <w:rFonts w:ascii="宋体" w:hAnsi="宋体" w:eastAsia="宋体" w:cs="宋体"/>
                      <w:b/>
                      <w:bCs/>
                      <w:color w:val="auto"/>
                      <w:sz w:val="18"/>
                      <w:szCs w:val="18"/>
                      <w:highlight w:val="none"/>
                    </w:rPr>
                  </w:pPr>
                </w:p>
              </w:tc>
              <w:tc>
                <w:tcPr>
                  <w:tcW w:w="400" w:type="pct"/>
                  <w:vMerge w:val="continue"/>
                  <w:tcBorders>
                    <w:top w:val="single" w:color="auto" w:sz="4" w:space="0"/>
                    <w:left w:val="single" w:color="auto" w:sz="4" w:space="0"/>
                    <w:bottom w:val="single" w:color="auto" w:sz="4" w:space="0"/>
                    <w:right w:val="nil"/>
                  </w:tcBorders>
                  <w:vAlign w:val="center"/>
                </w:tcPr>
                <w:p w14:paraId="27A9A01A">
                  <w:pPr>
                    <w:jc w:val="center"/>
                    <w:rPr>
                      <w:rFonts w:ascii="宋体" w:hAnsi="宋体" w:eastAsia="宋体" w:cs="宋体"/>
                      <w:b/>
                      <w:bCs/>
                      <w:color w:val="auto"/>
                      <w:sz w:val="18"/>
                      <w:szCs w:val="18"/>
                      <w:highlight w:val="none"/>
                    </w:rPr>
                  </w:pPr>
                </w:p>
              </w:tc>
            </w:tr>
            <w:tr w14:paraId="7F71291D">
              <w:tblPrEx>
                <w:tblCellMar>
                  <w:top w:w="0" w:type="dxa"/>
                  <w:left w:w="108" w:type="dxa"/>
                  <w:bottom w:w="0" w:type="dxa"/>
                  <w:right w:w="108" w:type="dxa"/>
                </w:tblCellMar>
              </w:tblPrEx>
              <w:trPr>
                <w:trHeight w:val="510" w:hRule="atLeast"/>
              </w:trPr>
              <w:tc>
                <w:tcPr>
                  <w:tcW w:w="303" w:type="pct"/>
                  <w:tcBorders>
                    <w:top w:val="single" w:color="auto" w:sz="4" w:space="0"/>
                    <w:left w:val="nil"/>
                    <w:bottom w:val="single" w:color="auto" w:sz="4" w:space="0"/>
                    <w:right w:val="single" w:color="auto" w:sz="4" w:space="0"/>
                  </w:tcBorders>
                  <w:vAlign w:val="center"/>
                </w:tcPr>
                <w:p w14:paraId="25E5CB20">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DA001</w:t>
                  </w:r>
                </w:p>
              </w:tc>
              <w:tc>
                <w:tcPr>
                  <w:tcW w:w="404" w:type="pct"/>
                  <w:tcBorders>
                    <w:top w:val="single" w:color="auto" w:sz="4" w:space="0"/>
                    <w:left w:val="single" w:color="auto" w:sz="4" w:space="0"/>
                    <w:bottom w:val="single" w:color="auto" w:sz="4" w:space="0"/>
                    <w:right w:val="single" w:color="auto" w:sz="4" w:space="0"/>
                  </w:tcBorders>
                  <w:vAlign w:val="center"/>
                </w:tcPr>
                <w:p w14:paraId="4DA86C5C">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粉尘排放口</w:t>
                  </w:r>
                </w:p>
              </w:tc>
              <w:tc>
                <w:tcPr>
                  <w:tcW w:w="346" w:type="pct"/>
                  <w:tcBorders>
                    <w:top w:val="single" w:color="auto" w:sz="4" w:space="0"/>
                    <w:left w:val="single" w:color="auto" w:sz="4" w:space="0"/>
                    <w:bottom w:val="single" w:color="auto" w:sz="4" w:space="0"/>
                    <w:right w:val="single" w:color="auto" w:sz="4" w:space="0"/>
                  </w:tcBorders>
                  <w:vAlign w:val="center"/>
                </w:tcPr>
                <w:p w14:paraId="47D368ED">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粉尘废气</w:t>
                  </w:r>
                </w:p>
              </w:tc>
              <w:tc>
                <w:tcPr>
                  <w:tcW w:w="494" w:type="pct"/>
                  <w:tcBorders>
                    <w:top w:val="single" w:color="auto" w:sz="4" w:space="0"/>
                    <w:left w:val="single" w:color="auto" w:sz="4" w:space="0"/>
                    <w:bottom w:val="single" w:color="auto" w:sz="4" w:space="0"/>
                    <w:right w:val="single" w:color="auto" w:sz="4" w:space="0"/>
                  </w:tcBorders>
                  <w:vAlign w:val="center"/>
                </w:tcPr>
                <w:p w14:paraId="6DCA1A25">
                  <w:pPr>
                    <w:widowControl/>
                    <w:jc w:val="center"/>
                    <w:textAlignment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116.83733171</w:t>
                  </w:r>
                </w:p>
              </w:tc>
              <w:tc>
                <w:tcPr>
                  <w:tcW w:w="424" w:type="pct"/>
                  <w:tcBorders>
                    <w:top w:val="single" w:color="auto" w:sz="4" w:space="0"/>
                    <w:left w:val="single" w:color="auto" w:sz="4" w:space="0"/>
                    <w:bottom w:val="single" w:color="auto" w:sz="4" w:space="0"/>
                    <w:right w:val="single" w:color="auto" w:sz="4" w:space="0"/>
                  </w:tcBorders>
                  <w:vAlign w:val="center"/>
                </w:tcPr>
                <w:p w14:paraId="3B01EE96">
                  <w:pPr>
                    <w:widowControl/>
                    <w:jc w:val="center"/>
                    <w:textAlignment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32.65464300</w:t>
                  </w:r>
                </w:p>
              </w:tc>
              <w:tc>
                <w:tcPr>
                  <w:tcW w:w="378" w:type="pct"/>
                  <w:tcBorders>
                    <w:top w:val="single" w:color="auto" w:sz="4" w:space="0"/>
                    <w:left w:val="single" w:color="auto" w:sz="4" w:space="0"/>
                    <w:bottom w:val="single" w:color="auto" w:sz="4" w:space="0"/>
                    <w:right w:val="single" w:color="auto" w:sz="4" w:space="0"/>
                  </w:tcBorders>
                  <w:vAlign w:val="center"/>
                </w:tcPr>
                <w:p w14:paraId="5A89EFB9">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颗粒物</w:t>
                  </w:r>
                </w:p>
              </w:tc>
              <w:tc>
                <w:tcPr>
                  <w:tcW w:w="479" w:type="pct"/>
                  <w:tcBorders>
                    <w:top w:val="single" w:color="auto" w:sz="4" w:space="0"/>
                    <w:left w:val="single" w:color="auto" w:sz="4" w:space="0"/>
                    <w:bottom w:val="single" w:color="auto" w:sz="4" w:space="0"/>
                    <w:right w:val="single" w:color="auto" w:sz="4" w:space="0"/>
                  </w:tcBorders>
                  <w:vAlign w:val="center"/>
                </w:tcPr>
                <w:p w14:paraId="4AFD2338">
                  <w:pPr>
                    <w:widowControl/>
                    <w:jc w:val="center"/>
                    <w:textAlignment w:val="center"/>
                    <w:rPr>
                      <w:rFonts w:ascii="Times New Roman" w:hAnsi="Times New Roman" w:eastAsia="等线" w:cs="Times New Roman"/>
                      <w:color w:val="auto"/>
                      <w:sz w:val="18"/>
                      <w:szCs w:val="18"/>
                      <w:highlight w:val="none"/>
                    </w:rPr>
                  </w:pPr>
                  <w:r>
                    <w:rPr>
                      <w:rFonts w:hint="eastAsia" w:ascii="Times New Roman" w:hAnsi="Times New Roman" w:eastAsia="等线" w:cs="Times New Roman"/>
                      <w:color w:val="auto"/>
                      <w:kern w:val="0"/>
                      <w:sz w:val="18"/>
                      <w:szCs w:val="18"/>
                      <w:highlight w:val="none"/>
                    </w:rPr>
                    <w:t>120</w:t>
                  </w:r>
                </w:p>
              </w:tc>
              <w:tc>
                <w:tcPr>
                  <w:tcW w:w="497" w:type="pct"/>
                  <w:tcBorders>
                    <w:top w:val="single" w:color="auto" w:sz="4" w:space="0"/>
                    <w:left w:val="single" w:color="auto" w:sz="4" w:space="0"/>
                    <w:bottom w:val="single" w:color="auto" w:sz="4" w:space="0"/>
                    <w:right w:val="single" w:color="auto" w:sz="4" w:space="0"/>
                  </w:tcBorders>
                  <w:vAlign w:val="center"/>
                </w:tcPr>
                <w:p w14:paraId="4C2B7520">
                  <w:pPr>
                    <w:widowControl/>
                    <w:jc w:val="center"/>
                    <w:textAlignment w:val="center"/>
                    <w:rPr>
                      <w:rFonts w:hint="default" w:ascii="Times New Roman" w:hAnsi="Times New Roman" w:eastAsia="等线" w:cs="Times New Roman"/>
                      <w:color w:val="auto"/>
                      <w:kern w:val="0"/>
                      <w:sz w:val="18"/>
                      <w:szCs w:val="18"/>
                      <w:highlight w:val="none"/>
                      <w:lang w:val="en-US" w:eastAsia="zh-CN"/>
                    </w:rPr>
                  </w:pPr>
                  <w:r>
                    <w:rPr>
                      <w:rFonts w:hint="eastAsia" w:ascii="Times New Roman" w:hAnsi="Times New Roman" w:eastAsia="等线" w:cs="Times New Roman"/>
                      <w:color w:val="auto"/>
                      <w:kern w:val="0"/>
                      <w:sz w:val="18"/>
                      <w:szCs w:val="18"/>
                      <w:highlight w:val="none"/>
                      <w:lang w:val="en-US" w:eastAsia="zh-CN"/>
                    </w:rPr>
                    <w:t>3.5</w:t>
                  </w:r>
                </w:p>
              </w:tc>
              <w:tc>
                <w:tcPr>
                  <w:tcW w:w="323" w:type="pct"/>
                  <w:tcBorders>
                    <w:top w:val="single" w:color="auto" w:sz="4" w:space="0"/>
                    <w:left w:val="single" w:color="auto" w:sz="4" w:space="0"/>
                    <w:bottom w:val="single" w:color="auto" w:sz="4" w:space="0"/>
                    <w:right w:val="single" w:color="auto" w:sz="4" w:space="0"/>
                  </w:tcBorders>
                  <w:vAlign w:val="center"/>
                </w:tcPr>
                <w:p w14:paraId="2E00C610">
                  <w:pPr>
                    <w:widowControl/>
                    <w:jc w:val="center"/>
                    <w:textAlignment w:val="center"/>
                    <w:rPr>
                      <w:rFonts w:ascii="Times New Roman" w:hAnsi="Times New Roman" w:eastAsia="等线" w:cs="Times New Roman"/>
                      <w:color w:val="auto"/>
                      <w:sz w:val="18"/>
                      <w:szCs w:val="18"/>
                      <w:highlight w:val="none"/>
                    </w:rPr>
                  </w:pPr>
                  <w:r>
                    <w:rPr>
                      <w:rFonts w:hint="eastAsia" w:ascii="Times New Roman" w:hAnsi="Times New Roman" w:eastAsia="等线" w:cs="Times New Roman"/>
                      <w:color w:val="auto"/>
                      <w:kern w:val="0"/>
                      <w:sz w:val="18"/>
                      <w:szCs w:val="18"/>
                      <w:highlight w:val="none"/>
                    </w:rPr>
                    <w:t>15</w:t>
                  </w:r>
                </w:p>
              </w:tc>
              <w:tc>
                <w:tcPr>
                  <w:tcW w:w="348" w:type="pct"/>
                  <w:tcBorders>
                    <w:top w:val="single" w:color="auto" w:sz="4" w:space="0"/>
                    <w:left w:val="single" w:color="auto" w:sz="4" w:space="0"/>
                    <w:bottom w:val="single" w:color="auto" w:sz="4" w:space="0"/>
                    <w:right w:val="single" w:color="auto" w:sz="4" w:space="0"/>
                  </w:tcBorders>
                  <w:vAlign w:val="center"/>
                </w:tcPr>
                <w:p w14:paraId="2C612C6C">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0.5</w:t>
                  </w:r>
                </w:p>
              </w:tc>
              <w:tc>
                <w:tcPr>
                  <w:tcW w:w="353" w:type="pct"/>
                  <w:tcBorders>
                    <w:top w:val="single" w:color="auto" w:sz="4" w:space="0"/>
                    <w:left w:val="single" w:color="auto" w:sz="4" w:space="0"/>
                    <w:bottom w:val="single" w:color="auto" w:sz="4" w:space="0"/>
                    <w:right w:val="single" w:color="auto" w:sz="4" w:space="0"/>
                  </w:tcBorders>
                  <w:vAlign w:val="center"/>
                </w:tcPr>
                <w:p w14:paraId="35DDD6D3">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25</w:t>
                  </w:r>
                </w:p>
              </w:tc>
              <w:tc>
                <w:tcPr>
                  <w:tcW w:w="246" w:type="pct"/>
                  <w:tcBorders>
                    <w:top w:val="single" w:color="auto" w:sz="4" w:space="0"/>
                    <w:left w:val="single" w:color="auto" w:sz="4" w:space="0"/>
                    <w:bottom w:val="single" w:color="auto" w:sz="4" w:space="0"/>
                    <w:right w:val="single" w:color="auto" w:sz="4" w:space="0"/>
                  </w:tcBorders>
                  <w:vAlign w:val="center"/>
                </w:tcPr>
                <w:p w14:paraId="42F6FB7E">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达标</w:t>
                  </w:r>
                </w:p>
              </w:tc>
              <w:tc>
                <w:tcPr>
                  <w:tcW w:w="400" w:type="pct"/>
                  <w:tcBorders>
                    <w:top w:val="single" w:color="auto" w:sz="4" w:space="0"/>
                    <w:left w:val="single" w:color="auto" w:sz="4" w:space="0"/>
                    <w:bottom w:val="single" w:color="auto" w:sz="4" w:space="0"/>
                    <w:right w:val="nil"/>
                  </w:tcBorders>
                  <w:noWrap/>
                  <w:vAlign w:val="center"/>
                </w:tcPr>
                <w:p w14:paraId="52B97AEC">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一般排放口</w:t>
                  </w:r>
                </w:p>
              </w:tc>
            </w:tr>
            <w:tr w14:paraId="251DE2E6">
              <w:tblPrEx>
                <w:tblCellMar>
                  <w:top w:w="0" w:type="dxa"/>
                  <w:left w:w="108" w:type="dxa"/>
                  <w:bottom w:w="0" w:type="dxa"/>
                  <w:right w:w="108" w:type="dxa"/>
                </w:tblCellMar>
              </w:tblPrEx>
              <w:trPr>
                <w:trHeight w:val="510" w:hRule="atLeast"/>
              </w:trPr>
              <w:tc>
                <w:tcPr>
                  <w:tcW w:w="303" w:type="pct"/>
                  <w:tcBorders>
                    <w:top w:val="single" w:color="auto" w:sz="4" w:space="0"/>
                    <w:left w:val="nil"/>
                    <w:bottom w:val="single" w:color="auto" w:sz="4" w:space="0"/>
                    <w:right w:val="single" w:color="auto" w:sz="4" w:space="0"/>
                  </w:tcBorders>
                  <w:vAlign w:val="center"/>
                </w:tcPr>
                <w:p w14:paraId="5AF027F5">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DA002</w:t>
                  </w:r>
                </w:p>
              </w:tc>
              <w:tc>
                <w:tcPr>
                  <w:tcW w:w="404" w:type="pct"/>
                  <w:tcBorders>
                    <w:top w:val="single" w:color="auto" w:sz="4" w:space="0"/>
                    <w:left w:val="single" w:color="auto" w:sz="4" w:space="0"/>
                    <w:bottom w:val="single" w:color="auto" w:sz="4" w:space="0"/>
                    <w:right w:val="single" w:color="auto" w:sz="4" w:space="0"/>
                  </w:tcBorders>
                  <w:vAlign w:val="center"/>
                </w:tcPr>
                <w:p w14:paraId="09EB46BD">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粉尘排放口</w:t>
                  </w:r>
                </w:p>
              </w:tc>
              <w:tc>
                <w:tcPr>
                  <w:tcW w:w="346" w:type="pct"/>
                  <w:tcBorders>
                    <w:top w:val="single" w:color="auto" w:sz="4" w:space="0"/>
                    <w:left w:val="single" w:color="auto" w:sz="4" w:space="0"/>
                    <w:bottom w:val="single" w:color="auto" w:sz="4" w:space="0"/>
                    <w:right w:val="single" w:color="auto" w:sz="4" w:space="0"/>
                  </w:tcBorders>
                  <w:noWrap/>
                  <w:vAlign w:val="center"/>
                </w:tcPr>
                <w:p w14:paraId="3FB45E47">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粉尘废气</w:t>
                  </w:r>
                </w:p>
              </w:tc>
              <w:tc>
                <w:tcPr>
                  <w:tcW w:w="494" w:type="pct"/>
                  <w:tcBorders>
                    <w:top w:val="single" w:color="auto" w:sz="4" w:space="0"/>
                    <w:left w:val="single" w:color="auto" w:sz="4" w:space="0"/>
                    <w:bottom w:val="single" w:color="auto" w:sz="4" w:space="0"/>
                    <w:right w:val="single" w:color="auto" w:sz="4" w:space="0"/>
                  </w:tcBorders>
                  <w:noWrap/>
                  <w:vAlign w:val="center"/>
                </w:tcPr>
                <w:p w14:paraId="5B289719">
                  <w:pPr>
                    <w:widowControl/>
                    <w:jc w:val="center"/>
                    <w:textAlignment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116.83792602</w:t>
                  </w:r>
                </w:p>
              </w:tc>
              <w:tc>
                <w:tcPr>
                  <w:tcW w:w="424" w:type="pct"/>
                  <w:tcBorders>
                    <w:top w:val="single" w:color="auto" w:sz="4" w:space="0"/>
                    <w:left w:val="single" w:color="auto" w:sz="4" w:space="0"/>
                    <w:bottom w:val="single" w:color="auto" w:sz="4" w:space="0"/>
                    <w:right w:val="single" w:color="auto" w:sz="4" w:space="0"/>
                  </w:tcBorders>
                  <w:noWrap/>
                  <w:vAlign w:val="center"/>
                </w:tcPr>
                <w:p w14:paraId="158C573F">
                  <w:pPr>
                    <w:widowControl/>
                    <w:jc w:val="center"/>
                    <w:textAlignment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32.65347391</w:t>
                  </w:r>
                </w:p>
              </w:tc>
              <w:tc>
                <w:tcPr>
                  <w:tcW w:w="378" w:type="pct"/>
                  <w:tcBorders>
                    <w:top w:val="single" w:color="auto" w:sz="4" w:space="0"/>
                    <w:left w:val="single" w:color="auto" w:sz="4" w:space="0"/>
                    <w:bottom w:val="single" w:color="auto" w:sz="4" w:space="0"/>
                    <w:right w:val="single" w:color="auto" w:sz="4" w:space="0"/>
                  </w:tcBorders>
                  <w:noWrap/>
                  <w:vAlign w:val="center"/>
                </w:tcPr>
                <w:p w14:paraId="4417A5C7">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颗粒物</w:t>
                  </w:r>
                </w:p>
              </w:tc>
              <w:tc>
                <w:tcPr>
                  <w:tcW w:w="479" w:type="pct"/>
                  <w:tcBorders>
                    <w:top w:val="single" w:color="auto" w:sz="4" w:space="0"/>
                    <w:left w:val="single" w:color="auto" w:sz="4" w:space="0"/>
                    <w:bottom w:val="single" w:color="auto" w:sz="4" w:space="0"/>
                    <w:right w:val="single" w:color="auto" w:sz="4" w:space="0"/>
                  </w:tcBorders>
                  <w:noWrap/>
                  <w:vAlign w:val="center"/>
                </w:tcPr>
                <w:p w14:paraId="0AEF8D56">
                  <w:pPr>
                    <w:widowControl/>
                    <w:jc w:val="center"/>
                    <w:textAlignment w:val="center"/>
                    <w:rPr>
                      <w:rFonts w:ascii="Times New Roman" w:hAnsi="Times New Roman" w:eastAsia="等线" w:cs="Times New Roman"/>
                      <w:color w:val="auto"/>
                      <w:sz w:val="18"/>
                      <w:szCs w:val="18"/>
                      <w:highlight w:val="none"/>
                    </w:rPr>
                  </w:pPr>
                  <w:r>
                    <w:rPr>
                      <w:rFonts w:hint="eastAsia" w:ascii="Times New Roman" w:hAnsi="Times New Roman" w:eastAsia="等线" w:cs="Times New Roman"/>
                      <w:color w:val="auto"/>
                      <w:kern w:val="0"/>
                      <w:sz w:val="18"/>
                      <w:szCs w:val="18"/>
                      <w:highlight w:val="none"/>
                    </w:rPr>
                    <w:t>1</w:t>
                  </w:r>
                  <w:r>
                    <w:rPr>
                      <w:rFonts w:ascii="Times New Roman" w:hAnsi="Times New Roman" w:eastAsia="等线" w:cs="Times New Roman"/>
                      <w:color w:val="auto"/>
                      <w:kern w:val="0"/>
                      <w:sz w:val="18"/>
                      <w:szCs w:val="18"/>
                      <w:highlight w:val="none"/>
                    </w:rPr>
                    <w:t>20</w:t>
                  </w:r>
                </w:p>
              </w:tc>
              <w:tc>
                <w:tcPr>
                  <w:tcW w:w="497" w:type="pct"/>
                  <w:tcBorders>
                    <w:top w:val="single" w:color="auto" w:sz="4" w:space="0"/>
                    <w:left w:val="single" w:color="auto" w:sz="4" w:space="0"/>
                    <w:bottom w:val="single" w:color="auto" w:sz="4" w:space="0"/>
                    <w:right w:val="single" w:color="auto" w:sz="4" w:space="0"/>
                  </w:tcBorders>
                  <w:noWrap/>
                  <w:vAlign w:val="center"/>
                </w:tcPr>
                <w:p w14:paraId="633055B9">
                  <w:pPr>
                    <w:widowControl/>
                    <w:jc w:val="center"/>
                    <w:textAlignment w:val="center"/>
                    <w:rPr>
                      <w:rFonts w:hint="default" w:ascii="Times New Roman" w:hAnsi="Times New Roman" w:eastAsia="等线" w:cs="Times New Roman"/>
                      <w:color w:val="auto"/>
                      <w:kern w:val="0"/>
                      <w:sz w:val="18"/>
                      <w:szCs w:val="18"/>
                      <w:highlight w:val="none"/>
                      <w:lang w:val="en-US" w:eastAsia="zh-CN"/>
                    </w:rPr>
                  </w:pPr>
                  <w:r>
                    <w:rPr>
                      <w:rFonts w:hint="eastAsia" w:ascii="Times New Roman" w:hAnsi="Times New Roman" w:eastAsia="等线" w:cs="Times New Roman"/>
                      <w:color w:val="auto"/>
                      <w:kern w:val="0"/>
                      <w:sz w:val="18"/>
                      <w:szCs w:val="18"/>
                      <w:highlight w:val="none"/>
                      <w:lang w:val="en-US" w:eastAsia="zh-CN"/>
                    </w:rPr>
                    <w:t>3.5</w:t>
                  </w:r>
                </w:p>
              </w:tc>
              <w:tc>
                <w:tcPr>
                  <w:tcW w:w="323" w:type="pct"/>
                  <w:tcBorders>
                    <w:top w:val="single" w:color="auto" w:sz="4" w:space="0"/>
                    <w:left w:val="single" w:color="auto" w:sz="4" w:space="0"/>
                    <w:bottom w:val="single" w:color="auto" w:sz="4" w:space="0"/>
                    <w:right w:val="single" w:color="auto" w:sz="4" w:space="0"/>
                  </w:tcBorders>
                  <w:noWrap/>
                  <w:vAlign w:val="center"/>
                </w:tcPr>
                <w:p w14:paraId="7C63B189">
                  <w:pPr>
                    <w:widowControl/>
                    <w:jc w:val="center"/>
                    <w:textAlignment w:val="center"/>
                    <w:rPr>
                      <w:rFonts w:ascii="Times New Roman" w:hAnsi="Times New Roman" w:eastAsia="等线" w:cs="Times New Roman"/>
                      <w:color w:val="auto"/>
                      <w:sz w:val="18"/>
                      <w:szCs w:val="18"/>
                      <w:highlight w:val="none"/>
                    </w:rPr>
                  </w:pPr>
                  <w:r>
                    <w:rPr>
                      <w:rFonts w:hint="eastAsia" w:ascii="Times New Roman" w:hAnsi="Times New Roman" w:eastAsia="等线" w:cs="Times New Roman"/>
                      <w:color w:val="auto"/>
                      <w:kern w:val="0"/>
                      <w:sz w:val="18"/>
                      <w:szCs w:val="18"/>
                      <w:highlight w:val="none"/>
                    </w:rPr>
                    <w:t>15</w:t>
                  </w:r>
                </w:p>
              </w:tc>
              <w:tc>
                <w:tcPr>
                  <w:tcW w:w="348" w:type="pct"/>
                  <w:tcBorders>
                    <w:top w:val="single" w:color="auto" w:sz="4" w:space="0"/>
                    <w:left w:val="single" w:color="auto" w:sz="4" w:space="0"/>
                    <w:bottom w:val="single" w:color="auto" w:sz="4" w:space="0"/>
                    <w:right w:val="single" w:color="auto" w:sz="4" w:space="0"/>
                  </w:tcBorders>
                  <w:noWrap/>
                  <w:vAlign w:val="center"/>
                </w:tcPr>
                <w:p w14:paraId="0FB4AD8E">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0.</w:t>
                  </w:r>
                  <w:r>
                    <w:rPr>
                      <w:rFonts w:hint="eastAsia" w:ascii="Times New Roman" w:hAnsi="Times New Roman" w:eastAsia="等线" w:cs="Times New Roman"/>
                      <w:color w:val="auto"/>
                      <w:kern w:val="0"/>
                      <w:sz w:val="18"/>
                      <w:szCs w:val="18"/>
                      <w:highlight w:val="none"/>
                    </w:rPr>
                    <w:t>5</w:t>
                  </w:r>
                </w:p>
              </w:tc>
              <w:tc>
                <w:tcPr>
                  <w:tcW w:w="353" w:type="pct"/>
                  <w:tcBorders>
                    <w:top w:val="single" w:color="auto" w:sz="4" w:space="0"/>
                    <w:left w:val="single" w:color="auto" w:sz="4" w:space="0"/>
                    <w:bottom w:val="single" w:color="auto" w:sz="4" w:space="0"/>
                    <w:right w:val="single" w:color="auto" w:sz="4" w:space="0"/>
                  </w:tcBorders>
                  <w:noWrap/>
                  <w:vAlign w:val="center"/>
                </w:tcPr>
                <w:p w14:paraId="0D4D2E38">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25</w:t>
                  </w:r>
                </w:p>
              </w:tc>
              <w:tc>
                <w:tcPr>
                  <w:tcW w:w="246" w:type="pct"/>
                  <w:tcBorders>
                    <w:top w:val="single" w:color="auto" w:sz="4" w:space="0"/>
                    <w:left w:val="single" w:color="auto" w:sz="4" w:space="0"/>
                    <w:bottom w:val="single" w:color="auto" w:sz="4" w:space="0"/>
                    <w:right w:val="single" w:color="auto" w:sz="4" w:space="0"/>
                  </w:tcBorders>
                  <w:noWrap/>
                  <w:vAlign w:val="center"/>
                </w:tcPr>
                <w:p w14:paraId="1766D315">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达标</w:t>
                  </w:r>
                </w:p>
              </w:tc>
              <w:tc>
                <w:tcPr>
                  <w:tcW w:w="400" w:type="pct"/>
                  <w:tcBorders>
                    <w:top w:val="single" w:color="auto" w:sz="4" w:space="0"/>
                    <w:left w:val="single" w:color="auto" w:sz="4" w:space="0"/>
                    <w:bottom w:val="single" w:color="auto" w:sz="4" w:space="0"/>
                    <w:right w:val="nil"/>
                  </w:tcBorders>
                  <w:noWrap/>
                  <w:vAlign w:val="center"/>
                </w:tcPr>
                <w:p w14:paraId="1D62D753">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一般排放口</w:t>
                  </w:r>
                </w:p>
              </w:tc>
            </w:tr>
            <w:tr w14:paraId="379EEDC8">
              <w:tblPrEx>
                <w:tblCellMar>
                  <w:top w:w="0" w:type="dxa"/>
                  <w:left w:w="108" w:type="dxa"/>
                  <w:bottom w:w="0" w:type="dxa"/>
                  <w:right w:w="108" w:type="dxa"/>
                </w:tblCellMar>
              </w:tblPrEx>
              <w:trPr>
                <w:trHeight w:val="510" w:hRule="atLeast"/>
              </w:trPr>
              <w:tc>
                <w:tcPr>
                  <w:tcW w:w="303" w:type="pct"/>
                  <w:tcBorders>
                    <w:top w:val="single" w:color="auto" w:sz="4" w:space="0"/>
                    <w:left w:val="nil"/>
                    <w:bottom w:val="single" w:color="auto" w:sz="8" w:space="0"/>
                    <w:right w:val="single" w:color="auto" w:sz="4" w:space="0"/>
                  </w:tcBorders>
                  <w:vAlign w:val="center"/>
                </w:tcPr>
                <w:p w14:paraId="0C1A3C00">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DA00</w:t>
                  </w:r>
                  <w:r>
                    <w:rPr>
                      <w:rFonts w:hint="eastAsia" w:ascii="Times New Roman" w:hAnsi="Times New Roman" w:eastAsia="等线" w:cs="Times New Roman"/>
                      <w:color w:val="auto"/>
                      <w:kern w:val="0"/>
                      <w:sz w:val="18"/>
                      <w:szCs w:val="18"/>
                      <w:highlight w:val="none"/>
                    </w:rPr>
                    <w:t>3</w:t>
                  </w:r>
                </w:p>
              </w:tc>
              <w:tc>
                <w:tcPr>
                  <w:tcW w:w="404" w:type="pct"/>
                  <w:tcBorders>
                    <w:top w:val="single" w:color="auto" w:sz="4" w:space="0"/>
                    <w:left w:val="single" w:color="auto" w:sz="4" w:space="0"/>
                    <w:bottom w:val="single" w:color="auto" w:sz="8" w:space="0"/>
                    <w:right w:val="single" w:color="auto" w:sz="4" w:space="0"/>
                  </w:tcBorders>
                  <w:vAlign w:val="center"/>
                </w:tcPr>
                <w:p w14:paraId="0AA37730">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有机废气排放口</w:t>
                  </w:r>
                </w:p>
              </w:tc>
              <w:tc>
                <w:tcPr>
                  <w:tcW w:w="346" w:type="pct"/>
                  <w:tcBorders>
                    <w:top w:val="single" w:color="auto" w:sz="4" w:space="0"/>
                    <w:left w:val="single" w:color="auto" w:sz="4" w:space="0"/>
                    <w:bottom w:val="single" w:color="auto" w:sz="8" w:space="0"/>
                    <w:right w:val="single" w:color="auto" w:sz="4" w:space="0"/>
                  </w:tcBorders>
                  <w:noWrap/>
                  <w:vAlign w:val="center"/>
                </w:tcPr>
                <w:p w14:paraId="6941577F">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有机废气</w:t>
                  </w:r>
                </w:p>
              </w:tc>
              <w:tc>
                <w:tcPr>
                  <w:tcW w:w="494" w:type="pct"/>
                  <w:tcBorders>
                    <w:top w:val="single" w:color="auto" w:sz="4" w:space="0"/>
                    <w:left w:val="single" w:color="auto" w:sz="4" w:space="0"/>
                    <w:bottom w:val="single" w:color="auto" w:sz="8" w:space="0"/>
                    <w:right w:val="single" w:color="auto" w:sz="4" w:space="0"/>
                  </w:tcBorders>
                  <w:noWrap/>
                  <w:vAlign w:val="center"/>
                </w:tcPr>
                <w:p w14:paraId="5AF21643">
                  <w:pPr>
                    <w:widowControl/>
                    <w:jc w:val="center"/>
                    <w:textAlignment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116.83791261</w:t>
                  </w:r>
                </w:p>
              </w:tc>
              <w:tc>
                <w:tcPr>
                  <w:tcW w:w="424" w:type="pct"/>
                  <w:tcBorders>
                    <w:top w:val="single" w:color="auto" w:sz="4" w:space="0"/>
                    <w:left w:val="single" w:color="auto" w:sz="4" w:space="0"/>
                    <w:bottom w:val="single" w:color="auto" w:sz="8" w:space="0"/>
                    <w:right w:val="single" w:color="auto" w:sz="4" w:space="0"/>
                  </w:tcBorders>
                  <w:noWrap/>
                  <w:vAlign w:val="center"/>
                </w:tcPr>
                <w:p w14:paraId="2616E77D">
                  <w:pPr>
                    <w:widowControl/>
                    <w:jc w:val="center"/>
                    <w:textAlignment w:val="center"/>
                    <w:rPr>
                      <w:rFonts w:ascii="Times New Roman" w:hAnsi="Times New Roman" w:eastAsia="等线" w:cs="Times New Roman"/>
                      <w:color w:val="auto"/>
                      <w:kern w:val="0"/>
                      <w:sz w:val="18"/>
                      <w:szCs w:val="18"/>
                      <w:highlight w:val="none"/>
                    </w:rPr>
                  </w:pPr>
                  <w:r>
                    <w:rPr>
                      <w:rFonts w:hint="eastAsia" w:ascii="Times New Roman" w:hAnsi="Times New Roman" w:eastAsia="等线" w:cs="Times New Roman"/>
                      <w:color w:val="auto"/>
                      <w:kern w:val="0"/>
                      <w:sz w:val="18"/>
                      <w:szCs w:val="18"/>
                      <w:highlight w:val="none"/>
                    </w:rPr>
                    <w:t>32.65321639</w:t>
                  </w:r>
                </w:p>
              </w:tc>
              <w:tc>
                <w:tcPr>
                  <w:tcW w:w="378" w:type="pct"/>
                  <w:tcBorders>
                    <w:top w:val="single" w:color="auto" w:sz="4" w:space="0"/>
                    <w:left w:val="single" w:color="auto" w:sz="4" w:space="0"/>
                    <w:bottom w:val="single" w:color="auto" w:sz="8" w:space="0"/>
                    <w:right w:val="single" w:color="auto" w:sz="4" w:space="0"/>
                  </w:tcBorders>
                  <w:noWrap/>
                  <w:vAlign w:val="center"/>
                </w:tcPr>
                <w:p w14:paraId="61E347B0">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非甲烷总烃</w:t>
                  </w:r>
                </w:p>
              </w:tc>
              <w:tc>
                <w:tcPr>
                  <w:tcW w:w="479" w:type="pct"/>
                  <w:tcBorders>
                    <w:top w:val="single" w:color="auto" w:sz="4" w:space="0"/>
                    <w:left w:val="single" w:color="auto" w:sz="4" w:space="0"/>
                    <w:bottom w:val="single" w:color="auto" w:sz="8" w:space="0"/>
                    <w:right w:val="single" w:color="auto" w:sz="4" w:space="0"/>
                  </w:tcBorders>
                  <w:noWrap/>
                  <w:vAlign w:val="center"/>
                </w:tcPr>
                <w:p w14:paraId="5F4A02DD">
                  <w:pPr>
                    <w:widowControl/>
                    <w:jc w:val="center"/>
                    <w:textAlignment w:val="center"/>
                    <w:rPr>
                      <w:rFonts w:hint="default" w:ascii="Times New Roman" w:hAnsi="Times New Roman" w:eastAsia="等线" w:cs="Times New Roman"/>
                      <w:color w:val="auto"/>
                      <w:sz w:val="18"/>
                      <w:szCs w:val="18"/>
                      <w:highlight w:val="none"/>
                      <w:lang w:val="en-US" w:eastAsia="zh-CN"/>
                    </w:rPr>
                  </w:pPr>
                  <w:r>
                    <w:rPr>
                      <w:rFonts w:hint="eastAsia" w:ascii="Times New Roman" w:hAnsi="Times New Roman" w:eastAsia="等线" w:cs="Times New Roman"/>
                      <w:color w:val="auto"/>
                      <w:kern w:val="0"/>
                      <w:sz w:val="18"/>
                      <w:szCs w:val="18"/>
                      <w:highlight w:val="none"/>
                      <w:lang w:val="en-US" w:eastAsia="zh-CN"/>
                    </w:rPr>
                    <w:t>40</w:t>
                  </w:r>
                </w:p>
              </w:tc>
              <w:tc>
                <w:tcPr>
                  <w:tcW w:w="497" w:type="pct"/>
                  <w:tcBorders>
                    <w:top w:val="single" w:color="auto" w:sz="4" w:space="0"/>
                    <w:left w:val="single" w:color="auto" w:sz="4" w:space="0"/>
                    <w:bottom w:val="single" w:color="auto" w:sz="8" w:space="0"/>
                    <w:right w:val="single" w:color="auto" w:sz="4" w:space="0"/>
                  </w:tcBorders>
                  <w:noWrap/>
                  <w:vAlign w:val="center"/>
                </w:tcPr>
                <w:p w14:paraId="0439AAE2">
                  <w:pPr>
                    <w:widowControl/>
                    <w:jc w:val="center"/>
                    <w:textAlignment w:val="center"/>
                    <w:rPr>
                      <w:rFonts w:hint="default" w:ascii="Times New Roman" w:hAnsi="Times New Roman" w:eastAsia="等线" w:cs="Times New Roman"/>
                      <w:color w:val="auto"/>
                      <w:kern w:val="0"/>
                      <w:sz w:val="18"/>
                      <w:szCs w:val="18"/>
                      <w:highlight w:val="none"/>
                      <w:lang w:val="en-US" w:eastAsia="zh-CN"/>
                    </w:rPr>
                  </w:pPr>
                  <w:r>
                    <w:rPr>
                      <w:rFonts w:hint="eastAsia" w:ascii="Times New Roman" w:hAnsi="Times New Roman" w:eastAsia="等线" w:cs="Times New Roman"/>
                      <w:color w:val="auto"/>
                      <w:kern w:val="0"/>
                      <w:sz w:val="18"/>
                      <w:szCs w:val="18"/>
                      <w:highlight w:val="none"/>
                      <w:lang w:val="en-US" w:eastAsia="zh-CN"/>
                    </w:rPr>
                    <w:t>1.6</w:t>
                  </w:r>
                </w:p>
              </w:tc>
              <w:tc>
                <w:tcPr>
                  <w:tcW w:w="323" w:type="pct"/>
                  <w:tcBorders>
                    <w:top w:val="single" w:color="auto" w:sz="4" w:space="0"/>
                    <w:left w:val="single" w:color="auto" w:sz="4" w:space="0"/>
                    <w:bottom w:val="single" w:color="auto" w:sz="8" w:space="0"/>
                    <w:right w:val="single" w:color="auto" w:sz="4" w:space="0"/>
                  </w:tcBorders>
                  <w:noWrap/>
                  <w:vAlign w:val="center"/>
                </w:tcPr>
                <w:p w14:paraId="513D938A">
                  <w:pPr>
                    <w:widowControl/>
                    <w:jc w:val="center"/>
                    <w:textAlignment w:val="center"/>
                    <w:rPr>
                      <w:rFonts w:ascii="Times New Roman" w:hAnsi="Times New Roman" w:eastAsia="等线" w:cs="Times New Roman"/>
                      <w:color w:val="auto"/>
                      <w:sz w:val="18"/>
                      <w:szCs w:val="18"/>
                      <w:highlight w:val="none"/>
                    </w:rPr>
                  </w:pPr>
                  <w:r>
                    <w:rPr>
                      <w:rFonts w:hint="eastAsia" w:ascii="Times New Roman" w:hAnsi="Times New Roman" w:eastAsia="等线" w:cs="Times New Roman"/>
                      <w:color w:val="auto"/>
                      <w:kern w:val="0"/>
                      <w:sz w:val="18"/>
                      <w:szCs w:val="18"/>
                      <w:highlight w:val="none"/>
                    </w:rPr>
                    <w:t>15</w:t>
                  </w:r>
                </w:p>
              </w:tc>
              <w:tc>
                <w:tcPr>
                  <w:tcW w:w="348" w:type="pct"/>
                  <w:tcBorders>
                    <w:top w:val="single" w:color="auto" w:sz="4" w:space="0"/>
                    <w:left w:val="single" w:color="auto" w:sz="4" w:space="0"/>
                    <w:bottom w:val="single" w:color="auto" w:sz="8" w:space="0"/>
                    <w:right w:val="single" w:color="auto" w:sz="4" w:space="0"/>
                  </w:tcBorders>
                  <w:noWrap/>
                  <w:vAlign w:val="center"/>
                </w:tcPr>
                <w:p w14:paraId="20B2D541">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0.</w:t>
                  </w:r>
                  <w:r>
                    <w:rPr>
                      <w:rFonts w:hint="eastAsia" w:ascii="Times New Roman" w:hAnsi="Times New Roman" w:eastAsia="等线" w:cs="Times New Roman"/>
                      <w:color w:val="auto"/>
                      <w:kern w:val="0"/>
                      <w:sz w:val="18"/>
                      <w:szCs w:val="18"/>
                      <w:highlight w:val="none"/>
                    </w:rPr>
                    <w:t>4</w:t>
                  </w:r>
                </w:p>
              </w:tc>
              <w:tc>
                <w:tcPr>
                  <w:tcW w:w="353" w:type="pct"/>
                  <w:tcBorders>
                    <w:top w:val="single" w:color="auto" w:sz="4" w:space="0"/>
                    <w:left w:val="single" w:color="auto" w:sz="4" w:space="0"/>
                    <w:bottom w:val="single" w:color="auto" w:sz="8" w:space="0"/>
                    <w:right w:val="single" w:color="auto" w:sz="4" w:space="0"/>
                  </w:tcBorders>
                  <w:noWrap/>
                  <w:vAlign w:val="center"/>
                </w:tcPr>
                <w:p w14:paraId="04DCC011">
                  <w:pPr>
                    <w:widowControl/>
                    <w:jc w:val="center"/>
                    <w:textAlignment w:val="center"/>
                    <w:rPr>
                      <w:rFonts w:ascii="Times New Roman" w:hAnsi="Times New Roman" w:eastAsia="等线" w:cs="Times New Roman"/>
                      <w:color w:val="auto"/>
                      <w:sz w:val="18"/>
                      <w:szCs w:val="18"/>
                      <w:highlight w:val="none"/>
                    </w:rPr>
                  </w:pPr>
                  <w:r>
                    <w:rPr>
                      <w:rFonts w:ascii="Times New Roman" w:hAnsi="Times New Roman" w:eastAsia="等线" w:cs="Times New Roman"/>
                      <w:color w:val="auto"/>
                      <w:kern w:val="0"/>
                      <w:sz w:val="18"/>
                      <w:szCs w:val="18"/>
                      <w:highlight w:val="none"/>
                    </w:rPr>
                    <w:t>25</w:t>
                  </w:r>
                </w:p>
              </w:tc>
              <w:tc>
                <w:tcPr>
                  <w:tcW w:w="246" w:type="pct"/>
                  <w:tcBorders>
                    <w:top w:val="single" w:color="auto" w:sz="4" w:space="0"/>
                    <w:left w:val="single" w:color="auto" w:sz="4" w:space="0"/>
                    <w:bottom w:val="single" w:color="auto" w:sz="8" w:space="0"/>
                    <w:right w:val="single" w:color="auto" w:sz="4" w:space="0"/>
                  </w:tcBorders>
                  <w:noWrap/>
                  <w:vAlign w:val="center"/>
                </w:tcPr>
                <w:p w14:paraId="20B36B70">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达标</w:t>
                  </w:r>
                </w:p>
              </w:tc>
              <w:tc>
                <w:tcPr>
                  <w:tcW w:w="400" w:type="pct"/>
                  <w:tcBorders>
                    <w:top w:val="single" w:color="auto" w:sz="4" w:space="0"/>
                    <w:left w:val="single" w:color="auto" w:sz="4" w:space="0"/>
                    <w:bottom w:val="single" w:color="auto" w:sz="8" w:space="0"/>
                    <w:right w:val="nil"/>
                  </w:tcBorders>
                  <w:noWrap/>
                  <w:vAlign w:val="center"/>
                </w:tcPr>
                <w:p w14:paraId="63D3CE46">
                  <w:pPr>
                    <w:widowControl/>
                    <w:jc w:val="center"/>
                    <w:textAlignment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rPr>
                    <w:t>一般排放口</w:t>
                  </w:r>
                </w:p>
              </w:tc>
            </w:tr>
          </w:tbl>
          <w:p w14:paraId="1F6ABACF">
            <w:pPr>
              <w:pStyle w:val="86"/>
              <w:rPr>
                <w:color w:val="auto"/>
                <w:highlight w:val="none"/>
              </w:rPr>
            </w:pPr>
            <w:r>
              <w:rPr>
                <w:color w:val="auto"/>
                <w:szCs w:val="21"/>
                <w:highlight w:val="none"/>
              </w:rPr>
              <w:t>注：</w:t>
            </w:r>
            <w:r>
              <w:rPr>
                <w:rFonts w:hint="eastAsia"/>
                <w:color w:val="auto"/>
                <w:szCs w:val="21"/>
                <w:highlight w:val="none"/>
              </w:rPr>
              <w:t>依据</w:t>
            </w:r>
            <w:r>
              <w:rPr>
                <w:color w:val="auto"/>
                <w:szCs w:val="21"/>
                <w:highlight w:val="none"/>
              </w:rPr>
              <w:t>《排污单位自行监测技术指南 总则》</w:t>
            </w:r>
            <w:r>
              <w:rPr>
                <w:rFonts w:ascii="Times New Roman" w:hAnsi="Times New Roman" w:cs="Times New Roman"/>
                <w:color w:val="auto"/>
                <w:szCs w:val="21"/>
                <w:highlight w:val="none"/>
              </w:rPr>
              <w:t>（HJ819-2017）判定本项</w:t>
            </w:r>
            <w:r>
              <w:rPr>
                <w:color w:val="auto"/>
                <w:szCs w:val="21"/>
                <w:highlight w:val="none"/>
              </w:rPr>
              <w:t>目排口</w:t>
            </w:r>
            <w:r>
              <w:rPr>
                <w:rFonts w:hint="eastAsia"/>
                <w:color w:val="auto"/>
                <w:szCs w:val="21"/>
                <w:highlight w:val="none"/>
              </w:rPr>
              <w:t>均</w:t>
            </w:r>
            <w:r>
              <w:rPr>
                <w:color w:val="auto"/>
                <w:szCs w:val="21"/>
                <w:highlight w:val="none"/>
              </w:rPr>
              <w:t>为</w:t>
            </w:r>
            <w:r>
              <w:rPr>
                <w:rFonts w:hint="eastAsia"/>
                <w:color w:val="auto"/>
                <w:szCs w:val="21"/>
                <w:highlight w:val="none"/>
              </w:rPr>
              <w:t>一般</w:t>
            </w:r>
            <w:r>
              <w:rPr>
                <w:color w:val="auto"/>
                <w:szCs w:val="21"/>
                <w:highlight w:val="none"/>
              </w:rPr>
              <w:t>排放口。</w:t>
            </w:r>
          </w:p>
        </w:tc>
      </w:tr>
    </w:tbl>
    <w:p w14:paraId="2A4A3F76">
      <w:pPr>
        <w:spacing w:line="360" w:lineRule="auto"/>
        <w:ind w:firstLine="420" w:firstLineChars="200"/>
        <w:rPr>
          <w:rFonts w:ascii="Times New Roman" w:hAnsi="Times New Roman" w:eastAsia="宋体" w:cs="Times New Roman"/>
          <w:color w:val="auto"/>
          <w:highlight w:val="non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18"/>
        <w:tblW w:w="84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0"/>
        <w:gridCol w:w="8122"/>
      </w:tblGrid>
      <w:tr w14:paraId="5E982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0" w:hRule="atLeast"/>
          <w:jc w:val="center"/>
        </w:trPr>
        <w:tc>
          <w:tcPr>
            <w:tcW w:w="338" w:type="dxa"/>
            <w:tcMar>
              <w:left w:w="28" w:type="dxa"/>
              <w:right w:w="28" w:type="dxa"/>
            </w:tcMar>
            <w:vAlign w:val="center"/>
          </w:tcPr>
          <w:p w14:paraId="40A25E3B">
            <w:pPr>
              <w:jc w:val="center"/>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运营期环境影响和保护措施</w:t>
            </w:r>
          </w:p>
        </w:tc>
        <w:tc>
          <w:tcPr>
            <w:tcW w:w="8104" w:type="dxa"/>
          </w:tcPr>
          <w:p w14:paraId="0CA20EDE">
            <w:pPr>
              <w:spacing w:line="360" w:lineRule="auto"/>
              <w:ind w:firstLine="480" w:firstLineChars="200"/>
              <w:rPr>
                <w:rFonts w:ascii="Times New Roman" w:hAnsi="Times New Roman" w:eastAsia="宋体" w:cs="Times New Roman"/>
                <w:bCs/>
                <w:color w:val="auto"/>
                <w:sz w:val="24"/>
                <w:szCs w:val="28"/>
                <w:highlight w:val="none"/>
              </w:rPr>
            </w:pPr>
            <w:r>
              <w:rPr>
                <w:rFonts w:ascii="Times New Roman" w:hAnsi="Times New Roman" w:eastAsia="宋体" w:cs="Times New Roman"/>
                <w:bCs/>
                <w:color w:val="auto"/>
                <w:sz w:val="24"/>
                <w:szCs w:val="28"/>
                <w:highlight w:val="none"/>
              </w:rPr>
              <w:t>本项目无组织排放废气包括未被回收的喷塑粉尘和未被集气罩收集的废气，根据核算，本项目无组织废气排放情况见下表：</w:t>
            </w:r>
          </w:p>
          <w:p w14:paraId="79817671">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w:t>
            </w:r>
            <w:r>
              <w:rPr>
                <w:rFonts w:hint="eastAsia" w:ascii="Times New Roman" w:hAnsi="Times New Roman" w:eastAsia="黑体" w:cs="Times New Roman"/>
                <w:color w:val="auto"/>
                <w:sz w:val="24"/>
                <w:highlight w:val="none"/>
              </w:rPr>
              <w:t>4</w:t>
            </w:r>
            <w:r>
              <w:rPr>
                <w:rFonts w:ascii="Times New Roman" w:hAnsi="Times New Roman" w:eastAsia="黑体" w:cs="Times New Roman"/>
                <w:color w:val="auto"/>
                <w:sz w:val="24"/>
                <w:highlight w:val="none"/>
              </w:rPr>
              <w:t xml:space="preserve"> </w:t>
            </w:r>
            <w:r>
              <w:rPr>
                <w:rFonts w:hint="eastAsia" w:ascii="Times New Roman" w:hAnsi="Times New Roman" w:eastAsia="黑体" w:cs="Times New Roman"/>
                <w:color w:val="auto"/>
                <w:sz w:val="24"/>
                <w:highlight w:val="none"/>
              </w:rPr>
              <w:t xml:space="preserve"> </w:t>
            </w:r>
            <w:r>
              <w:rPr>
                <w:rFonts w:ascii="Times New Roman" w:hAnsi="Times New Roman" w:eastAsia="黑体" w:cs="Times New Roman"/>
                <w:color w:val="auto"/>
                <w:sz w:val="24"/>
                <w:highlight w:val="none"/>
              </w:rPr>
              <w:t>项目无组织废气产生和排放情况表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274"/>
              <w:gridCol w:w="1167"/>
              <w:gridCol w:w="1467"/>
              <w:gridCol w:w="1167"/>
              <w:gridCol w:w="642"/>
              <w:gridCol w:w="1082"/>
            </w:tblGrid>
            <w:tr w14:paraId="299BA9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tcBorders>
                    <w:top w:val="single" w:color="auto" w:sz="8" w:space="0"/>
                  </w:tcBorders>
                  <w:vAlign w:val="center"/>
                </w:tcPr>
                <w:p w14:paraId="0E57FD14">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污染源</w:t>
                  </w:r>
                </w:p>
              </w:tc>
              <w:tc>
                <w:tcPr>
                  <w:tcW w:w="806" w:type="pct"/>
                  <w:tcBorders>
                    <w:top w:val="single" w:color="auto" w:sz="8" w:space="0"/>
                  </w:tcBorders>
                  <w:vAlign w:val="center"/>
                </w:tcPr>
                <w:p w14:paraId="0577003F">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污染物种类</w:t>
                  </w:r>
                </w:p>
              </w:tc>
              <w:tc>
                <w:tcPr>
                  <w:tcW w:w="738" w:type="pct"/>
                  <w:tcBorders>
                    <w:top w:val="single" w:color="auto" w:sz="8" w:space="0"/>
                  </w:tcBorders>
                  <w:vAlign w:val="center"/>
                </w:tcPr>
                <w:p w14:paraId="2806697A">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产生量</w:t>
                  </w:r>
                </w:p>
              </w:tc>
              <w:tc>
                <w:tcPr>
                  <w:tcW w:w="928" w:type="pct"/>
                  <w:tcBorders>
                    <w:top w:val="single" w:color="auto" w:sz="8" w:space="0"/>
                  </w:tcBorders>
                  <w:vAlign w:val="center"/>
                </w:tcPr>
                <w:p w14:paraId="43178E87">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收集治理工艺</w:t>
                  </w:r>
                </w:p>
              </w:tc>
              <w:tc>
                <w:tcPr>
                  <w:tcW w:w="738" w:type="pct"/>
                  <w:tcBorders>
                    <w:top w:val="single" w:color="auto" w:sz="8" w:space="0"/>
                  </w:tcBorders>
                  <w:vAlign w:val="center"/>
                </w:tcPr>
                <w:p w14:paraId="022F386C">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面源面积</w:t>
                  </w:r>
                </w:p>
              </w:tc>
              <w:tc>
                <w:tcPr>
                  <w:tcW w:w="406" w:type="pct"/>
                  <w:tcBorders>
                    <w:top w:val="single" w:color="auto" w:sz="8" w:space="0"/>
                  </w:tcBorders>
                  <w:vAlign w:val="center"/>
                </w:tcPr>
                <w:p w14:paraId="7DDC9402">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高度</w:t>
                  </w:r>
                </w:p>
              </w:tc>
              <w:tc>
                <w:tcPr>
                  <w:tcW w:w="684" w:type="pct"/>
                  <w:tcBorders>
                    <w:top w:val="single" w:color="auto" w:sz="8" w:space="0"/>
                  </w:tcBorders>
                  <w:vAlign w:val="center"/>
                </w:tcPr>
                <w:p w14:paraId="0907C7B8">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污染物排放量</w:t>
                  </w:r>
                </w:p>
              </w:tc>
            </w:tr>
            <w:tr w14:paraId="38A6DB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vMerge w:val="restart"/>
                  <w:vAlign w:val="center"/>
                </w:tcPr>
                <w:p w14:paraId="2BA06497">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生产车间</w:t>
                  </w:r>
                </w:p>
              </w:tc>
              <w:tc>
                <w:tcPr>
                  <w:tcW w:w="806" w:type="pct"/>
                  <w:vAlign w:val="center"/>
                </w:tcPr>
                <w:p w14:paraId="44EAC232">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颗粒物</w:t>
                  </w:r>
                </w:p>
              </w:tc>
              <w:tc>
                <w:tcPr>
                  <w:tcW w:w="738" w:type="pct"/>
                  <w:vAlign w:val="center"/>
                </w:tcPr>
                <w:p w14:paraId="13B14672">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sz w:val="18"/>
                      <w:szCs w:val="18"/>
                      <w:highlight w:val="none"/>
                    </w:rPr>
                    <w:t>0.</w:t>
                  </w:r>
                  <w:r>
                    <w:rPr>
                      <w:rFonts w:hint="eastAsia" w:ascii="Times New Roman" w:hAnsi="Times New Roman" w:eastAsia="宋体" w:cs="Times New Roman"/>
                      <w:color w:val="auto"/>
                      <w:sz w:val="18"/>
                      <w:szCs w:val="18"/>
                      <w:highlight w:val="none"/>
                    </w:rPr>
                    <w:t>412</w:t>
                  </w:r>
                  <w:r>
                    <w:rPr>
                      <w:rFonts w:hint="eastAsia" w:ascii="Times New Roman" w:hAnsi="Times New Roman" w:eastAsia="宋体" w:cs="Times New Roman"/>
                      <w:color w:val="auto"/>
                      <w:sz w:val="18"/>
                      <w:szCs w:val="18"/>
                      <w:highlight w:val="none"/>
                      <w:lang w:val="en-US" w:eastAsia="zh-CN"/>
                    </w:rPr>
                    <w:t>1</w:t>
                  </w:r>
                  <w:r>
                    <w:rPr>
                      <w:rFonts w:ascii="Times New Roman" w:hAnsi="Times New Roman" w:eastAsia="宋体" w:cs="Times New Roman"/>
                      <w:color w:val="auto"/>
                      <w:sz w:val="18"/>
                      <w:szCs w:val="18"/>
                      <w:highlight w:val="none"/>
                    </w:rPr>
                    <w:t>t/a</w:t>
                  </w:r>
                </w:p>
              </w:tc>
              <w:tc>
                <w:tcPr>
                  <w:tcW w:w="928" w:type="pct"/>
                  <w:vAlign w:val="center"/>
                </w:tcPr>
                <w:p w14:paraId="66B38645">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加强车间通风</w:t>
                  </w:r>
                </w:p>
              </w:tc>
              <w:tc>
                <w:tcPr>
                  <w:tcW w:w="738" w:type="pct"/>
                  <w:vAlign w:val="center"/>
                </w:tcPr>
                <w:p w14:paraId="28334EC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8390m</w:t>
                  </w:r>
                  <w:r>
                    <w:rPr>
                      <w:rFonts w:ascii="Times New Roman" w:hAnsi="Times New Roman" w:eastAsia="宋体" w:cs="Times New Roman"/>
                      <w:color w:val="auto"/>
                      <w:sz w:val="18"/>
                      <w:szCs w:val="18"/>
                      <w:highlight w:val="none"/>
                      <w:vertAlign w:val="superscript"/>
                    </w:rPr>
                    <w:t>2</w:t>
                  </w:r>
                </w:p>
              </w:tc>
              <w:tc>
                <w:tcPr>
                  <w:tcW w:w="406" w:type="pct"/>
                  <w:vAlign w:val="center"/>
                </w:tcPr>
                <w:p w14:paraId="5757F8A6">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10m</w:t>
                  </w:r>
                </w:p>
              </w:tc>
              <w:tc>
                <w:tcPr>
                  <w:tcW w:w="684" w:type="pct"/>
                  <w:vAlign w:val="center"/>
                </w:tcPr>
                <w:p w14:paraId="11AAE160">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color w:val="auto"/>
                      <w:sz w:val="18"/>
                      <w:szCs w:val="18"/>
                      <w:highlight w:val="none"/>
                    </w:rPr>
                    <w:t>0.412</w:t>
                  </w:r>
                  <w:r>
                    <w:rPr>
                      <w:rFonts w:hint="eastAsia" w:ascii="Times New Roman" w:hAnsi="Times New Roman" w:eastAsia="宋体" w:cs="Times New Roman"/>
                      <w:color w:val="auto"/>
                      <w:sz w:val="18"/>
                      <w:szCs w:val="18"/>
                      <w:highlight w:val="none"/>
                      <w:lang w:val="en-US" w:eastAsia="zh-CN"/>
                    </w:rPr>
                    <w:t>1</w:t>
                  </w:r>
                  <w:r>
                    <w:rPr>
                      <w:rFonts w:ascii="Times New Roman" w:hAnsi="Times New Roman" w:eastAsia="宋体" w:cs="Times New Roman"/>
                      <w:color w:val="auto"/>
                      <w:sz w:val="18"/>
                      <w:szCs w:val="18"/>
                      <w:highlight w:val="none"/>
                    </w:rPr>
                    <w:t>t/a</w:t>
                  </w:r>
                </w:p>
              </w:tc>
            </w:tr>
            <w:tr w14:paraId="442479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pct"/>
                  <w:vMerge w:val="continue"/>
                  <w:vAlign w:val="center"/>
                </w:tcPr>
                <w:p w14:paraId="39C94EE8">
                  <w:pPr>
                    <w:snapToGrid w:val="0"/>
                    <w:spacing w:line="276" w:lineRule="auto"/>
                    <w:jc w:val="center"/>
                    <w:rPr>
                      <w:rFonts w:ascii="Times New Roman" w:hAnsi="Times New Roman" w:eastAsia="宋体" w:cs="Times New Roman"/>
                      <w:color w:val="auto"/>
                      <w:sz w:val="18"/>
                      <w:szCs w:val="18"/>
                      <w:highlight w:val="none"/>
                    </w:rPr>
                  </w:pPr>
                </w:p>
              </w:tc>
              <w:tc>
                <w:tcPr>
                  <w:tcW w:w="806" w:type="pct"/>
                  <w:vAlign w:val="center"/>
                </w:tcPr>
                <w:p w14:paraId="31D8B99B">
                  <w:pPr>
                    <w:snapToGrid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非甲烷总烃</w:t>
                  </w:r>
                </w:p>
              </w:tc>
              <w:tc>
                <w:tcPr>
                  <w:tcW w:w="738" w:type="pct"/>
                  <w:vAlign w:val="center"/>
                </w:tcPr>
                <w:p w14:paraId="11BBB3F4">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0.0012</w:t>
                  </w:r>
                  <w:r>
                    <w:rPr>
                      <w:rFonts w:ascii="Times New Roman" w:hAnsi="Times New Roman" w:eastAsia="宋体" w:cs="Times New Roman"/>
                      <w:color w:val="auto"/>
                      <w:sz w:val="18"/>
                      <w:szCs w:val="18"/>
                      <w:highlight w:val="none"/>
                    </w:rPr>
                    <w:t>t/a</w:t>
                  </w:r>
                </w:p>
              </w:tc>
              <w:tc>
                <w:tcPr>
                  <w:tcW w:w="928" w:type="pct"/>
                  <w:vAlign w:val="center"/>
                </w:tcPr>
                <w:p w14:paraId="788CC3C6">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加强车间通风</w:t>
                  </w:r>
                </w:p>
              </w:tc>
              <w:tc>
                <w:tcPr>
                  <w:tcW w:w="1167" w:type="dxa"/>
                  <w:vAlign w:val="center"/>
                </w:tcPr>
                <w:p w14:paraId="6933610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8390m</w:t>
                  </w:r>
                  <w:r>
                    <w:rPr>
                      <w:rFonts w:ascii="Times New Roman" w:hAnsi="Times New Roman" w:eastAsia="宋体" w:cs="Times New Roman"/>
                      <w:color w:val="auto"/>
                      <w:sz w:val="18"/>
                      <w:szCs w:val="18"/>
                      <w:highlight w:val="none"/>
                      <w:vertAlign w:val="superscript"/>
                    </w:rPr>
                    <w:t>2</w:t>
                  </w:r>
                </w:p>
              </w:tc>
              <w:tc>
                <w:tcPr>
                  <w:tcW w:w="642" w:type="dxa"/>
                  <w:vAlign w:val="center"/>
                </w:tcPr>
                <w:p w14:paraId="56523885">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10m</w:t>
                  </w:r>
                </w:p>
              </w:tc>
              <w:tc>
                <w:tcPr>
                  <w:tcW w:w="1082" w:type="dxa"/>
                  <w:vAlign w:val="center"/>
                </w:tcPr>
                <w:p w14:paraId="32F8ED12">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0.0012</w:t>
                  </w:r>
                  <w:r>
                    <w:rPr>
                      <w:rFonts w:ascii="Times New Roman" w:hAnsi="Times New Roman" w:eastAsia="宋体" w:cs="Times New Roman"/>
                      <w:color w:val="auto"/>
                      <w:sz w:val="18"/>
                      <w:szCs w:val="18"/>
                      <w:highlight w:val="none"/>
                    </w:rPr>
                    <w:t>t/a</w:t>
                  </w:r>
                </w:p>
              </w:tc>
            </w:tr>
          </w:tbl>
          <w:p w14:paraId="5EA6D1F9">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②非正常工况</w:t>
            </w:r>
          </w:p>
          <w:p w14:paraId="5DBA45FF">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该项目非正常排放考虑袋式除尘</w:t>
            </w:r>
            <w:r>
              <w:rPr>
                <w:rFonts w:hint="eastAsia" w:ascii="Times New Roman" w:hAnsi="Times New Roman" w:eastAsia="宋体" w:cs="Times New Roman"/>
                <w:bCs/>
                <w:color w:val="auto"/>
                <w:sz w:val="24"/>
                <w:szCs w:val="24"/>
                <w:highlight w:val="none"/>
              </w:rPr>
              <w:t>、</w:t>
            </w:r>
            <w:r>
              <w:rPr>
                <w:rFonts w:hint="eastAsia" w:ascii="Times New Roman" w:hAnsi="Times New Roman" w:eastAsia="宋体" w:cs="Times New Roman"/>
                <w:bCs/>
                <w:color w:val="auto"/>
                <w:sz w:val="24"/>
                <w:szCs w:val="24"/>
                <w:highlight w:val="none"/>
                <w:lang w:eastAsia="zh-CN"/>
              </w:rPr>
              <w:t>大旋风+滤芯粉末回收+袋式除尘装置</w:t>
            </w:r>
            <w:r>
              <w:rPr>
                <w:rFonts w:ascii="Times New Roman" w:hAnsi="Times New Roman" w:eastAsia="宋体" w:cs="Times New Roman"/>
                <w:bCs/>
                <w:color w:val="auto"/>
                <w:sz w:val="24"/>
                <w:szCs w:val="24"/>
                <w:highlight w:val="none"/>
              </w:rPr>
              <w:t>和二级活性炭装置达不到应有的收集处理效率从而发生非正常排放，一般事故的非正常排放效率约每年1-3次，为小概率事件。本次评价取1次/年，每次持续时间30分钟。根据污染源核算中的污染物产生情况，本项目非正常排放源强见下表所示：</w:t>
            </w:r>
          </w:p>
          <w:p w14:paraId="76455989">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w:t>
            </w:r>
            <w:r>
              <w:rPr>
                <w:rFonts w:hint="eastAsia" w:ascii="Times New Roman" w:hAnsi="Times New Roman" w:eastAsia="黑体" w:cs="Times New Roman"/>
                <w:color w:val="auto"/>
                <w:sz w:val="24"/>
                <w:highlight w:val="none"/>
              </w:rPr>
              <w:t xml:space="preserve">5  </w:t>
            </w:r>
            <w:r>
              <w:rPr>
                <w:rFonts w:ascii="Times New Roman" w:hAnsi="Times New Roman" w:eastAsia="黑体" w:cs="Times New Roman"/>
                <w:color w:val="auto"/>
                <w:sz w:val="24"/>
                <w:highlight w:val="none"/>
              </w:rPr>
              <w:t>项目非正常工况排放参数表</w:t>
            </w:r>
          </w:p>
          <w:tbl>
            <w:tblPr>
              <w:tblStyle w:val="19"/>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1123"/>
              <w:gridCol w:w="949"/>
              <w:gridCol w:w="1306"/>
              <w:gridCol w:w="1322"/>
              <w:gridCol w:w="1148"/>
              <w:gridCol w:w="1047"/>
            </w:tblGrid>
            <w:tr w14:paraId="423628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3" w:hRule="atLeast"/>
                <w:jc w:val="center"/>
              </w:trPr>
              <w:tc>
                <w:tcPr>
                  <w:tcW w:w="636" w:type="pct"/>
                  <w:vMerge w:val="restart"/>
                  <w:tcBorders>
                    <w:top w:val="single" w:color="auto" w:sz="8" w:space="0"/>
                    <w:bottom w:val="single" w:color="auto" w:sz="4" w:space="0"/>
                  </w:tcBorders>
                  <w:vAlign w:val="center"/>
                </w:tcPr>
                <w:p w14:paraId="39DFECC2">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非正常</w:t>
                  </w:r>
                </w:p>
                <w:p w14:paraId="1B04500D">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排放源</w:t>
                  </w:r>
                </w:p>
              </w:tc>
              <w:tc>
                <w:tcPr>
                  <w:tcW w:w="711" w:type="pct"/>
                  <w:vMerge w:val="restart"/>
                  <w:tcBorders>
                    <w:top w:val="single" w:color="auto" w:sz="8" w:space="0"/>
                    <w:bottom w:val="single" w:color="auto" w:sz="4" w:space="0"/>
                  </w:tcBorders>
                  <w:vAlign w:val="center"/>
                </w:tcPr>
                <w:p w14:paraId="755281FA">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非正常排放原因</w:t>
                  </w:r>
                </w:p>
              </w:tc>
              <w:tc>
                <w:tcPr>
                  <w:tcW w:w="600" w:type="pct"/>
                  <w:vMerge w:val="restart"/>
                  <w:tcBorders>
                    <w:top w:val="single" w:color="auto" w:sz="8" w:space="0"/>
                    <w:bottom w:val="single" w:color="auto" w:sz="4" w:space="0"/>
                  </w:tcBorders>
                  <w:vAlign w:val="center"/>
                </w:tcPr>
                <w:p w14:paraId="0137E714">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污染物</w:t>
                  </w:r>
                </w:p>
              </w:tc>
              <w:tc>
                <w:tcPr>
                  <w:tcW w:w="826" w:type="pct"/>
                  <w:vMerge w:val="restart"/>
                  <w:tcBorders>
                    <w:top w:val="single" w:color="auto" w:sz="8" w:space="0"/>
                    <w:bottom w:val="single" w:color="auto" w:sz="4" w:space="0"/>
                  </w:tcBorders>
                  <w:vAlign w:val="center"/>
                </w:tcPr>
                <w:p w14:paraId="63A7D952">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单次持续时间（h）</w:t>
                  </w:r>
                </w:p>
              </w:tc>
              <w:tc>
                <w:tcPr>
                  <w:tcW w:w="1562" w:type="pct"/>
                  <w:gridSpan w:val="2"/>
                  <w:tcBorders>
                    <w:top w:val="single" w:color="auto" w:sz="8" w:space="0"/>
                    <w:bottom w:val="single" w:color="auto" w:sz="4" w:space="0"/>
                  </w:tcBorders>
                  <w:vAlign w:val="center"/>
                </w:tcPr>
                <w:p w14:paraId="1E8267B8">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非正常排放</w:t>
                  </w:r>
                </w:p>
              </w:tc>
              <w:tc>
                <w:tcPr>
                  <w:tcW w:w="662" w:type="pct"/>
                  <w:vMerge w:val="restart"/>
                  <w:tcBorders>
                    <w:top w:val="single" w:color="auto" w:sz="8" w:space="0"/>
                    <w:bottom w:val="single" w:color="auto" w:sz="4" w:space="0"/>
                  </w:tcBorders>
                  <w:vAlign w:val="center"/>
                </w:tcPr>
                <w:p w14:paraId="45D773F9">
                  <w:pPr>
                    <w:widowControl/>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年发生频次（次）</w:t>
                  </w:r>
                </w:p>
              </w:tc>
            </w:tr>
            <w:tr w14:paraId="3B0BEC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636" w:type="pct"/>
                  <w:vMerge w:val="continue"/>
                  <w:tcBorders>
                    <w:top w:val="single" w:color="auto" w:sz="4" w:space="0"/>
                    <w:bottom w:val="single" w:color="auto" w:sz="4" w:space="0"/>
                  </w:tcBorders>
                  <w:vAlign w:val="center"/>
                </w:tcPr>
                <w:p w14:paraId="4BB1C3E0">
                  <w:pPr>
                    <w:widowControl/>
                    <w:snapToGrid w:val="0"/>
                    <w:spacing w:line="276" w:lineRule="auto"/>
                    <w:jc w:val="center"/>
                    <w:rPr>
                      <w:rFonts w:ascii="Times New Roman" w:hAnsi="Times New Roman" w:eastAsia="宋体" w:cs="Times New Roman"/>
                      <w:b/>
                      <w:color w:val="auto"/>
                      <w:sz w:val="18"/>
                      <w:szCs w:val="18"/>
                      <w:highlight w:val="none"/>
                    </w:rPr>
                  </w:pPr>
                </w:p>
              </w:tc>
              <w:tc>
                <w:tcPr>
                  <w:tcW w:w="711" w:type="pct"/>
                  <w:vMerge w:val="continue"/>
                  <w:tcBorders>
                    <w:top w:val="single" w:color="auto" w:sz="4" w:space="0"/>
                    <w:bottom w:val="single" w:color="auto" w:sz="4" w:space="0"/>
                  </w:tcBorders>
                  <w:vAlign w:val="center"/>
                </w:tcPr>
                <w:p w14:paraId="7004B3B2">
                  <w:pPr>
                    <w:widowControl/>
                    <w:snapToGrid w:val="0"/>
                    <w:spacing w:line="276" w:lineRule="auto"/>
                    <w:jc w:val="center"/>
                    <w:rPr>
                      <w:rFonts w:ascii="Times New Roman" w:hAnsi="Times New Roman" w:eastAsia="宋体" w:cs="Times New Roman"/>
                      <w:b/>
                      <w:color w:val="auto"/>
                      <w:sz w:val="18"/>
                      <w:szCs w:val="18"/>
                      <w:highlight w:val="none"/>
                    </w:rPr>
                  </w:pPr>
                </w:p>
              </w:tc>
              <w:tc>
                <w:tcPr>
                  <w:tcW w:w="600" w:type="pct"/>
                  <w:vMerge w:val="continue"/>
                  <w:tcBorders>
                    <w:top w:val="single" w:color="auto" w:sz="4" w:space="0"/>
                    <w:bottom w:val="single" w:color="auto" w:sz="4" w:space="0"/>
                  </w:tcBorders>
                  <w:vAlign w:val="center"/>
                </w:tcPr>
                <w:p w14:paraId="277AA111">
                  <w:pPr>
                    <w:widowControl/>
                    <w:snapToGrid w:val="0"/>
                    <w:spacing w:line="276" w:lineRule="auto"/>
                    <w:jc w:val="center"/>
                    <w:rPr>
                      <w:rFonts w:ascii="Times New Roman" w:hAnsi="Times New Roman" w:eastAsia="宋体" w:cs="Times New Roman"/>
                      <w:b/>
                      <w:color w:val="auto"/>
                      <w:sz w:val="18"/>
                      <w:szCs w:val="18"/>
                      <w:highlight w:val="none"/>
                    </w:rPr>
                  </w:pPr>
                </w:p>
              </w:tc>
              <w:tc>
                <w:tcPr>
                  <w:tcW w:w="826" w:type="pct"/>
                  <w:vMerge w:val="continue"/>
                  <w:tcBorders>
                    <w:top w:val="single" w:color="auto" w:sz="4" w:space="0"/>
                    <w:bottom w:val="single" w:color="auto" w:sz="4" w:space="0"/>
                  </w:tcBorders>
                  <w:vAlign w:val="center"/>
                </w:tcPr>
                <w:p w14:paraId="4067847F">
                  <w:pPr>
                    <w:widowControl/>
                    <w:snapToGrid w:val="0"/>
                    <w:spacing w:line="276" w:lineRule="auto"/>
                    <w:jc w:val="center"/>
                    <w:rPr>
                      <w:rFonts w:ascii="Times New Roman" w:hAnsi="Times New Roman" w:eastAsia="宋体" w:cs="Times New Roman"/>
                      <w:b/>
                      <w:color w:val="auto"/>
                      <w:sz w:val="18"/>
                      <w:szCs w:val="18"/>
                      <w:highlight w:val="none"/>
                    </w:rPr>
                  </w:pPr>
                </w:p>
              </w:tc>
              <w:tc>
                <w:tcPr>
                  <w:tcW w:w="836" w:type="pct"/>
                  <w:tcBorders>
                    <w:top w:val="single" w:color="auto" w:sz="4" w:space="0"/>
                    <w:bottom w:val="single" w:color="auto" w:sz="4" w:space="0"/>
                  </w:tcBorders>
                  <w:vAlign w:val="center"/>
                </w:tcPr>
                <w:p w14:paraId="34CDF6DE">
                  <w:pPr>
                    <w:widowControl/>
                    <w:snapToGrid w:val="0"/>
                    <w:spacing w:line="276" w:lineRule="auto"/>
                    <w:jc w:val="center"/>
                    <w:rPr>
                      <w:rFonts w:ascii="Times New Roman" w:hAnsi="Times New Roman" w:eastAsia="宋体" w:cs="Times New Roman"/>
                      <w:b/>
                      <w:bCs/>
                      <w:color w:val="auto"/>
                      <w:sz w:val="18"/>
                      <w:szCs w:val="18"/>
                      <w:highlight w:val="none"/>
                    </w:rPr>
                  </w:pPr>
                  <w:r>
                    <w:rPr>
                      <w:rFonts w:hint="eastAsia" w:ascii="宋体" w:hAnsi="宋体" w:eastAsia="宋体" w:cs="宋体"/>
                      <w:b/>
                      <w:bCs/>
                      <w:i w:val="0"/>
                      <w:iCs w:val="0"/>
                      <w:color w:val="auto"/>
                      <w:kern w:val="0"/>
                      <w:sz w:val="18"/>
                      <w:szCs w:val="18"/>
                      <w:u w:val="none"/>
                      <w:lang w:val="en-US" w:eastAsia="zh-CN" w:bidi="ar"/>
                    </w:rPr>
                    <w:t>排放浓度</w:t>
                  </w:r>
                  <w:r>
                    <w:rPr>
                      <w:rFonts w:hint="default" w:ascii="Times New Roman" w:hAnsi="Times New Roman" w:eastAsia="宋体" w:cs="Times New Roman"/>
                      <w:b/>
                      <w:bCs/>
                      <w:i w:val="0"/>
                      <w:iCs w:val="0"/>
                      <w:color w:val="auto"/>
                      <w:kern w:val="0"/>
                      <w:sz w:val="18"/>
                      <w:szCs w:val="18"/>
                      <w:u w:val="none"/>
                      <w:lang w:val="en-US" w:eastAsia="zh-CN" w:bidi="ar"/>
                    </w:rPr>
                    <w:t>mg/m</w:t>
                  </w:r>
                  <w:r>
                    <w:rPr>
                      <w:rFonts w:hint="default" w:ascii="Times New Roman" w:hAnsi="Times New Roman" w:eastAsia="宋体" w:cs="Times New Roman"/>
                      <w:b/>
                      <w:bCs/>
                      <w:i w:val="0"/>
                      <w:iCs w:val="0"/>
                      <w:color w:val="auto"/>
                      <w:kern w:val="0"/>
                      <w:sz w:val="18"/>
                      <w:szCs w:val="18"/>
                      <w:u w:val="none"/>
                      <w:vertAlign w:val="superscript"/>
                      <w:lang w:val="en-US" w:eastAsia="zh-CN" w:bidi="ar"/>
                    </w:rPr>
                    <w:t>3</w:t>
                  </w:r>
                </w:p>
              </w:tc>
              <w:tc>
                <w:tcPr>
                  <w:tcW w:w="725" w:type="pct"/>
                  <w:tcBorders>
                    <w:top w:val="single" w:color="auto" w:sz="4" w:space="0"/>
                    <w:bottom w:val="single" w:color="auto" w:sz="4" w:space="0"/>
                  </w:tcBorders>
                  <w:vAlign w:val="center"/>
                </w:tcPr>
                <w:p w14:paraId="78BB1AAE">
                  <w:pPr>
                    <w:widowControl/>
                    <w:snapToGrid w:val="0"/>
                    <w:spacing w:line="276" w:lineRule="auto"/>
                    <w:jc w:val="center"/>
                    <w:rPr>
                      <w:rFonts w:ascii="Times New Roman" w:hAnsi="Times New Roman" w:eastAsia="宋体" w:cs="Times New Roman"/>
                      <w:b/>
                      <w:bCs/>
                      <w:color w:val="auto"/>
                      <w:sz w:val="18"/>
                      <w:szCs w:val="18"/>
                      <w:highlight w:val="none"/>
                    </w:rPr>
                  </w:pPr>
                  <w:r>
                    <w:rPr>
                      <w:rFonts w:hint="eastAsia" w:ascii="宋体" w:hAnsi="宋体" w:eastAsia="宋体" w:cs="宋体"/>
                      <w:b/>
                      <w:bCs/>
                      <w:i w:val="0"/>
                      <w:iCs w:val="0"/>
                      <w:color w:val="auto"/>
                      <w:kern w:val="0"/>
                      <w:sz w:val="18"/>
                      <w:szCs w:val="18"/>
                      <w:u w:val="none"/>
                      <w:lang w:val="en-US" w:eastAsia="zh-CN" w:bidi="ar"/>
                    </w:rPr>
                    <w:t>排放量kg</w:t>
                  </w:r>
                </w:p>
              </w:tc>
              <w:tc>
                <w:tcPr>
                  <w:tcW w:w="662" w:type="pct"/>
                  <w:vMerge w:val="continue"/>
                  <w:tcBorders>
                    <w:top w:val="single" w:color="auto" w:sz="4" w:space="0"/>
                    <w:bottom w:val="single" w:color="auto" w:sz="4" w:space="0"/>
                  </w:tcBorders>
                  <w:vAlign w:val="center"/>
                </w:tcPr>
                <w:p w14:paraId="256F29F4">
                  <w:pPr>
                    <w:widowControl/>
                    <w:snapToGrid w:val="0"/>
                    <w:spacing w:line="276" w:lineRule="auto"/>
                    <w:jc w:val="center"/>
                    <w:rPr>
                      <w:rFonts w:ascii="Times New Roman" w:hAnsi="Times New Roman" w:eastAsia="宋体" w:cs="Times New Roman"/>
                      <w:b/>
                      <w:color w:val="auto"/>
                      <w:sz w:val="18"/>
                      <w:szCs w:val="18"/>
                      <w:highlight w:val="none"/>
                    </w:rPr>
                  </w:pPr>
                </w:p>
              </w:tc>
            </w:tr>
            <w:tr w14:paraId="1F736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pct"/>
                  <w:tcBorders>
                    <w:top w:val="single" w:color="auto" w:sz="4" w:space="0"/>
                    <w:bottom w:val="single" w:color="auto" w:sz="4" w:space="0"/>
                  </w:tcBorders>
                  <w:vAlign w:val="center"/>
                </w:tcPr>
                <w:p w14:paraId="4B8AA310">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DA001</w:t>
                  </w:r>
                </w:p>
              </w:tc>
              <w:tc>
                <w:tcPr>
                  <w:tcW w:w="711" w:type="pct"/>
                  <w:tcBorders>
                    <w:top w:val="single" w:color="auto" w:sz="4" w:space="0"/>
                    <w:bottom w:val="single" w:color="auto" w:sz="4" w:space="0"/>
                  </w:tcBorders>
                  <w:vAlign w:val="center"/>
                </w:tcPr>
                <w:p w14:paraId="5C229740">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废气治理</w:t>
                  </w:r>
                </w:p>
                <w:p w14:paraId="6AAC3440">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设施故障</w:t>
                  </w:r>
                </w:p>
              </w:tc>
              <w:tc>
                <w:tcPr>
                  <w:tcW w:w="600" w:type="pct"/>
                  <w:tcBorders>
                    <w:top w:val="single" w:color="auto" w:sz="4" w:space="0"/>
                    <w:bottom w:val="single" w:color="auto" w:sz="4" w:space="0"/>
                  </w:tcBorders>
                  <w:vAlign w:val="center"/>
                </w:tcPr>
                <w:p w14:paraId="76ECBBB6">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颗粒物</w:t>
                  </w:r>
                </w:p>
              </w:tc>
              <w:tc>
                <w:tcPr>
                  <w:tcW w:w="826" w:type="pct"/>
                  <w:tcBorders>
                    <w:top w:val="single" w:color="auto" w:sz="4" w:space="0"/>
                    <w:bottom w:val="single" w:color="auto" w:sz="4" w:space="0"/>
                  </w:tcBorders>
                  <w:vAlign w:val="center"/>
                </w:tcPr>
                <w:p w14:paraId="5FC7381F">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0.5</w:t>
                  </w:r>
                </w:p>
              </w:tc>
              <w:tc>
                <w:tcPr>
                  <w:tcW w:w="1322" w:type="dxa"/>
                  <w:tcBorders>
                    <w:top w:val="single" w:color="auto" w:sz="4" w:space="0"/>
                    <w:bottom w:val="single" w:color="auto" w:sz="4" w:space="0"/>
                  </w:tcBorders>
                  <w:vAlign w:val="center"/>
                </w:tcPr>
                <w:p w14:paraId="2067655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lang w:val="en-US"/>
                    </w:rPr>
                  </w:pP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Times New Roman" w:hAnsi="Times New Roman" w:eastAsia="宋体" w:cs="Times New Roman"/>
                      <w:i w:val="0"/>
                      <w:iCs w:val="0"/>
                      <w:color w:val="auto"/>
                      <w:kern w:val="0"/>
                      <w:sz w:val="18"/>
                      <w:szCs w:val="18"/>
                      <w:u w:val="none"/>
                      <w:lang w:val="en-US" w:eastAsia="zh-CN" w:bidi="ar"/>
                    </w:rPr>
                    <w:t>01</w:t>
                  </w:r>
                </w:p>
              </w:tc>
              <w:tc>
                <w:tcPr>
                  <w:tcW w:w="725" w:type="pct"/>
                  <w:tcBorders>
                    <w:top w:val="single" w:color="auto" w:sz="4" w:space="0"/>
                    <w:bottom w:val="single" w:color="auto" w:sz="4" w:space="0"/>
                  </w:tcBorders>
                  <w:vAlign w:val="center"/>
                </w:tcPr>
                <w:p w14:paraId="25B8BF8B">
                  <w:pPr>
                    <w:widowControl/>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0.1</w:t>
                  </w:r>
                </w:p>
              </w:tc>
              <w:tc>
                <w:tcPr>
                  <w:tcW w:w="662" w:type="pct"/>
                  <w:tcBorders>
                    <w:top w:val="single" w:color="auto" w:sz="4" w:space="0"/>
                    <w:bottom w:val="single" w:color="auto" w:sz="4" w:space="0"/>
                  </w:tcBorders>
                  <w:vAlign w:val="center"/>
                </w:tcPr>
                <w:p w14:paraId="4717032D">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w:t>
                  </w:r>
                </w:p>
              </w:tc>
            </w:tr>
            <w:tr w14:paraId="325E3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pct"/>
                  <w:tcBorders>
                    <w:top w:val="single" w:color="auto" w:sz="4" w:space="0"/>
                    <w:bottom w:val="single" w:color="auto" w:sz="4" w:space="0"/>
                  </w:tcBorders>
                  <w:vAlign w:val="center"/>
                </w:tcPr>
                <w:p w14:paraId="13587090">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DA002</w:t>
                  </w:r>
                </w:p>
              </w:tc>
              <w:tc>
                <w:tcPr>
                  <w:tcW w:w="711" w:type="pct"/>
                  <w:tcBorders>
                    <w:top w:val="single" w:color="auto" w:sz="4" w:space="0"/>
                    <w:bottom w:val="single" w:color="auto" w:sz="4" w:space="0"/>
                  </w:tcBorders>
                  <w:vAlign w:val="center"/>
                </w:tcPr>
                <w:p w14:paraId="5E0DAAC9">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废气治理</w:t>
                  </w:r>
                </w:p>
                <w:p w14:paraId="5693C1DE">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设施故障</w:t>
                  </w:r>
                </w:p>
              </w:tc>
              <w:tc>
                <w:tcPr>
                  <w:tcW w:w="600" w:type="pct"/>
                  <w:tcBorders>
                    <w:top w:val="single" w:color="auto" w:sz="4" w:space="0"/>
                    <w:bottom w:val="single" w:color="auto" w:sz="4" w:space="0"/>
                  </w:tcBorders>
                  <w:vAlign w:val="center"/>
                </w:tcPr>
                <w:p w14:paraId="14363BBB">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颗粒物</w:t>
                  </w:r>
                </w:p>
              </w:tc>
              <w:tc>
                <w:tcPr>
                  <w:tcW w:w="826" w:type="pct"/>
                  <w:tcBorders>
                    <w:top w:val="single" w:color="auto" w:sz="4" w:space="0"/>
                    <w:bottom w:val="single" w:color="auto" w:sz="4" w:space="0"/>
                  </w:tcBorders>
                  <w:vAlign w:val="center"/>
                </w:tcPr>
                <w:p w14:paraId="18E7C0A4">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0.5</w:t>
                  </w:r>
                </w:p>
              </w:tc>
              <w:tc>
                <w:tcPr>
                  <w:tcW w:w="1322" w:type="dxa"/>
                  <w:tcBorders>
                    <w:top w:val="single" w:color="auto" w:sz="4" w:space="0"/>
                    <w:bottom w:val="single" w:color="auto" w:sz="4" w:space="0"/>
                  </w:tcBorders>
                  <w:vAlign w:val="center"/>
                </w:tcPr>
                <w:p w14:paraId="3DB153F3">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412.5</w:t>
                  </w:r>
                </w:p>
              </w:tc>
              <w:tc>
                <w:tcPr>
                  <w:tcW w:w="725" w:type="pct"/>
                  <w:tcBorders>
                    <w:top w:val="single" w:color="auto" w:sz="4" w:space="0"/>
                    <w:bottom w:val="single" w:color="auto" w:sz="4" w:space="0"/>
                  </w:tcBorders>
                  <w:vAlign w:val="center"/>
                </w:tcPr>
                <w:p w14:paraId="04F153E6">
                  <w:pPr>
                    <w:widowControl/>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3</w:t>
                  </w:r>
                </w:p>
              </w:tc>
              <w:tc>
                <w:tcPr>
                  <w:tcW w:w="662" w:type="pct"/>
                  <w:tcBorders>
                    <w:top w:val="single" w:color="auto" w:sz="4" w:space="0"/>
                    <w:bottom w:val="single" w:color="auto" w:sz="4" w:space="0"/>
                  </w:tcBorders>
                  <w:vAlign w:val="center"/>
                </w:tcPr>
                <w:p w14:paraId="464C01CA">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p>
              </w:tc>
            </w:tr>
            <w:tr w14:paraId="465C42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6" w:type="pct"/>
                  <w:tcBorders>
                    <w:top w:val="single" w:color="auto" w:sz="4" w:space="0"/>
                    <w:bottom w:val="single" w:color="auto" w:sz="8" w:space="0"/>
                  </w:tcBorders>
                  <w:vAlign w:val="center"/>
                </w:tcPr>
                <w:p w14:paraId="29E29C9D">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DA003</w:t>
                  </w:r>
                </w:p>
              </w:tc>
              <w:tc>
                <w:tcPr>
                  <w:tcW w:w="711" w:type="pct"/>
                  <w:tcBorders>
                    <w:top w:val="single" w:color="auto" w:sz="4" w:space="0"/>
                    <w:bottom w:val="single" w:color="auto" w:sz="8" w:space="0"/>
                  </w:tcBorders>
                  <w:vAlign w:val="center"/>
                </w:tcPr>
                <w:p w14:paraId="1B5C9E06">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废气治理</w:t>
                  </w:r>
                </w:p>
                <w:p w14:paraId="28F25B22">
                  <w:pPr>
                    <w:widowControl/>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设施故障</w:t>
                  </w:r>
                </w:p>
              </w:tc>
              <w:tc>
                <w:tcPr>
                  <w:tcW w:w="600" w:type="pct"/>
                  <w:tcBorders>
                    <w:top w:val="single" w:color="auto" w:sz="4" w:space="0"/>
                    <w:bottom w:val="single" w:color="auto" w:sz="8" w:space="0"/>
                  </w:tcBorders>
                  <w:vAlign w:val="center"/>
                </w:tcPr>
                <w:p w14:paraId="7C4275AF">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非甲烷总烃</w:t>
                  </w:r>
                </w:p>
              </w:tc>
              <w:tc>
                <w:tcPr>
                  <w:tcW w:w="826" w:type="pct"/>
                  <w:tcBorders>
                    <w:top w:val="single" w:color="auto" w:sz="4" w:space="0"/>
                    <w:bottom w:val="single" w:color="auto" w:sz="8" w:space="0"/>
                  </w:tcBorders>
                  <w:vAlign w:val="center"/>
                </w:tcPr>
                <w:p w14:paraId="4F97F269">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0.5</w:t>
                  </w:r>
                </w:p>
              </w:tc>
              <w:tc>
                <w:tcPr>
                  <w:tcW w:w="1322" w:type="dxa"/>
                  <w:tcBorders>
                    <w:top w:val="single" w:color="auto" w:sz="4" w:space="0"/>
                    <w:bottom w:val="single" w:color="auto" w:sz="8" w:space="0"/>
                  </w:tcBorders>
                  <w:vAlign w:val="center"/>
                </w:tcPr>
                <w:p w14:paraId="1A35BECC">
                  <w:pPr>
                    <w:keepNext w:val="0"/>
                    <w:keepLines w:val="0"/>
                    <w:widowControl/>
                    <w:suppressLineNumbers w:val="0"/>
                    <w:jc w:val="center"/>
                    <w:textAlignment w:val="center"/>
                    <w:rPr>
                      <w:rFonts w:ascii="Times New Roman" w:hAnsi="Times New Roman" w:eastAsia="宋体" w:cs="Times New Roman"/>
                      <w:color w:val="auto"/>
                      <w:sz w:val="18"/>
                      <w:szCs w:val="18"/>
                      <w:highlight w:val="none"/>
                    </w:rPr>
                  </w:pPr>
                  <w:r>
                    <w:rPr>
                      <w:rFonts w:hint="default" w:ascii="Times New Roman" w:hAnsi="Times New Roman" w:eastAsia="宋体" w:cs="Times New Roman"/>
                      <w:i w:val="0"/>
                      <w:iCs w:val="0"/>
                      <w:color w:val="auto"/>
                      <w:kern w:val="0"/>
                      <w:sz w:val="18"/>
                      <w:szCs w:val="18"/>
                      <w:u w:val="none"/>
                      <w:lang w:val="en-US" w:eastAsia="zh-CN" w:bidi="ar"/>
                    </w:rPr>
                    <w:t>2.475</w:t>
                  </w:r>
                </w:p>
              </w:tc>
              <w:tc>
                <w:tcPr>
                  <w:tcW w:w="725" w:type="pct"/>
                  <w:tcBorders>
                    <w:top w:val="single" w:color="auto" w:sz="4" w:space="0"/>
                    <w:bottom w:val="single" w:color="auto" w:sz="8" w:space="0"/>
                  </w:tcBorders>
                  <w:vAlign w:val="center"/>
                </w:tcPr>
                <w:p w14:paraId="29BDA706">
                  <w:pPr>
                    <w:widowControl/>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0.01</w:t>
                  </w:r>
                </w:p>
              </w:tc>
              <w:tc>
                <w:tcPr>
                  <w:tcW w:w="662" w:type="pct"/>
                  <w:tcBorders>
                    <w:top w:val="single" w:color="auto" w:sz="4" w:space="0"/>
                    <w:bottom w:val="single" w:color="auto" w:sz="8" w:space="0"/>
                  </w:tcBorders>
                  <w:vAlign w:val="center"/>
                </w:tcPr>
                <w:p w14:paraId="156AE6AC">
                  <w:pPr>
                    <w:widowControl/>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1</w:t>
                  </w:r>
                </w:p>
              </w:tc>
            </w:tr>
          </w:tbl>
          <w:p w14:paraId="6DCCE8D4">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由上表可知，本项目在污染治理设施非正常运行时，短时间内污染物排放浓度较大，但由于持续时间较短，污染物的排放量不会明显增加。此外，为保证废气治理设施处理效率，企业应定期对废气处理系统等环保设施进行维护和保养，一旦发现设施运行异常，应立即停止生产，迅速抢修或更换，待废气处理设施运行正常后恢复生产。对员工进行岗位培训。做好值班记录，实行岗位责任制。</w:t>
            </w:r>
          </w:p>
          <w:p w14:paraId="1B8D7C6B">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2、运营期大气环境保护措施</w:t>
            </w:r>
          </w:p>
          <w:p w14:paraId="5DF72F3E">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参考《排污许可证申请与核发技术规范 铁路、船舶、航空航天和其他运输设备制造业》（HJ1031-2019）中附录 C“表C.4 其他运输设备 制造排污单位废气污染防治推荐可行技术”，详见下表：</w:t>
            </w:r>
          </w:p>
          <w:p w14:paraId="1D645043">
            <w:pPr>
              <w:adjustRightInd w:val="0"/>
              <w:spacing w:line="324" w:lineRule="auto"/>
              <w:jc w:val="center"/>
              <w:rPr>
                <w:rFonts w:ascii="Times New Roman" w:hAnsi="Times New Roman" w:eastAsia="黑体" w:cs="Times New Roman"/>
                <w:color w:val="auto"/>
                <w:sz w:val="24"/>
                <w:highlight w:val="none"/>
              </w:rPr>
            </w:pPr>
          </w:p>
          <w:p w14:paraId="491B71F4">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w:t>
            </w:r>
            <w:r>
              <w:rPr>
                <w:rFonts w:hint="eastAsia" w:ascii="Times New Roman" w:hAnsi="Times New Roman" w:eastAsia="黑体" w:cs="Times New Roman"/>
                <w:color w:val="auto"/>
                <w:sz w:val="24"/>
                <w:highlight w:val="none"/>
              </w:rPr>
              <w:t>6</w:t>
            </w:r>
            <w:r>
              <w:rPr>
                <w:rFonts w:ascii="Times New Roman" w:hAnsi="Times New Roman" w:eastAsia="黑体" w:cs="Times New Roman"/>
                <w:color w:val="auto"/>
                <w:sz w:val="24"/>
                <w:highlight w:val="none"/>
              </w:rPr>
              <w:t xml:space="preserve"> 推荐可行技术一览表</w:t>
            </w:r>
          </w:p>
          <w:tbl>
            <w:tblPr>
              <w:tblStyle w:val="19"/>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8"/>
              <w:gridCol w:w="1973"/>
              <w:gridCol w:w="1973"/>
              <w:gridCol w:w="1973"/>
            </w:tblGrid>
            <w:tr w14:paraId="0388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tcBorders>
                    <w:top w:val="single" w:color="auto" w:sz="8" w:space="0"/>
                  </w:tcBorders>
                  <w:vAlign w:val="center"/>
                </w:tcPr>
                <w:p w14:paraId="64C15CC4">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生产单元</w:t>
                  </w:r>
                </w:p>
              </w:tc>
              <w:tc>
                <w:tcPr>
                  <w:tcW w:w="1250" w:type="pct"/>
                  <w:tcBorders>
                    <w:top w:val="single" w:color="auto" w:sz="8" w:space="0"/>
                  </w:tcBorders>
                  <w:vAlign w:val="center"/>
                </w:tcPr>
                <w:p w14:paraId="76CE0D15">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主要生产设施名称</w:t>
                  </w:r>
                </w:p>
              </w:tc>
              <w:tc>
                <w:tcPr>
                  <w:tcW w:w="1250" w:type="pct"/>
                  <w:tcBorders>
                    <w:top w:val="single" w:color="auto" w:sz="8" w:space="0"/>
                  </w:tcBorders>
                  <w:vAlign w:val="center"/>
                </w:tcPr>
                <w:p w14:paraId="3133CE6F">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大气污染物</w:t>
                  </w:r>
                </w:p>
              </w:tc>
              <w:tc>
                <w:tcPr>
                  <w:tcW w:w="1250" w:type="pct"/>
                  <w:tcBorders>
                    <w:top w:val="single" w:color="auto" w:sz="8" w:space="0"/>
                    <w:right w:val="nil"/>
                  </w:tcBorders>
                  <w:vAlign w:val="center"/>
                </w:tcPr>
                <w:p w14:paraId="51AD20D0">
                  <w:pPr>
                    <w:snapToGrid w:val="0"/>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推荐可行技术</w:t>
                  </w:r>
                </w:p>
              </w:tc>
            </w:tr>
            <w:tr w14:paraId="28B7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tcBorders>
                    <w:left w:val="nil"/>
                  </w:tcBorders>
                  <w:vAlign w:val="center"/>
                </w:tcPr>
                <w:p w14:paraId="09E8E70A">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下料</w:t>
                  </w:r>
                </w:p>
              </w:tc>
              <w:tc>
                <w:tcPr>
                  <w:tcW w:w="1250" w:type="pct"/>
                  <w:vAlign w:val="center"/>
                </w:tcPr>
                <w:p w14:paraId="19391B7D">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各种切割设备</w:t>
                  </w:r>
                </w:p>
              </w:tc>
              <w:tc>
                <w:tcPr>
                  <w:tcW w:w="1250" w:type="pct"/>
                  <w:vAlign w:val="center"/>
                </w:tcPr>
                <w:p w14:paraId="617D4629">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颗粒物</w:t>
                  </w:r>
                </w:p>
              </w:tc>
              <w:tc>
                <w:tcPr>
                  <w:tcW w:w="1250" w:type="pct"/>
                  <w:tcBorders>
                    <w:right w:val="nil"/>
                  </w:tcBorders>
                  <w:vAlign w:val="center"/>
                </w:tcPr>
                <w:p w14:paraId="3956045D">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袋式除尘、静电除尘</w:t>
                  </w:r>
                </w:p>
              </w:tc>
            </w:tr>
            <w:tr w14:paraId="0099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tcBorders>
                    <w:left w:val="nil"/>
                  </w:tcBorders>
                  <w:vAlign w:val="center"/>
                </w:tcPr>
                <w:p w14:paraId="5AB36455">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焊接</w:t>
                  </w:r>
                </w:p>
              </w:tc>
              <w:tc>
                <w:tcPr>
                  <w:tcW w:w="1250" w:type="pct"/>
                  <w:vAlign w:val="center"/>
                </w:tcPr>
                <w:p w14:paraId="5D86A618">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弧焊机、气焊机、钎焊机、激光焊机、等离子焊机等</w:t>
                  </w:r>
                </w:p>
              </w:tc>
              <w:tc>
                <w:tcPr>
                  <w:tcW w:w="1250" w:type="pct"/>
                  <w:vAlign w:val="center"/>
                </w:tcPr>
                <w:p w14:paraId="1BB97B62">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颗粒物</w:t>
                  </w:r>
                </w:p>
              </w:tc>
              <w:tc>
                <w:tcPr>
                  <w:tcW w:w="1250" w:type="pct"/>
                  <w:tcBorders>
                    <w:right w:val="nil"/>
                  </w:tcBorders>
                  <w:vAlign w:val="center"/>
                </w:tcPr>
                <w:p w14:paraId="7F48DBA9">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袋式除尘</w:t>
                  </w:r>
                </w:p>
              </w:tc>
            </w:tr>
            <w:tr w14:paraId="0B813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Merge w:val="restart"/>
                  <w:tcBorders>
                    <w:left w:val="nil"/>
                  </w:tcBorders>
                  <w:vAlign w:val="center"/>
                </w:tcPr>
                <w:p w14:paraId="0D9EA1AC">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涂装</w:t>
                  </w:r>
                </w:p>
              </w:tc>
              <w:tc>
                <w:tcPr>
                  <w:tcW w:w="1250" w:type="pct"/>
                  <w:vAlign w:val="center"/>
                </w:tcPr>
                <w:p w14:paraId="05CEC56D">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粉末喷涂室</w:t>
                  </w:r>
                </w:p>
              </w:tc>
              <w:tc>
                <w:tcPr>
                  <w:tcW w:w="1250" w:type="pct"/>
                  <w:vAlign w:val="center"/>
                </w:tcPr>
                <w:p w14:paraId="777D5034">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颗粒物</w:t>
                  </w:r>
                </w:p>
              </w:tc>
              <w:tc>
                <w:tcPr>
                  <w:tcW w:w="1250" w:type="pct"/>
                  <w:tcBorders>
                    <w:right w:val="nil"/>
                  </w:tcBorders>
                  <w:vAlign w:val="center"/>
                </w:tcPr>
                <w:p w14:paraId="56FF0532">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袋式除尘</w:t>
                  </w:r>
                </w:p>
              </w:tc>
            </w:tr>
            <w:tr w14:paraId="06ED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48" w:type="pct"/>
                  <w:vMerge w:val="continue"/>
                  <w:tcBorders>
                    <w:left w:val="nil"/>
                    <w:bottom w:val="single" w:color="auto" w:sz="8" w:space="0"/>
                  </w:tcBorders>
                  <w:vAlign w:val="center"/>
                </w:tcPr>
                <w:p w14:paraId="7EF201CF">
                  <w:pPr>
                    <w:snapToGrid w:val="0"/>
                    <w:jc w:val="center"/>
                    <w:rPr>
                      <w:rFonts w:ascii="Times New Roman" w:hAnsi="Times New Roman" w:eastAsia="宋体" w:cs="Times New Roman"/>
                      <w:color w:val="auto"/>
                      <w:sz w:val="18"/>
                      <w:szCs w:val="18"/>
                      <w:highlight w:val="none"/>
                    </w:rPr>
                  </w:pPr>
                </w:p>
              </w:tc>
              <w:tc>
                <w:tcPr>
                  <w:tcW w:w="1250" w:type="pct"/>
                  <w:tcBorders>
                    <w:bottom w:val="single" w:color="auto" w:sz="8" w:space="0"/>
                  </w:tcBorders>
                  <w:vAlign w:val="center"/>
                </w:tcPr>
                <w:p w14:paraId="5A382E5A">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烘干室（段）</w:t>
                  </w:r>
                </w:p>
              </w:tc>
              <w:tc>
                <w:tcPr>
                  <w:tcW w:w="1250" w:type="pct"/>
                  <w:tcBorders>
                    <w:bottom w:val="single" w:color="auto" w:sz="8" w:space="0"/>
                  </w:tcBorders>
                  <w:vAlign w:val="center"/>
                </w:tcPr>
                <w:p w14:paraId="520D8B0C">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挥发性有机物</w:t>
                  </w:r>
                </w:p>
              </w:tc>
              <w:tc>
                <w:tcPr>
                  <w:tcW w:w="1250" w:type="pct"/>
                  <w:tcBorders>
                    <w:bottom w:val="single" w:color="auto" w:sz="8" w:space="0"/>
                    <w:right w:val="nil"/>
                  </w:tcBorders>
                  <w:vAlign w:val="center"/>
                </w:tcPr>
                <w:p w14:paraId="4B9A1089">
                  <w:pPr>
                    <w:snapToGrid w:val="0"/>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活性炭吸附、吸附/浓缩+热力燃烧/催化氧化</w:t>
                  </w:r>
                </w:p>
              </w:tc>
            </w:tr>
          </w:tbl>
          <w:p w14:paraId="10A4CE05">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对照上表，本项目切割粉尘和焊接烟尘经集气罩收集，通过袋式除尘器处理后，由15m高1#排气筒排放为可行技术；</w:t>
            </w:r>
            <w:r>
              <w:rPr>
                <w:rFonts w:hint="eastAsia" w:ascii="Times New Roman" w:hAnsi="Times New Roman" w:eastAsia="宋体" w:cs="Times New Roman"/>
                <w:color w:val="auto"/>
                <w:sz w:val="24"/>
                <w:szCs w:val="24"/>
                <w:highlight w:val="none"/>
              </w:rPr>
              <w:t>喷塑粉尘经密闭管道收集后</w:t>
            </w:r>
            <w:r>
              <w:rPr>
                <w:rFonts w:hint="eastAsia" w:ascii="Times New Roman" w:hAnsi="Times New Roman" w:eastAsia="宋体" w:cs="Times New Roman"/>
                <w:color w:val="auto"/>
                <w:sz w:val="24"/>
                <w:highlight w:val="none"/>
                <w:lang w:eastAsia="zh-CN"/>
              </w:rPr>
              <w:t>大旋风+滤芯粉末回收+袋式除尘装置</w:t>
            </w:r>
            <w:r>
              <w:rPr>
                <w:rFonts w:hint="eastAsia" w:ascii="Times New Roman" w:hAnsi="Times New Roman" w:eastAsia="宋体" w:cs="Times New Roman"/>
                <w:color w:val="auto"/>
                <w:sz w:val="24"/>
                <w:highlight w:val="none"/>
              </w:rPr>
              <w:t>处理后，由15m高2#排气筒排放为可行技术；</w:t>
            </w:r>
            <w:r>
              <w:rPr>
                <w:rFonts w:ascii="Times New Roman" w:hAnsi="Times New Roman" w:eastAsia="宋体" w:cs="Times New Roman"/>
                <w:color w:val="auto"/>
                <w:sz w:val="24"/>
                <w:szCs w:val="24"/>
                <w:highlight w:val="none"/>
              </w:rPr>
              <w:t>固化</w:t>
            </w:r>
            <w:r>
              <w:rPr>
                <w:rFonts w:hint="eastAsia" w:ascii="Times New Roman" w:hAnsi="Times New Roman" w:eastAsia="宋体" w:cs="Times New Roman"/>
                <w:color w:val="auto"/>
                <w:sz w:val="24"/>
                <w:szCs w:val="24"/>
                <w:highlight w:val="none"/>
                <w:lang w:val="en-US" w:eastAsia="zh-CN"/>
              </w:rPr>
              <w:t>晾干</w:t>
            </w:r>
            <w:r>
              <w:rPr>
                <w:rFonts w:ascii="Times New Roman" w:hAnsi="Times New Roman" w:eastAsia="宋体" w:cs="Times New Roman"/>
                <w:color w:val="auto"/>
                <w:sz w:val="24"/>
                <w:szCs w:val="24"/>
                <w:highlight w:val="none"/>
              </w:rPr>
              <w:t>过程中产生的固化废气经二级活性炭吸附后，由15m高2#排气筒排放为可行技术。</w:t>
            </w:r>
          </w:p>
          <w:p w14:paraId="7DC525C3">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综上可知，本项目废气污染治理措施可行，可以实现长期稳定达标排放，对大气影响可接受。</w:t>
            </w:r>
          </w:p>
          <w:p w14:paraId="291EBF63">
            <w:pPr>
              <w:spacing w:line="360" w:lineRule="auto"/>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（3）监测计划</w:t>
            </w:r>
          </w:p>
          <w:p w14:paraId="31BF9E85">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本项目的国民经济行业类别为C3594商业、饮食、服务专用设备制造</w:t>
            </w:r>
            <w:r>
              <w:rPr>
                <w:rFonts w:hint="eastAsia" w:ascii="Times New Roman" w:hAnsi="Times New Roman" w:eastAsia="宋体" w:cs="Times New Roman"/>
                <w:color w:val="auto"/>
                <w:sz w:val="24"/>
                <w:highlight w:val="none"/>
                <w:lang w:val="en-US" w:eastAsia="zh-CN"/>
              </w:rPr>
              <w:t>和</w:t>
            </w:r>
            <w:r>
              <w:rPr>
                <w:rFonts w:hint="eastAsia" w:ascii="Times New Roman" w:hAnsi="Times New Roman" w:eastAsia="宋体" w:cs="Times New Roman"/>
                <w:color w:val="auto"/>
                <w:sz w:val="24"/>
                <w:highlight w:val="none"/>
              </w:rPr>
              <w:t>C3599其他专用设备制造</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rPr>
              <w:t>根据《固定污染源排污许可分类管理名录》（2019年版）规定，企业属于登记管理，无需申领排污许可证，故亦无需开展自行监测；鉴于企业运营期有污染物外排，建议企业运营期开展污染物排放监测，其监测内容如下表所示：</w:t>
            </w:r>
          </w:p>
          <w:p w14:paraId="22B3B4B4">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表4-7  废气监测计划一览表</w:t>
            </w:r>
          </w:p>
          <w:tbl>
            <w:tblPr>
              <w:tblStyle w:val="1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923"/>
              <w:gridCol w:w="1199"/>
              <w:gridCol w:w="1460"/>
              <w:gridCol w:w="2633"/>
            </w:tblGrid>
            <w:tr w14:paraId="62C39C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tcBorders>
                    <w:tl2br w:val="nil"/>
                    <w:tr2bl w:val="nil"/>
                  </w:tcBorders>
                  <w:vAlign w:val="center"/>
                </w:tcPr>
                <w:p w14:paraId="08F08D27">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类别</w:t>
                  </w:r>
                </w:p>
              </w:tc>
              <w:tc>
                <w:tcPr>
                  <w:tcW w:w="1216" w:type="pct"/>
                  <w:tcBorders>
                    <w:tl2br w:val="nil"/>
                    <w:tr2bl w:val="nil"/>
                  </w:tcBorders>
                  <w:vAlign w:val="center"/>
                </w:tcPr>
                <w:p w14:paraId="52D67119">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监测点位</w:t>
                  </w:r>
                </w:p>
              </w:tc>
              <w:tc>
                <w:tcPr>
                  <w:tcW w:w="758" w:type="pct"/>
                  <w:tcBorders>
                    <w:bottom w:val="single" w:color="auto" w:sz="4" w:space="0"/>
                  </w:tcBorders>
                  <w:vAlign w:val="center"/>
                </w:tcPr>
                <w:p w14:paraId="583F968F">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监测因子</w:t>
                  </w:r>
                </w:p>
              </w:tc>
              <w:tc>
                <w:tcPr>
                  <w:tcW w:w="923" w:type="pct"/>
                  <w:tcBorders>
                    <w:bottom w:val="single" w:color="auto" w:sz="4" w:space="0"/>
                  </w:tcBorders>
                  <w:vAlign w:val="center"/>
                </w:tcPr>
                <w:p w14:paraId="0C95236F">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监测频率</w:t>
                  </w:r>
                </w:p>
              </w:tc>
              <w:tc>
                <w:tcPr>
                  <w:tcW w:w="1665" w:type="pct"/>
                  <w:tcBorders>
                    <w:bottom w:val="single" w:color="auto" w:sz="4" w:space="0"/>
                  </w:tcBorders>
                  <w:vAlign w:val="center"/>
                </w:tcPr>
                <w:p w14:paraId="09FF70FC">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执行标准</w:t>
                  </w:r>
                </w:p>
              </w:tc>
            </w:tr>
            <w:tr w14:paraId="16010F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restart"/>
                  <w:tcBorders>
                    <w:tl2br w:val="nil"/>
                    <w:tr2bl w:val="nil"/>
                  </w:tcBorders>
                  <w:vAlign w:val="center"/>
                </w:tcPr>
                <w:p w14:paraId="1460FED4">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废气</w:t>
                  </w:r>
                </w:p>
              </w:tc>
              <w:tc>
                <w:tcPr>
                  <w:tcW w:w="1216" w:type="pct"/>
                  <w:tcBorders>
                    <w:tl2br w:val="nil"/>
                    <w:tr2bl w:val="nil"/>
                  </w:tcBorders>
                  <w:vAlign w:val="center"/>
                </w:tcPr>
                <w:p w14:paraId="498B179F">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排气筒DA001</w:t>
                  </w:r>
                </w:p>
              </w:tc>
              <w:tc>
                <w:tcPr>
                  <w:tcW w:w="758" w:type="pct"/>
                  <w:tcBorders>
                    <w:top w:val="single" w:color="auto" w:sz="4" w:space="0"/>
                    <w:bottom w:val="single" w:color="auto" w:sz="4" w:space="0"/>
                  </w:tcBorders>
                  <w:vAlign w:val="center"/>
                </w:tcPr>
                <w:p w14:paraId="03507B2E">
                  <w:pPr>
                    <w:snapToGrid w:val="0"/>
                    <w:spacing w:line="276" w:lineRule="auto"/>
                    <w:jc w:val="center"/>
                    <w:rPr>
                      <w:rFonts w:ascii="Times New Roman" w:hAnsi="Times New Roman" w:eastAsia="宋体" w:cs="Times New Roman"/>
                      <w:bCs/>
                      <w:color w:val="auto"/>
                      <w:spacing w:val="8"/>
                      <w:sz w:val="18"/>
                      <w:szCs w:val="18"/>
                      <w:highlight w:val="none"/>
                    </w:rPr>
                  </w:pPr>
                  <w:r>
                    <w:rPr>
                      <w:rFonts w:ascii="Times New Roman" w:hAnsi="Times New Roman" w:eastAsia="宋体" w:cs="Times New Roman"/>
                      <w:bCs/>
                      <w:color w:val="auto"/>
                      <w:spacing w:val="8"/>
                      <w:sz w:val="18"/>
                      <w:szCs w:val="18"/>
                      <w:highlight w:val="none"/>
                    </w:rPr>
                    <w:t>颗粒物</w:t>
                  </w:r>
                </w:p>
              </w:tc>
              <w:tc>
                <w:tcPr>
                  <w:tcW w:w="923" w:type="pct"/>
                  <w:tcBorders>
                    <w:top w:val="single" w:color="auto" w:sz="4" w:space="0"/>
                    <w:bottom w:val="single" w:color="auto" w:sz="4" w:space="0"/>
                  </w:tcBorders>
                  <w:vAlign w:val="center"/>
                </w:tcPr>
                <w:p w14:paraId="3D1F0309">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1次/年</w:t>
                  </w:r>
                </w:p>
              </w:tc>
              <w:tc>
                <w:tcPr>
                  <w:tcW w:w="1665" w:type="pct"/>
                  <w:vMerge w:val="restart"/>
                  <w:tcBorders>
                    <w:top w:val="single" w:color="auto" w:sz="4" w:space="0"/>
                  </w:tcBorders>
                  <w:vAlign w:val="center"/>
                </w:tcPr>
                <w:p w14:paraId="086D2279">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《大气污染物综合排放标准》（GB16297-1996）</w:t>
                  </w:r>
                </w:p>
              </w:tc>
            </w:tr>
            <w:tr w14:paraId="190716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vAlign w:val="center"/>
                </w:tcPr>
                <w:p w14:paraId="13190F88">
                  <w:pPr>
                    <w:snapToGrid w:val="0"/>
                    <w:spacing w:line="276" w:lineRule="auto"/>
                    <w:jc w:val="center"/>
                    <w:rPr>
                      <w:rFonts w:ascii="Times New Roman" w:hAnsi="Times New Roman" w:eastAsia="宋体" w:cs="Times New Roman"/>
                      <w:color w:val="auto"/>
                      <w:sz w:val="18"/>
                      <w:szCs w:val="18"/>
                      <w:highlight w:val="none"/>
                    </w:rPr>
                  </w:pPr>
                </w:p>
              </w:tc>
              <w:tc>
                <w:tcPr>
                  <w:tcW w:w="1923" w:type="dxa"/>
                  <w:tcBorders>
                    <w:tl2br w:val="nil"/>
                    <w:tr2bl w:val="nil"/>
                  </w:tcBorders>
                  <w:vAlign w:val="center"/>
                </w:tcPr>
                <w:p w14:paraId="045C798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排气筒DA002</w:t>
                  </w:r>
                </w:p>
              </w:tc>
              <w:tc>
                <w:tcPr>
                  <w:tcW w:w="1199" w:type="dxa"/>
                  <w:tcBorders>
                    <w:top w:val="single" w:color="auto" w:sz="4" w:space="0"/>
                    <w:bottom w:val="single" w:color="auto" w:sz="4" w:space="0"/>
                  </w:tcBorders>
                  <w:vAlign w:val="center"/>
                </w:tcPr>
                <w:p w14:paraId="4751B33C">
                  <w:pPr>
                    <w:snapToGrid w:val="0"/>
                    <w:spacing w:line="276" w:lineRule="auto"/>
                    <w:jc w:val="center"/>
                    <w:rPr>
                      <w:rFonts w:ascii="Times New Roman" w:hAnsi="Times New Roman" w:eastAsia="宋体" w:cs="Times New Roman"/>
                      <w:bCs/>
                      <w:color w:val="auto"/>
                      <w:spacing w:val="8"/>
                      <w:sz w:val="18"/>
                      <w:szCs w:val="18"/>
                      <w:highlight w:val="none"/>
                    </w:rPr>
                  </w:pPr>
                  <w:r>
                    <w:rPr>
                      <w:rFonts w:hint="eastAsia" w:ascii="Times New Roman" w:hAnsi="Times New Roman" w:eastAsia="宋体" w:cs="Times New Roman"/>
                      <w:bCs/>
                      <w:color w:val="auto"/>
                      <w:spacing w:val="8"/>
                      <w:sz w:val="18"/>
                      <w:szCs w:val="18"/>
                      <w:highlight w:val="none"/>
                    </w:rPr>
                    <w:t>颗粒物</w:t>
                  </w:r>
                </w:p>
              </w:tc>
              <w:tc>
                <w:tcPr>
                  <w:tcW w:w="1460" w:type="dxa"/>
                  <w:tcBorders>
                    <w:top w:val="single" w:color="auto" w:sz="4" w:space="0"/>
                    <w:bottom w:val="single" w:color="auto" w:sz="4" w:space="0"/>
                  </w:tcBorders>
                  <w:vAlign w:val="center"/>
                </w:tcPr>
                <w:p w14:paraId="394D841F">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1次/年</w:t>
                  </w:r>
                </w:p>
              </w:tc>
              <w:tc>
                <w:tcPr>
                  <w:tcW w:w="1665" w:type="pct"/>
                  <w:vMerge w:val="continue"/>
                  <w:vAlign w:val="center"/>
                </w:tcPr>
                <w:p w14:paraId="588A992C">
                  <w:pPr>
                    <w:snapToGrid w:val="0"/>
                    <w:spacing w:line="276" w:lineRule="auto"/>
                    <w:jc w:val="center"/>
                    <w:rPr>
                      <w:rFonts w:ascii="Times New Roman" w:hAnsi="Times New Roman" w:eastAsia="宋体" w:cs="Times New Roman"/>
                      <w:color w:val="auto"/>
                      <w:sz w:val="18"/>
                      <w:szCs w:val="18"/>
                      <w:highlight w:val="none"/>
                    </w:rPr>
                  </w:pPr>
                </w:p>
              </w:tc>
            </w:tr>
            <w:tr w14:paraId="21F64E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vAlign w:val="center"/>
                </w:tcPr>
                <w:p w14:paraId="4ABF911C">
                  <w:pPr>
                    <w:snapToGrid w:val="0"/>
                    <w:spacing w:line="276" w:lineRule="auto"/>
                    <w:jc w:val="center"/>
                    <w:rPr>
                      <w:rFonts w:ascii="Times New Roman" w:hAnsi="Times New Roman" w:eastAsia="宋体" w:cs="Times New Roman"/>
                      <w:color w:val="auto"/>
                      <w:sz w:val="18"/>
                      <w:szCs w:val="18"/>
                      <w:highlight w:val="none"/>
                    </w:rPr>
                  </w:pPr>
                </w:p>
              </w:tc>
              <w:tc>
                <w:tcPr>
                  <w:tcW w:w="1216" w:type="pct"/>
                  <w:tcBorders>
                    <w:tl2br w:val="nil"/>
                    <w:tr2bl w:val="nil"/>
                  </w:tcBorders>
                  <w:vAlign w:val="center"/>
                </w:tcPr>
                <w:p w14:paraId="6D1D236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排气筒DA00</w:t>
                  </w:r>
                  <w:r>
                    <w:rPr>
                      <w:rFonts w:hint="eastAsia" w:ascii="Times New Roman" w:hAnsi="Times New Roman" w:eastAsia="宋体" w:cs="Times New Roman"/>
                      <w:color w:val="auto"/>
                      <w:sz w:val="18"/>
                      <w:szCs w:val="18"/>
                      <w:highlight w:val="none"/>
                    </w:rPr>
                    <w:t>3</w:t>
                  </w:r>
                </w:p>
              </w:tc>
              <w:tc>
                <w:tcPr>
                  <w:tcW w:w="758" w:type="pct"/>
                  <w:tcBorders>
                    <w:top w:val="single" w:color="auto" w:sz="4" w:space="0"/>
                    <w:bottom w:val="single" w:color="auto" w:sz="4" w:space="0"/>
                  </w:tcBorders>
                  <w:vAlign w:val="center"/>
                </w:tcPr>
                <w:p w14:paraId="233E5B3E">
                  <w:pPr>
                    <w:snapToGrid w:val="0"/>
                    <w:spacing w:line="276" w:lineRule="auto"/>
                    <w:jc w:val="center"/>
                    <w:rPr>
                      <w:rFonts w:ascii="Times New Roman" w:hAnsi="Times New Roman" w:eastAsia="宋体" w:cs="Times New Roman"/>
                      <w:bCs/>
                      <w:color w:val="auto"/>
                      <w:spacing w:val="8"/>
                      <w:sz w:val="18"/>
                      <w:szCs w:val="18"/>
                      <w:highlight w:val="none"/>
                    </w:rPr>
                  </w:pPr>
                  <w:r>
                    <w:rPr>
                      <w:rFonts w:ascii="Times New Roman" w:hAnsi="Times New Roman" w:eastAsia="宋体" w:cs="Times New Roman"/>
                      <w:bCs/>
                      <w:color w:val="auto"/>
                      <w:spacing w:val="8"/>
                      <w:sz w:val="18"/>
                      <w:szCs w:val="18"/>
                      <w:highlight w:val="none"/>
                    </w:rPr>
                    <w:t>非甲烷总烃</w:t>
                  </w:r>
                </w:p>
              </w:tc>
              <w:tc>
                <w:tcPr>
                  <w:tcW w:w="923" w:type="pct"/>
                  <w:tcBorders>
                    <w:top w:val="single" w:color="auto" w:sz="4" w:space="0"/>
                    <w:bottom w:val="single" w:color="auto" w:sz="4" w:space="0"/>
                  </w:tcBorders>
                  <w:vAlign w:val="center"/>
                </w:tcPr>
                <w:p w14:paraId="64C53A34">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1次/年</w:t>
                  </w:r>
                </w:p>
              </w:tc>
              <w:tc>
                <w:tcPr>
                  <w:tcW w:w="1665" w:type="pct"/>
                  <w:tcBorders>
                    <w:bottom w:val="single" w:color="auto" w:sz="4" w:space="0"/>
                  </w:tcBorders>
                  <w:vAlign w:val="center"/>
                </w:tcPr>
                <w:p w14:paraId="560441D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lang w:val="en-US" w:eastAsia="zh-CN"/>
                    </w:rPr>
                    <w:t xml:space="preserve">固定源挥发性有机物综合排放标准 </w:t>
                  </w:r>
                  <w:r>
                    <w:rPr>
                      <w:rFonts w:hint="eastAsia" w:ascii="Times New Roman" w:hAnsi="Times New Roman" w:eastAsia="宋体" w:cs="Times New Roman"/>
                      <w:color w:val="auto"/>
                      <w:sz w:val="18"/>
                      <w:szCs w:val="18"/>
                      <w:highlight w:val="none"/>
                      <w:lang w:val="en-US" w:eastAsia="zh-CN"/>
                    </w:rPr>
                    <w:t>第6部分：其他行业</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lang w:val="en-US" w:eastAsia="zh-CN"/>
                    </w:rPr>
                    <w:t>DB 34/ 4812.6</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lang w:val="en-US" w:eastAsia="zh-CN"/>
                    </w:rPr>
                    <w:t>2024</w:t>
                  </w:r>
                  <w:r>
                    <w:rPr>
                      <w:rFonts w:hint="eastAsia" w:ascii="Times New Roman" w:hAnsi="Times New Roman" w:eastAsia="宋体" w:cs="Times New Roman"/>
                      <w:color w:val="auto"/>
                      <w:sz w:val="18"/>
                      <w:szCs w:val="18"/>
                      <w:highlight w:val="none"/>
                      <w:lang w:eastAsia="zh-CN"/>
                    </w:rPr>
                    <w:t>）</w:t>
                  </w:r>
                </w:p>
              </w:tc>
            </w:tr>
            <w:tr w14:paraId="354B0C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5" w:type="pct"/>
                  <w:vMerge w:val="continue"/>
                  <w:tcBorders>
                    <w:tl2br w:val="nil"/>
                    <w:tr2bl w:val="nil"/>
                  </w:tcBorders>
                  <w:vAlign w:val="center"/>
                </w:tcPr>
                <w:p w14:paraId="73F10A48">
                  <w:pPr>
                    <w:snapToGrid w:val="0"/>
                    <w:spacing w:line="276" w:lineRule="auto"/>
                    <w:jc w:val="center"/>
                    <w:rPr>
                      <w:rFonts w:ascii="Times New Roman" w:hAnsi="Times New Roman" w:eastAsia="宋体" w:cs="Times New Roman"/>
                      <w:color w:val="auto"/>
                      <w:sz w:val="18"/>
                      <w:szCs w:val="18"/>
                      <w:highlight w:val="none"/>
                    </w:rPr>
                  </w:pPr>
                </w:p>
              </w:tc>
              <w:tc>
                <w:tcPr>
                  <w:tcW w:w="1216" w:type="pct"/>
                  <w:tcBorders>
                    <w:tl2br w:val="nil"/>
                    <w:tr2bl w:val="nil"/>
                  </w:tcBorders>
                  <w:vAlign w:val="center"/>
                </w:tcPr>
                <w:p w14:paraId="4243F48D">
                  <w:pPr>
                    <w:pStyle w:val="27"/>
                    <w:adjustRightInd/>
                    <w:snapToGrid w:val="0"/>
                    <w:spacing w:line="276" w:lineRule="auto"/>
                    <w:jc w:val="center"/>
                    <w:rPr>
                      <w:rFonts w:ascii="Times New Roman" w:cs="Times New Roman"/>
                      <w:color w:val="auto"/>
                      <w:sz w:val="18"/>
                      <w:szCs w:val="18"/>
                      <w:highlight w:val="none"/>
                    </w:rPr>
                  </w:pPr>
                  <w:r>
                    <w:rPr>
                      <w:rFonts w:ascii="Times New Roman" w:cs="Times New Roman"/>
                      <w:color w:val="auto"/>
                      <w:sz w:val="18"/>
                      <w:szCs w:val="18"/>
                      <w:highlight w:val="none"/>
                    </w:rPr>
                    <w:t>厂界无组织</w:t>
                  </w:r>
                </w:p>
              </w:tc>
              <w:tc>
                <w:tcPr>
                  <w:tcW w:w="758" w:type="pct"/>
                  <w:tcBorders>
                    <w:top w:val="single" w:color="auto" w:sz="4" w:space="0"/>
                  </w:tcBorders>
                  <w:vAlign w:val="center"/>
                </w:tcPr>
                <w:p w14:paraId="4F961866">
                  <w:pPr>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颗粒物</w:t>
                  </w:r>
                  <w:r>
                    <w:rPr>
                      <w:rFonts w:hint="eastAsia" w:ascii="Times New Roman" w:hAnsi="Times New Roman" w:eastAsia="宋体" w:cs="Times New Roman"/>
                      <w:color w:val="auto"/>
                      <w:sz w:val="18"/>
                      <w:szCs w:val="18"/>
                      <w:highlight w:val="none"/>
                      <w:lang w:eastAsia="zh-CN"/>
                    </w:rPr>
                    <w:t>、</w:t>
                  </w:r>
                  <w:r>
                    <w:rPr>
                      <w:rFonts w:hint="eastAsia" w:ascii="Times New Roman" w:hAnsi="Times New Roman" w:eastAsia="宋体" w:cs="Times New Roman"/>
                      <w:color w:val="auto"/>
                      <w:sz w:val="18"/>
                      <w:szCs w:val="18"/>
                      <w:highlight w:val="none"/>
                      <w:lang w:val="en-US" w:eastAsia="zh-CN"/>
                    </w:rPr>
                    <w:t>非甲烷总烃</w:t>
                  </w:r>
                </w:p>
              </w:tc>
              <w:tc>
                <w:tcPr>
                  <w:tcW w:w="923" w:type="pct"/>
                  <w:tcBorders>
                    <w:top w:val="single" w:color="auto" w:sz="4" w:space="0"/>
                  </w:tcBorders>
                  <w:vAlign w:val="center"/>
                </w:tcPr>
                <w:p w14:paraId="4C4832D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1次/季度</w:t>
                  </w:r>
                </w:p>
              </w:tc>
              <w:tc>
                <w:tcPr>
                  <w:tcW w:w="1665" w:type="pct"/>
                  <w:tcBorders>
                    <w:top w:val="single" w:color="auto" w:sz="4" w:space="0"/>
                  </w:tcBorders>
                  <w:vAlign w:val="center"/>
                </w:tcPr>
                <w:p w14:paraId="22F8BEA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lang w:val="en-US" w:eastAsia="zh-CN"/>
                    </w:rPr>
                    <w:t xml:space="preserve">固定源挥发性有机物综合排放标准 </w:t>
                  </w:r>
                  <w:r>
                    <w:rPr>
                      <w:rFonts w:hint="eastAsia" w:ascii="Times New Roman" w:hAnsi="Times New Roman" w:eastAsia="宋体" w:cs="Times New Roman"/>
                      <w:color w:val="auto"/>
                      <w:sz w:val="18"/>
                      <w:szCs w:val="18"/>
                      <w:highlight w:val="none"/>
                      <w:lang w:val="en-US" w:eastAsia="zh-CN"/>
                    </w:rPr>
                    <w:t>第6部分：其他行业</w:t>
                  </w:r>
                  <w:r>
                    <w:rPr>
                      <w:rFonts w:ascii="Times New Roman" w:hAnsi="Times New Roman" w:eastAsia="宋体" w:cs="Times New Roman"/>
                      <w:color w:val="auto"/>
                      <w:sz w:val="18"/>
                      <w:szCs w:val="18"/>
                      <w:highlight w:val="none"/>
                    </w:rPr>
                    <w:t>》（</w:t>
                  </w:r>
                  <w:r>
                    <w:rPr>
                      <w:rFonts w:ascii="Times New Roman" w:hAnsi="Times New Roman" w:eastAsia="宋体" w:cs="Times New Roman"/>
                      <w:color w:val="auto"/>
                      <w:sz w:val="18"/>
                      <w:szCs w:val="18"/>
                      <w:highlight w:val="none"/>
                      <w:lang w:val="en-US" w:eastAsia="zh-CN"/>
                    </w:rPr>
                    <w:t>DB 34/ 4812.6</w:t>
                  </w:r>
                  <w:r>
                    <w:rPr>
                      <w:rFonts w:hint="eastAsia" w:ascii="Times New Roman" w:hAnsi="Times New Roman" w:eastAsia="宋体" w:cs="Times New Roman"/>
                      <w:color w:val="auto"/>
                      <w:sz w:val="18"/>
                      <w:szCs w:val="18"/>
                      <w:highlight w:val="none"/>
                      <w:lang w:val="en-US" w:eastAsia="zh-CN"/>
                    </w:rPr>
                    <w:t>-</w:t>
                  </w:r>
                  <w:r>
                    <w:rPr>
                      <w:rFonts w:ascii="Times New Roman" w:hAnsi="Times New Roman" w:eastAsia="宋体" w:cs="Times New Roman"/>
                      <w:color w:val="auto"/>
                      <w:sz w:val="18"/>
                      <w:szCs w:val="18"/>
                      <w:highlight w:val="none"/>
                      <w:lang w:val="en-US" w:eastAsia="zh-CN"/>
                    </w:rPr>
                    <w:t>2024</w:t>
                  </w:r>
                  <w:r>
                    <w:rPr>
                      <w:rFonts w:hint="eastAsia" w:ascii="Times New Roman" w:hAnsi="Times New Roman" w:eastAsia="宋体" w:cs="Times New Roman"/>
                      <w:color w:val="auto"/>
                      <w:sz w:val="18"/>
                      <w:szCs w:val="18"/>
                      <w:highlight w:val="none"/>
                      <w:lang w:eastAsia="zh-CN"/>
                    </w:rPr>
                    <w:t>）</w:t>
                  </w:r>
                </w:p>
              </w:tc>
            </w:tr>
          </w:tbl>
          <w:p w14:paraId="34E9426D">
            <w:pPr>
              <w:spacing w:line="360" w:lineRule="auto"/>
              <w:rPr>
                <w:rFonts w:ascii="Times New Roman" w:hAnsi="Times New Roman" w:eastAsia="宋体" w:cs="Times New Roman"/>
                <w:b/>
                <w:bCs/>
                <w:color w:val="auto"/>
                <w:sz w:val="24"/>
                <w:szCs w:val="24"/>
                <w:highlight w:val="none"/>
              </w:rPr>
            </w:pPr>
          </w:p>
          <w:p w14:paraId="3896B5E4">
            <w:pPr>
              <w:spacing w:line="360" w:lineRule="auto"/>
              <w:rPr>
                <w:rFonts w:ascii="Times New Roman" w:hAnsi="Times New Roman" w:eastAsia="宋体" w:cs="Times New Roman"/>
                <w:b/>
                <w:bCs/>
                <w:color w:val="auto"/>
                <w:sz w:val="24"/>
                <w:szCs w:val="24"/>
                <w:highlight w:val="none"/>
              </w:rPr>
            </w:pPr>
          </w:p>
          <w:p w14:paraId="525229BC">
            <w:pPr>
              <w:spacing w:line="360" w:lineRule="auto"/>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三、运营期声环境影响和保护措施</w:t>
            </w:r>
          </w:p>
          <w:p w14:paraId="56C94FC6">
            <w:pPr>
              <w:pStyle w:val="27"/>
              <w:adjustRightInd/>
              <w:spacing w:line="360" w:lineRule="auto"/>
              <w:ind w:firstLine="482" w:firstLineChars="200"/>
              <w:jc w:val="both"/>
              <w:rPr>
                <w:rFonts w:ascii="Times New Roman" w:cs="Times New Roman"/>
                <w:b/>
                <w:bCs/>
                <w:color w:val="auto"/>
                <w:highlight w:val="none"/>
              </w:rPr>
            </w:pPr>
            <w:r>
              <w:rPr>
                <w:rFonts w:ascii="Times New Roman" w:cs="Times New Roman"/>
                <w:b/>
                <w:bCs/>
                <w:color w:val="auto"/>
                <w:highlight w:val="none"/>
              </w:rPr>
              <w:t>1、运营期声环境影响分析</w:t>
            </w:r>
          </w:p>
          <w:p w14:paraId="197A5412">
            <w:pPr>
              <w:spacing w:line="360" w:lineRule="auto"/>
              <w:ind w:firstLine="540" w:firstLineChars="225"/>
              <w:rPr>
                <w:rFonts w:ascii="Times New Roman" w:hAnsi="Times New Roman" w:eastAsia="宋体" w:cs="Times New Roman"/>
                <w:bCs/>
                <w:color w:val="auto"/>
                <w:sz w:val="24"/>
                <w:highlight w:val="none"/>
              </w:rPr>
            </w:pPr>
            <w:r>
              <w:rPr>
                <w:rFonts w:ascii="Times New Roman" w:hAnsi="Times New Roman" w:eastAsia="宋体" w:cs="Times New Roman"/>
                <w:color w:val="auto"/>
                <w:sz w:val="24"/>
                <w:szCs w:val="24"/>
                <w:highlight w:val="none"/>
              </w:rPr>
              <w:t>本项目噪声污染源主要为各类设备运行噪声，项目采用减振、隔声、消声措施后，能有效</w:t>
            </w:r>
            <w:r>
              <w:rPr>
                <w:rFonts w:hint="eastAsia" w:ascii="Times New Roman" w:hAnsi="Times New Roman" w:eastAsia="宋体" w:cs="Times New Roman"/>
                <w:color w:val="auto"/>
                <w:sz w:val="24"/>
                <w:szCs w:val="24"/>
                <w:highlight w:val="none"/>
                <w:lang w:eastAsia="zh-CN"/>
              </w:rPr>
              <w:t>减少</w:t>
            </w:r>
            <w:r>
              <w:rPr>
                <w:rFonts w:ascii="Times New Roman" w:hAnsi="Times New Roman" w:eastAsia="宋体" w:cs="Times New Roman"/>
                <w:color w:val="auto"/>
                <w:sz w:val="24"/>
                <w:szCs w:val="24"/>
                <w:highlight w:val="none"/>
              </w:rPr>
              <w:t>噪声环境影响。具体设备噪声源强见下表：</w:t>
            </w:r>
          </w:p>
          <w:p w14:paraId="60BD1C5C">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表4-8  工业企业噪声源强调查清单（室内声源）</w:t>
            </w:r>
          </w:p>
          <w:tbl>
            <w:tblPr>
              <w:tblStyle w:val="18"/>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97"/>
              <w:gridCol w:w="397"/>
              <w:gridCol w:w="397"/>
              <w:gridCol w:w="397"/>
              <w:gridCol w:w="708"/>
              <w:gridCol w:w="576"/>
              <w:gridCol w:w="456"/>
              <w:gridCol w:w="486"/>
              <w:gridCol w:w="441"/>
              <w:gridCol w:w="416"/>
              <w:gridCol w:w="737"/>
              <w:gridCol w:w="627"/>
              <w:gridCol w:w="687"/>
              <w:gridCol w:w="737"/>
              <w:gridCol w:w="447"/>
            </w:tblGrid>
            <w:tr w14:paraId="179FB40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vMerge w:val="restart"/>
                  <w:tcBorders>
                    <w:tl2br w:val="nil"/>
                    <w:tr2bl w:val="nil"/>
                  </w:tcBorders>
                  <w:shd w:val="clear" w:color="auto" w:fill="auto"/>
                  <w:vAlign w:val="center"/>
                </w:tcPr>
                <w:p w14:paraId="1B64E2E2">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序号</w:t>
                  </w:r>
                </w:p>
              </w:tc>
              <w:tc>
                <w:tcPr>
                  <w:tcW w:w="251" w:type="pct"/>
                  <w:vMerge w:val="restart"/>
                  <w:tcBorders>
                    <w:tl2br w:val="nil"/>
                    <w:tr2bl w:val="nil"/>
                  </w:tcBorders>
                  <w:shd w:val="clear" w:color="auto" w:fill="auto"/>
                  <w:vAlign w:val="center"/>
                </w:tcPr>
                <w:p w14:paraId="53355D4C">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建筑物名称</w:t>
                  </w:r>
                </w:p>
              </w:tc>
              <w:tc>
                <w:tcPr>
                  <w:tcW w:w="251" w:type="pct"/>
                  <w:vMerge w:val="restart"/>
                  <w:tcBorders>
                    <w:tl2br w:val="nil"/>
                    <w:tr2bl w:val="nil"/>
                  </w:tcBorders>
                  <w:shd w:val="clear" w:color="auto" w:fill="auto"/>
                  <w:vAlign w:val="center"/>
                </w:tcPr>
                <w:p w14:paraId="2EFB755B">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声源名称</w:t>
                  </w:r>
                </w:p>
              </w:tc>
              <w:tc>
                <w:tcPr>
                  <w:tcW w:w="251" w:type="pct"/>
                  <w:vMerge w:val="restart"/>
                  <w:tcBorders>
                    <w:tl2br w:val="nil"/>
                    <w:tr2bl w:val="nil"/>
                  </w:tcBorders>
                  <w:shd w:val="clear" w:color="auto" w:fill="auto"/>
                  <w:vAlign w:val="center"/>
                </w:tcPr>
                <w:p w14:paraId="5D0122D2">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设备数量</w:t>
                  </w:r>
                </w:p>
              </w:tc>
              <w:tc>
                <w:tcPr>
                  <w:tcW w:w="447" w:type="pct"/>
                  <w:tcBorders>
                    <w:tl2br w:val="nil"/>
                    <w:tr2bl w:val="nil"/>
                  </w:tcBorders>
                  <w:shd w:val="clear" w:color="auto" w:fill="auto"/>
                  <w:vAlign w:val="center"/>
                </w:tcPr>
                <w:p w14:paraId="13D472A8">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声源源强</w:t>
                  </w:r>
                </w:p>
              </w:tc>
              <w:tc>
                <w:tcPr>
                  <w:tcW w:w="364" w:type="pct"/>
                  <w:vMerge w:val="restart"/>
                  <w:tcBorders>
                    <w:tl2br w:val="nil"/>
                    <w:tr2bl w:val="nil"/>
                  </w:tcBorders>
                  <w:shd w:val="clear" w:color="auto" w:fill="auto"/>
                  <w:vAlign w:val="center"/>
                </w:tcPr>
                <w:p w14:paraId="473B4E59">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声源控制措施</w:t>
                  </w:r>
                </w:p>
              </w:tc>
              <w:tc>
                <w:tcPr>
                  <w:tcW w:w="874" w:type="pct"/>
                  <w:gridSpan w:val="3"/>
                  <w:tcBorders>
                    <w:tl2br w:val="nil"/>
                    <w:tr2bl w:val="nil"/>
                  </w:tcBorders>
                  <w:shd w:val="clear" w:color="auto" w:fill="auto"/>
                  <w:vAlign w:val="center"/>
                </w:tcPr>
                <w:p w14:paraId="2671FC4C">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空间相对位置/m</w:t>
                  </w:r>
                </w:p>
              </w:tc>
              <w:tc>
                <w:tcPr>
                  <w:tcW w:w="263" w:type="pct"/>
                  <w:vMerge w:val="restart"/>
                  <w:tcBorders>
                    <w:tl2br w:val="nil"/>
                    <w:tr2bl w:val="nil"/>
                  </w:tcBorders>
                  <w:shd w:val="clear" w:color="auto" w:fill="auto"/>
                  <w:vAlign w:val="center"/>
                </w:tcPr>
                <w:p w14:paraId="36B9B431">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距室内边界距离/m</w:t>
                  </w:r>
                </w:p>
              </w:tc>
              <w:tc>
                <w:tcPr>
                  <w:tcW w:w="466" w:type="pct"/>
                  <w:vMerge w:val="restart"/>
                  <w:tcBorders>
                    <w:tl2br w:val="nil"/>
                    <w:tr2bl w:val="nil"/>
                  </w:tcBorders>
                  <w:shd w:val="clear" w:color="auto" w:fill="auto"/>
                  <w:vAlign w:val="center"/>
                </w:tcPr>
                <w:p w14:paraId="76749F7A">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室内边界声级/dB(A)</w:t>
                  </w:r>
                </w:p>
              </w:tc>
              <w:tc>
                <w:tcPr>
                  <w:tcW w:w="396" w:type="pct"/>
                  <w:vMerge w:val="restart"/>
                  <w:tcBorders>
                    <w:tl2br w:val="nil"/>
                    <w:tr2bl w:val="nil"/>
                  </w:tcBorders>
                  <w:shd w:val="clear" w:color="auto" w:fill="auto"/>
                  <w:vAlign w:val="center"/>
                </w:tcPr>
                <w:p w14:paraId="45DEA860">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运行时段</w:t>
                  </w:r>
                </w:p>
              </w:tc>
              <w:tc>
                <w:tcPr>
                  <w:tcW w:w="434" w:type="pct"/>
                  <w:vMerge w:val="restart"/>
                  <w:tcBorders>
                    <w:tl2br w:val="nil"/>
                    <w:tr2bl w:val="nil"/>
                  </w:tcBorders>
                  <w:shd w:val="clear" w:color="auto" w:fill="auto"/>
                  <w:vAlign w:val="center"/>
                </w:tcPr>
                <w:p w14:paraId="41620AFE">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建筑物插入损失 / dB(A)</w:t>
                  </w:r>
                </w:p>
              </w:tc>
              <w:tc>
                <w:tcPr>
                  <w:tcW w:w="748" w:type="pct"/>
                  <w:gridSpan w:val="2"/>
                  <w:tcBorders>
                    <w:tl2br w:val="nil"/>
                    <w:tr2bl w:val="nil"/>
                  </w:tcBorders>
                  <w:shd w:val="clear" w:color="auto" w:fill="auto"/>
                  <w:vAlign w:val="center"/>
                </w:tcPr>
                <w:p w14:paraId="76E45932">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建筑物外噪声</w:t>
                  </w:r>
                </w:p>
              </w:tc>
            </w:tr>
            <w:tr w14:paraId="5C35F0F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vMerge w:val="continue"/>
                  <w:tcBorders>
                    <w:tl2br w:val="nil"/>
                    <w:tr2bl w:val="nil"/>
                  </w:tcBorders>
                  <w:shd w:val="clear" w:color="auto" w:fill="auto"/>
                  <w:vAlign w:val="center"/>
                </w:tcPr>
                <w:p w14:paraId="30B62E4E">
                  <w:pPr>
                    <w:widowControl/>
                    <w:adjustRightInd w:val="0"/>
                    <w:snapToGrid w:val="0"/>
                    <w:jc w:val="center"/>
                    <w:rPr>
                      <w:rFonts w:ascii="Times New Roman" w:hAnsi="Times New Roman" w:eastAsia="宋体" w:cs="Times New Roman"/>
                      <w:b/>
                      <w:bCs/>
                      <w:color w:val="auto"/>
                      <w:sz w:val="18"/>
                      <w:szCs w:val="18"/>
                      <w:highlight w:val="none"/>
                    </w:rPr>
                  </w:pPr>
                </w:p>
              </w:tc>
              <w:tc>
                <w:tcPr>
                  <w:tcW w:w="251" w:type="pct"/>
                  <w:vMerge w:val="continue"/>
                  <w:tcBorders>
                    <w:tl2br w:val="nil"/>
                    <w:tr2bl w:val="nil"/>
                  </w:tcBorders>
                  <w:shd w:val="clear" w:color="auto" w:fill="auto"/>
                  <w:vAlign w:val="center"/>
                </w:tcPr>
                <w:p w14:paraId="74778970">
                  <w:pPr>
                    <w:widowControl/>
                    <w:adjustRightInd w:val="0"/>
                    <w:snapToGrid w:val="0"/>
                    <w:jc w:val="center"/>
                    <w:rPr>
                      <w:rFonts w:ascii="Times New Roman" w:hAnsi="Times New Roman" w:eastAsia="宋体" w:cs="Times New Roman"/>
                      <w:b/>
                      <w:bCs/>
                      <w:color w:val="auto"/>
                      <w:sz w:val="18"/>
                      <w:szCs w:val="18"/>
                      <w:highlight w:val="none"/>
                    </w:rPr>
                  </w:pPr>
                </w:p>
              </w:tc>
              <w:tc>
                <w:tcPr>
                  <w:tcW w:w="251" w:type="pct"/>
                  <w:vMerge w:val="continue"/>
                  <w:tcBorders>
                    <w:tl2br w:val="nil"/>
                    <w:tr2bl w:val="nil"/>
                  </w:tcBorders>
                  <w:shd w:val="clear" w:color="auto" w:fill="auto"/>
                  <w:vAlign w:val="center"/>
                </w:tcPr>
                <w:p w14:paraId="3B81EFE4">
                  <w:pPr>
                    <w:widowControl/>
                    <w:adjustRightInd w:val="0"/>
                    <w:snapToGrid w:val="0"/>
                    <w:jc w:val="center"/>
                    <w:rPr>
                      <w:rFonts w:ascii="Times New Roman" w:hAnsi="Times New Roman" w:eastAsia="宋体" w:cs="Times New Roman"/>
                      <w:b/>
                      <w:bCs/>
                      <w:color w:val="auto"/>
                      <w:sz w:val="18"/>
                      <w:szCs w:val="18"/>
                      <w:highlight w:val="none"/>
                    </w:rPr>
                  </w:pPr>
                </w:p>
              </w:tc>
              <w:tc>
                <w:tcPr>
                  <w:tcW w:w="251" w:type="pct"/>
                  <w:vMerge w:val="continue"/>
                  <w:tcBorders>
                    <w:tl2br w:val="nil"/>
                    <w:tr2bl w:val="nil"/>
                  </w:tcBorders>
                  <w:shd w:val="clear" w:color="auto" w:fill="auto"/>
                  <w:vAlign w:val="center"/>
                </w:tcPr>
                <w:p w14:paraId="4934632A">
                  <w:pPr>
                    <w:widowControl/>
                    <w:adjustRightInd w:val="0"/>
                    <w:snapToGrid w:val="0"/>
                    <w:jc w:val="center"/>
                    <w:rPr>
                      <w:rFonts w:ascii="Times New Roman" w:hAnsi="Times New Roman" w:eastAsia="宋体" w:cs="Times New Roman"/>
                      <w:b/>
                      <w:bCs/>
                      <w:color w:val="auto"/>
                      <w:sz w:val="18"/>
                      <w:szCs w:val="18"/>
                      <w:highlight w:val="none"/>
                    </w:rPr>
                  </w:pPr>
                </w:p>
              </w:tc>
              <w:tc>
                <w:tcPr>
                  <w:tcW w:w="447" w:type="pct"/>
                  <w:tcBorders>
                    <w:tl2br w:val="nil"/>
                    <w:tr2bl w:val="nil"/>
                  </w:tcBorders>
                  <w:shd w:val="clear" w:color="auto" w:fill="auto"/>
                  <w:vAlign w:val="center"/>
                </w:tcPr>
                <w:p w14:paraId="1B097326">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声压级/dB（A）</w:t>
                  </w:r>
                </w:p>
              </w:tc>
              <w:tc>
                <w:tcPr>
                  <w:tcW w:w="364" w:type="pct"/>
                  <w:vMerge w:val="continue"/>
                  <w:tcBorders>
                    <w:tl2br w:val="nil"/>
                    <w:tr2bl w:val="nil"/>
                  </w:tcBorders>
                  <w:shd w:val="clear" w:color="auto" w:fill="auto"/>
                  <w:vAlign w:val="center"/>
                </w:tcPr>
                <w:p w14:paraId="27C72C31">
                  <w:pPr>
                    <w:widowControl/>
                    <w:adjustRightInd w:val="0"/>
                    <w:snapToGrid w:val="0"/>
                    <w:jc w:val="center"/>
                    <w:rPr>
                      <w:rFonts w:ascii="Times New Roman" w:hAnsi="Times New Roman" w:eastAsia="宋体" w:cs="Times New Roman"/>
                      <w:b/>
                      <w:bCs/>
                      <w:color w:val="auto"/>
                      <w:sz w:val="18"/>
                      <w:szCs w:val="18"/>
                      <w:highlight w:val="none"/>
                    </w:rPr>
                  </w:pPr>
                </w:p>
              </w:tc>
              <w:tc>
                <w:tcPr>
                  <w:tcW w:w="288" w:type="pct"/>
                  <w:tcBorders>
                    <w:tl2br w:val="nil"/>
                    <w:tr2bl w:val="nil"/>
                  </w:tcBorders>
                  <w:shd w:val="clear" w:color="auto" w:fill="auto"/>
                  <w:vAlign w:val="center"/>
                </w:tcPr>
                <w:p w14:paraId="7666ABF5">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X</w:t>
                  </w:r>
                </w:p>
              </w:tc>
              <w:tc>
                <w:tcPr>
                  <w:tcW w:w="307" w:type="pct"/>
                  <w:tcBorders>
                    <w:tl2br w:val="nil"/>
                    <w:tr2bl w:val="nil"/>
                  </w:tcBorders>
                  <w:shd w:val="clear" w:color="auto" w:fill="auto"/>
                  <w:vAlign w:val="center"/>
                </w:tcPr>
                <w:p w14:paraId="2079E23C">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Y</w:t>
                  </w:r>
                </w:p>
              </w:tc>
              <w:tc>
                <w:tcPr>
                  <w:tcW w:w="278" w:type="pct"/>
                  <w:tcBorders>
                    <w:tl2br w:val="nil"/>
                    <w:tr2bl w:val="nil"/>
                  </w:tcBorders>
                  <w:shd w:val="clear" w:color="auto" w:fill="auto"/>
                  <w:vAlign w:val="center"/>
                </w:tcPr>
                <w:p w14:paraId="088D33EF">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Z</w:t>
                  </w:r>
                </w:p>
              </w:tc>
              <w:tc>
                <w:tcPr>
                  <w:tcW w:w="263" w:type="pct"/>
                  <w:vMerge w:val="continue"/>
                  <w:tcBorders>
                    <w:tl2br w:val="nil"/>
                    <w:tr2bl w:val="nil"/>
                  </w:tcBorders>
                  <w:shd w:val="clear" w:color="auto" w:fill="auto"/>
                  <w:vAlign w:val="center"/>
                </w:tcPr>
                <w:p w14:paraId="0A17C848">
                  <w:pPr>
                    <w:widowControl/>
                    <w:adjustRightInd w:val="0"/>
                    <w:snapToGrid w:val="0"/>
                    <w:jc w:val="center"/>
                    <w:rPr>
                      <w:rFonts w:ascii="Times New Roman" w:hAnsi="Times New Roman" w:eastAsia="宋体" w:cs="Times New Roman"/>
                      <w:b/>
                      <w:bCs/>
                      <w:color w:val="auto"/>
                      <w:sz w:val="18"/>
                      <w:szCs w:val="18"/>
                      <w:highlight w:val="none"/>
                    </w:rPr>
                  </w:pPr>
                </w:p>
              </w:tc>
              <w:tc>
                <w:tcPr>
                  <w:tcW w:w="466" w:type="pct"/>
                  <w:vMerge w:val="continue"/>
                  <w:tcBorders>
                    <w:tl2br w:val="nil"/>
                    <w:tr2bl w:val="nil"/>
                  </w:tcBorders>
                  <w:shd w:val="clear" w:color="auto" w:fill="auto"/>
                  <w:vAlign w:val="center"/>
                </w:tcPr>
                <w:p w14:paraId="1D20C7D2">
                  <w:pPr>
                    <w:widowControl/>
                    <w:adjustRightInd w:val="0"/>
                    <w:snapToGrid w:val="0"/>
                    <w:jc w:val="center"/>
                    <w:rPr>
                      <w:rFonts w:ascii="Times New Roman" w:hAnsi="Times New Roman" w:eastAsia="宋体" w:cs="Times New Roman"/>
                      <w:b/>
                      <w:bCs/>
                      <w:color w:val="auto"/>
                      <w:sz w:val="18"/>
                      <w:szCs w:val="18"/>
                      <w:highlight w:val="none"/>
                    </w:rPr>
                  </w:pPr>
                </w:p>
              </w:tc>
              <w:tc>
                <w:tcPr>
                  <w:tcW w:w="396" w:type="pct"/>
                  <w:vMerge w:val="continue"/>
                  <w:tcBorders>
                    <w:tl2br w:val="nil"/>
                    <w:tr2bl w:val="nil"/>
                  </w:tcBorders>
                  <w:shd w:val="clear" w:color="auto" w:fill="auto"/>
                  <w:vAlign w:val="center"/>
                </w:tcPr>
                <w:p w14:paraId="37339DDF">
                  <w:pPr>
                    <w:widowControl/>
                    <w:adjustRightInd w:val="0"/>
                    <w:snapToGrid w:val="0"/>
                    <w:jc w:val="center"/>
                    <w:rPr>
                      <w:rFonts w:ascii="Times New Roman" w:hAnsi="Times New Roman" w:eastAsia="宋体" w:cs="Times New Roman"/>
                      <w:b/>
                      <w:bCs/>
                      <w:color w:val="auto"/>
                      <w:sz w:val="18"/>
                      <w:szCs w:val="18"/>
                      <w:highlight w:val="none"/>
                    </w:rPr>
                  </w:pPr>
                </w:p>
              </w:tc>
              <w:tc>
                <w:tcPr>
                  <w:tcW w:w="434" w:type="pct"/>
                  <w:vMerge w:val="continue"/>
                  <w:tcBorders>
                    <w:tl2br w:val="nil"/>
                    <w:tr2bl w:val="nil"/>
                  </w:tcBorders>
                  <w:shd w:val="clear" w:color="auto" w:fill="auto"/>
                  <w:vAlign w:val="center"/>
                </w:tcPr>
                <w:p w14:paraId="591D92E0">
                  <w:pPr>
                    <w:widowControl/>
                    <w:adjustRightInd w:val="0"/>
                    <w:snapToGrid w:val="0"/>
                    <w:jc w:val="center"/>
                    <w:rPr>
                      <w:rFonts w:ascii="Times New Roman" w:hAnsi="Times New Roman" w:eastAsia="宋体" w:cs="Times New Roman"/>
                      <w:b/>
                      <w:bCs/>
                      <w:color w:val="auto"/>
                      <w:sz w:val="18"/>
                      <w:szCs w:val="18"/>
                      <w:highlight w:val="none"/>
                    </w:rPr>
                  </w:pPr>
                </w:p>
              </w:tc>
              <w:tc>
                <w:tcPr>
                  <w:tcW w:w="466" w:type="pct"/>
                  <w:tcBorders>
                    <w:tl2br w:val="nil"/>
                    <w:tr2bl w:val="nil"/>
                  </w:tcBorders>
                  <w:shd w:val="clear" w:color="auto" w:fill="auto"/>
                  <w:vAlign w:val="center"/>
                </w:tcPr>
                <w:p w14:paraId="03D91617">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声压级/dB(A)</w:t>
                  </w:r>
                </w:p>
              </w:tc>
              <w:tc>
                <w:tcPr>
                  <w:tcW w:w="282" w:type="pct"/>
                  <w:tcBorders>
                    <w:tl2br w:val="nil"/>
                    <w:tr2bl w:val="nil"/>
                  </w:tcBorders>
                  <w:shd w:val="clear" w:color="auto" w:fill="auto"/>
                  <w:vAlign w:val="center"/>
                </w:tcPr>
                <w:p w14:paraId="154B60A0">
                  <w:pPr>
                    <w:widowControl/>
                    <w:adjustRightInd w:val="0"/>
                    <w:snapToGrid w:val="0"/>
                    <w:jc w:val="center"/>
                    <w:textAlignment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kern w:val="0"/>
                      <w:sz w:val="18"/>
                      <w:szCs w:val="18"/>
                      <w:highlight w:val="none"/>
                    </w:rPr>
                    <w:t>建筑物外距离</w:t>
                  </w:r>
                </w:p>
              </w:tc>
            </w:tr>
            <w:tr w14:paraId="42E81A2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tcBorders>
                    <w:tl2br w:val="nil"/>
                    <w:tr2bl w:val="nil"/>
                  </w:tcBorders>
                  <w:shd w:val="clear" w:color="auto" w:fill="auto"/>
                  <w:vAlign w:val="center"/>
                </w:tcPr>
                <w:p w14:paraId="31DB5E6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p>
              </w:tc>
              <w:tc>
                <w:tcPr>
                  <w:tcW w:w="251" w:type="pct"/>
                  <w:vMerge w:val="restart"/>
                  <w:tcBorders>
                    <w:tl2br w:val="nil"/>
                    <w:tr2bl w:val="nil"/>
                  </w:tcBorders>
                  <w:shd w:val="clear" w:color="auto" w:fill="auto"/>
                  <w:vAlign w:val="center"/>
                </w:tcPr>
                <w:p w14:paraId="75DD8456">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生产厂房</w:t>
                  </w:r>
                </w:p>
              </w:tc>
              <w:tc>
                <w:tcPr>
                  <w:tcW w:w="251" w:type="pct"/>
                  <w:tcBorders>
                    <w:tl2br w:val="nil"/>
                    <w:tr2bl w:val="nil"/>
                  </w:tcBorders>
                  <w:shd w:val="clear" w:color="auto" w:fill="auto"/>
                  <w:vAlign w:val="center"/>
                </w:tcPr>
                <w:p w14:paraId="23ABE576">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激光切割机</w:t>
                  </w:r>
                </w:p>
              </w:tc>
              <w:tc>
                <w:tcPr>
                  <w:tcW w:w="251" w:type="pct"/>
                  <w:tcBorders>
                    <w:tl2br w:val="nil"/>
                    <w:tr2bl w:val="nil"/>
                  </w:tcBorders>
                  <w:shd w:val="clear" w:color="auto" w:fill="auto"/>
                  <w:vAlign w:val="center"/>
                </w:tcPr>
                <w:p w14:paraId="7232997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p>
              </w:tc>
              <w:tc>
                <w:tcPr>
                  <w:tcW w:w="447" w:type="pct"/>
                  <w:tcBorders>
                    <w:tl2br w:val="nil"/>
                    <w:tr2bl w:val="nil"/>
                  </w:tcBorders>
                  <w:shd w:val="clear" w:color="auto" w:fill="auto"/>
                  <w:vAlign w:val="center"/>
                </w:tcPr>
                <w:p w14:paraId="5316224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85</w:t>
                  </w:r>
                </w:p>
              </w:tc>
              <w:tc>
                <w:tcPr>
                  <w:tcW w:w="364" w:type="pct"/>
                  <w:vMerge w:val="restart"/>
                  <w:tcBorders>
                    <w:tl2br w:val="nil"/>
                    <w:tr2bl w:val="nil"/>
                  </w:tcBorders>
                  <w:shd w:val="clear" w:color="auto" w:fill="auto"/>
                  <w:vAlign w:val="center"/>
                </w:tcPr>
                <w:p w14:paraId="261A04A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选用低噪声设备、减振、隔声</w:t>
                  </w:r>
                </w:p>
              </w:tc>
              <w:tc>
                <w:tcPr>
                  <w:tcW w:w="288" w:type="pct"/>
                  <w:tcBorders>
                    <w:tl2br w:val="nil"/>
                    <w:tr2bl w:val="nil"/>
                  </w:tcBorders>
                  <w:shd w:val="clear" w:color="auto" w:fill="auto"/>
                  <w:vAlign w:val="center"/>
                </w:tcPr>
                <w:p w14:paraId="0714BB9F">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w:t>
                  </w:r>
                </w:p>
              </w:tc>
              <w:tc>
                <w:tcPr>
                  <w:tcW w:w="307" w:type="pct"/>
                  <w:tcBorders>
                    <w:tl2br w:val="nil"/>
                    <w:tr2bl w:val="nil"/>
                  </w:tcBorders>
                  <w:shd w:val="clear" w:color="auto" w:fill="auto"/>
                  <w:vAlign w:val="center"/>
                </w:tcPr>
                <w:p w14:paraId="415C4DD8">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171</w:t>
                  </w:r>
                </w:p>
              </w:tc>
              <w:tc>
                <w:tcPr>
                  <w:tcW w:w="278" w:type="pct"/>
                  <w:tcBorders>
                    <w:tl2br w:val="nil"/>
                    <w:tr2bl w:val="nil"/>
                  </w:tcBorders>
                  <w:shd w:val="clear" w:color="auto" w:fill="auto"/>
                  <w:vAlign w:val="center"/>
                </w:tcPr>
                <w:p w14:paraId="62F1B3FC">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0.5</w:t>
                  </w:r>
                </w:p>
              </w:tc>
              <w:tc>
                <w:tcPr>
                  <w:tcW w:w="263" w:type="pct"/>
                  <w:tcBorders>
                    <w:tl2br w:val="nil"/>
                    <w:tr2bl w:val="nil"/>
                  </w:tcBorders>
                  <w:shd w:val="clear" w:color="auto" w:fill="auto"/>
                  <w:vAlign w:val="center"/>
                </w:tcPr>
                <w:p w14:paraId="3D95DCD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w:t>
                  </w:r>
                </w:p>
              </w:tc>
              <w:tc>
                <w:tcPr>
                  <w:tcW w:w="466" w:type="pct"/>
                  <w:tcBorders>
                    <w:tl2br w:val="nil"/>
                    <w:tr2bl w:val="nil"/>
                  </w:tcBorders>
                  <w:shd w:val="clear" w:color="auto" w:fill="auto"/>
                  <w:noWrap/>
                  <w:vAlign w:val="center"/>
                </w:tcPr>
                <w:p w14:paraId="0645FF3F">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71.0</w:t>
                  </w:r>
                </w:p>
              </w:tc>
              <w:tc>
                <w:tcPr>
                  <w:tcW w:w="396" w:type="pct"/>
                  <w:vMerge w:val="restart"/>
                  <w:tcBorders>
                    <w:tl2br w:val="nil"/>
                    <w:tr2bl w:val="nil"/>
                  </w:tcBorders>
                  <w:shd w:val="clear" w:color="auto" w:fill="auto"/>
                  <w:noWrap/>
                  <w:vAlign w:val="center"/>
                </w:tcPr>
                <w:p w14:paraId="296A95A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昼/夜</w:t>
                  </w:r>
                </w:p>
              </w:tc>
              <w:tc>
                <w:tcPr>
                  <w:tcW w:w="434" w:type="pct"/>
                  <w:vMerge w:val="restart"/>
                  <w:tcBorders>
                    <w:tl2br w:val="nil"/>
                    <w:tr2bl w:val="nil"/>
                  </w:tcBorders>
                  <w:shd w:val="clear" w:color="auto" w:fill="auto"/>
                  <w:noWrap/>
                  <w:vAlign w:val="center"/>
                </w:tcPr>
                <w:p w14:paraId="37529E6F">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25</w:t>
                  </w:r>
                </w:p>
              </w:tc>
              <w:tc>
                <w:tcPr>
                  <w:tcW w:w="466" w:type="pct"/>
                  <w:tcBorders>
                    <w:tl2br w:val="nil"/>
                    <w:tr2bl w:val="nil"/>
                  </w:tcBorders>
                  <w:shd w:val="clear" w:color="auto" w:fill="auto"/>
                  <w:noWrap/>
                  <w:vAlign w:val="center"/>
                </w:tcPr>
                <w:p w14:paraId="628BB6B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lang w:val="en-US" w:eastAsia="zh-CN"/>
                    </w:rPr>
                    <w:t>45</w:t>
                  </w:r>
                  <w:r>
                    <w:rPr>
                      <w:rFonts w:ascii="Times New Roman" w:hAnsi="Times New Roman" w:eastAsia="宋体" w:cs="Times New Roman"/>
                      <w:color w:val="auto"/>
                      <w:kern w:val="0"/>
                      <w:sz w:val="18"/>
                      <w:szCs w:val="18"/>
                      <w:highlight w:val="none"/>
                    </w:rPr>
                    <w:t>.0</w:t>
                  </w:r>
                </w:p>
              </w:tc>
              <w:tc>
                <w:tcPr>
                  <w:tcW w:w="282" w:type="pct"/>
                  <w:vMerge w:val="restart"/>
                  <w:tcBorders>
                    <w:tl2br w:val="nil"/>
                    <w:tr2bl w:val="nil"/>
                  </w:tcBorders>
                  <w:shd w:val="clear" w:color="auto" w:fill="auto"/>
                  <w:noWrap/>
                  <w:vAlign w:val="center"/>
                </w:tcPr>
                <w:p w14:paraId="5D30B92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1m</w:t>
                  </w:r>
                </w:p>
              </w:tc>
            </w:tr>
            <w:tr w14:paraId="5F2173C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tcBorders>
                    <w:tl2br w:val="nil"/>
                    <w:tr2bl w:val="nil"/>
                  </w:tcBorders>
                  <w:shd w:val="clear" w:color="auto" w:fill="auto"/>
                  <w:vAlign w:val="center"/>
                </w:tcPr>
                <w:p w14:paraId="6A218C87">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w:t>
                  </w:r>
                </w:p>
              </w:tc>
              <w:tc>
                <w:tcPr>
                  <w:tcW w:w="251" w:type="pct"/>
                  <w:vMerge w:val="continue"/>
                  <w:tcBorders>
                    <w:tl2br w:val="nil"/>
                    <w:tr2bl w:val="nil"/>
                  </w:tcBorders>
                  <w:shd w:val="clear" w:color="auto" w:fill="auto"/>
                  <w:vAlign w:val="center"/>
                </w:tcPr>
                <w:p w14:paraId="1EAF24DA">
                  <w:pPr>
                    <w:widowControl/>
                    <w:adjustRightInd w:val="0"/>
                    <w:snapToGrid w:val="0"/>
                    <w:jc w:val="center"/>
                    <w:rPr>
                      <w:rFonts w:ascii="Times New Roman" w:hAnsi="Times New Roman" w:eastAsia="宋体" w:cs="Times New Roman"/>
                      <w:color w:val="auto"/>
                      <w:sz w:val="18"/>
                      <w:szCs w:val="18"/>
                      <w:highlight w:val="none"/>
                    </w:rPr>
                  </w:pPr>
                </w:p>
              </w:tc>
              <w:tc>
                <w:tcPr>
                  <w:tcW w:w="251" w:type="pct"/>
                  <w:tcBorders>
                    <w:tl2br w:val="nil"/>
                    <w:tr2bl w:val="nil"/>
                  </w:tcBorders>
                  <w:shd w:val="clear" w:color="auto" w:fill="auto"/>
                  <w:vAlign w:val="center"/>
                </w:tcPr>
                <w:p w14:paraId="71CCB7C9">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数控折弯机</w:t>
                  </w:r>
                </w:p>
              </w:tc>
              <w:tc>
                <w:tcPr>
                  <w:tcW w:w="251" w:type="pct"/>
                  <w:tcBorders>
                    <w:tl2br w:val="nil"/>
                    <w:tr2bl w:val="nil"/>
                  </w:tcBorders>
                  <w:shd w:val="clear" w:color="auto" w:fill="auto"/>
                  <w:vAlign w:val="center"/>
                </w:tcPr>
                <w:p w14:paraId="5FAD78A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w:t>
                  </w:r>
                </w:p>
              </w:tc>
              <w:tc>
                <w:tcPr>
                  <w:tcW w:w="447" w:type="pct"/>
                  <w:tcBorders>
                    <w:tl2br w:val="nil"/>
                    <w:tr2bl w:val="nil"/>
                  </w:tcBorders>
                  <w:shd w:val="clear" w:color="auto" w:fill="auto"/>
                  <w:vAlign w:val="center"/>
                </w:tcPr>
                <w:p w14:paraId="1BEEE3F4">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80</w:t>
                  </w:r>
                </w:p>
              </w:tc>
              <w:tc>
                <w:tcPr>
                  <w:tcW w:w="364" w:type="pct"/>
                  <w:vMerge w:val="continue"/>
                  <w:tcBorders>
                    <w:tl2br w:val="nil"/>
                    <w:tr2bl w:val="nil"/>
                  </w:tcBorders>
                  <w:shd w:val="clear" w:color="auto" w:fill="auto"/>
                  <w:vAlign w:val="center"/>
                </w:tcPr>
                <w:p w14:paraId="05B53706">
                  <w:pPr>
                    <w:widowControl/>
                    <w:adjustRightInd w:val="0"/>
                    <w:snapToGrid w:val="0"/>
                    <w:jc w:val="center"/>
                    <w:rPr>
                      <w:rFonts w:ascii="Times New Roman" w:hAnsi="Times New Roman" w:eastAsia="宋体" w:cs="Times New Roman"/>
                      <w:color w:val="auto"/>
                      <w:sz w:val="18"/>
                      <w:szCs w:val="18"/>
                      <w:highlight w:val="none"/>
                    </w:rPr>
                  </w:pPr>
                </w:p>
              </w:tc>
              <w:tc>
                <w:tcPr>
                  <w:tcW w:w="288" w:type="pct"/>
                  <w:tcBorders>
                    <w:tl2br w:val="nil"/>
                    <w:tr2bl w:val="nil"/>
                  </w:tcBorders>
                  <w:shd w:val="clear" w:color="auto" w:fill="auto"/>
                  <w:vAlign w:val="center"/>
                </w:tcPr>
                <w:p w14:paraId="484A8327">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w:t>
                  </w:r>
                </w:p>
              </w:tc>
              <w:tc>
                <w:tcPr>
                  <w:tcW w:w="307" w:type="pct"/>
                  <w:tcBorders>
                    <w:tl2br w:val="nil"/>
                    <w:tr2bl w:val="nil"/>
                  </w:tcBorders>
                  <w:shd w:val="clear" w:color="auto" w:fill="auto"/>
                  <w:vAlign w:val="center"/>
                </w:tcPr>
                <w:p w14:paraId="1ED0E91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160</w:t>
                  </w:r>
                </w:p>
              </w:tc>
              <w:tc>
                <w:tcPr>
                  <w:tcW w:w="278" w:type="pct"/>
                  <w:tcBorders>
                    <w:tl2br w:val="nil"/>
                    <w:tr2bl w:val="nil"/>
                  </w:tcBorders>
                  <w:shd w:val="clear" w:color="auto" w:fill="auto"/>
                  <w:vAlign w:val="center"/>
                </w:tcPr>
                <w:p w14:paraId="6B1D92B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0.5</w:t>
                  </w:r>
                </w:p>
              </w:tc>
              <w:tc>
                <w:tcPr>
                  <w:tcW w:w="263" w:type="pct"/>
                  <w:tcBorders>
                    <w:tl2br w:val="nil"/>
                    <w:tr2bl w:val="nil"/>
                  </w:tcBorders>
                  <w:shd w:val="clear" w:color="auto" w:fill="auto"/>
                  <w:vAlign w:val="center"/>
                </w:tcPr>
                <w:p w14:paraId="4B235ABE">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w:t>
                  </w:r>
                </w:p>
              </w:tc>
              <w:tc>
                <w:tcPr>
                  <w:tcW w:w="466" w:type="pct"/>
                  <w:tcBorders>
                    <w:tl2br w:val="nil"/>
                    <w:tr2bl w:val="nil"/>
                  </w:tcBorders>
                  <w:shd w:val="clear" w:color="auto" w:fill="auto"/>
                  <w:noWrap/>
                  <w:vAlign w:val="center"/>
                </w:tcPr>
                <w:p w14:paraId="11C5C44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64.4</w:t>
                  </w:r>
                </w:p>
              </w:tc>
              <w:tc>
                <w:tcPr>
                  <w:tcW w:w="396" w:type="pct"/>
                  <w:vMerge w:val="continue"/>
                  <w:tcBorders>
                    <w:tl2br w:val="nil"/>
                    <w:tr2bl w:val="nil"/>
                  </w:tcBorders>
                  <w:shd w:val="clear" w:color="auto" w:fill="auto"/>
                  <w:noWrap/>
                  <w:vAlign w:val="center"/>
                </w:tcPr>
                <w:p w14:paraId="5B3D95F2">
                  <w:pPr>
                    <w:widowControl/>
                    <w:adjustRightInd w:val="0"/>
                    <w:snapToGrid w:val="0"/>
                    <w:jc w:val="center"/>
                    <w:rPr>
                      <w:rFonts w:ascii="Times New Roman" w:hAnsi="Times New Roman" w:eastAsia="宋体" w:cs="Times New Roman"/>
                      <w:color w:val="auto"/>
                      <w:sz w:val="18"/>
                      <w:szCs w:val="18"/>
                      <w:highlight w:val="none"/>
                    </w:rPr>
                  </w:pPr>
                </w:p>
              </w:tc>
              <w:tc>
                <w:tcPr>
                  <w:tcW w:w="434" w:type="pct"/>
                  <w:vMerge w:val="continue"/>
                  <w:tcBorders>
                    <w:tl2br w:val="nil"/>
                    <w:tr2bl w:val="nil"/>
                  </w:tcBorders>
                  <w:shd w:val="clear" w:color="auto" w:fill="auto"/>
                  <w:noWrap/>
                  <w:vAlign w:val="center"/>
                </w:tcPr>
                <w:p w14:paraId="731DE285">
                  <w:pPr>
                    <w:widowControl/>
                    <w:adjustRightInd w:val="0"/>
                    <w:snapToGrid w:val="0"/>
                    <w:jc w:val="center"/>
                    <w:rPr>
                      <w:rFonts w:ascii="Times New Roman" w:hAnsi="Times New Roman" w:eastAsia="宋体" w:cs="Times New Roman"/>
                      <w:color w:val="auto"/>
                      <w:sz w:val="18"/>
                      <w:szCs w:val="18"/>
                      <w:highlight w:val="none"/>
                    </w:rPr>
                  </w:pPr>
                </w:p>
              </w:tc>
              <w:tc>
                <w:tcPr>
                  <w:tcW w:w="466" w:type="pct"/>
                  <w:tcBorders>
                    <w:tl2br w:val="nil"/>
                    <w:tr2bl w:val="nil"/>
                  </w:tcBorders>
                  <w:shd w:val="clear" w:color="auto" w:fill="auto"/>
                  <w:noWrap/>
                  <w:vAlign w:val="center"/>
                </w:tcPr>
                <w:p w14:paraId="174DBAF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lang w:val="en-US" w:eastAsia="zh-CN"/>
                    </w:rPr>
                    <w:t>39</w:t>
                  </w:r>
                  <w:r>
                    <w:rPr>
                      <w:rFonts w:ascii="Times New Roman" w:hAnsi="Times New Roman" w:eastAsia="宋体" w:cs="Times New Roman"/>
                      <w:color w:val="auto"/>
                      <w:kern w:val="0"/>
                      <w:sz w:val="18"/>
                      <w:szCs w:val="18"/>
                      <w:highlight w:val="none"/>
                    </w:rPr>
                    <w:t>.4</w:t>
                  </w:r>
                </w:p>
              </w:tc>
              <w:tc>
                <w:tcPr>
                  <w:tcW w:w="282" w:type="pct"/>
                  <w:vMerge w:val="continue"/>
                  <w:tcBorders>
                    <w:tl2br w:val="nil"/>
                    <w:tr2bl w:val="nil"/>
                  </w:tcBorders>
                  <w:shd w:val="clear" w:color="auto" w:fill="auto"/>
                  <w:noWrap/>
                  <w:vAlign w:val="center"/>
                </w:tcPr>
                <w:p w14:paraId="0110EC62">
                  <w:pPr>
                    <w:widowControl/>
                    <w:adjustRightInd w:val="0"/>
                    <w:snapToGrid w:val="0"/>
                    <w:jc w:val="center"/>
                    <w:rPr>
                      <w:rFonts w:ascii="Times New Roman" w:hAnsi="Times New Roman" w:eastAsia="宋体" w:cs="Times New Roman"/>
                      <w:color w:val="auto"/>
                      <w:sz w:val="18"/>
                      <w:szCs w:val="18"/>
                      <w:highlight w:val="none"/>
                    </w:rPr>
                  </w:pPr>
                </w:p>
              </w:tc>
            </w:tr>
            <w:tr w14:paraId="7CA2620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tcBorders>
                    <w:tl2br w:val="nil"/>
                    <w:tr2bl w:val="nil"/>
                  </w:tcBorders>
                  <w:shd w:val="clear" w:color="auto" w:fill="auto"/>
                  <w:vAlign w:val="center"/>
                </w:tcPr>
                <w:p w14:paraId="16A06A98">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w:t>
                  </w:r>
                </w:p>
              </w:tc>
              <w:tc>
                <w:tcPr>
                  <w:tcW w:w="251" w:type="pct"/>
                  <w:vMerge w:val="continue"/>
                  <w:tcBorders>
                    <w:tl2br w:val="nil"/>
                    <w:tr2bl w:val="nil"/>
                  </w:tcBorders>
                  <w:shd w:val="clear" w:color="auto" w:fill="auto"/>
                  <w:vAlign w:val="center"/>
                </w:tcPr>
                <w:p w14:paraId="4414FD77">
                  <w:pPr>
                    <w:widowControl/>
                    <w:adjustRightInd w:val="0"/>
                    <w:snapToGrid w:val="0"/>
                    <w:jc w:val="center"/>
                    <w:rPr>
                      <w:rFonts w:ascii="Times New Roman" w:hAnsi="Times New Roman" w:eastAsia="宋体" w:cs="Times New Roman"/>
                      <w:color w:val="auto"/>
                      <w:sz w:val="18"/>
                      <w:szCs w:val="18"/>
                      <w:highlight w:val="none"/>
                    </w:rPr>
                  </w:pPr>
                </w:p>
              </w:tc>
              <w:tc>
                <w:tcPr>
                  <w:tcW w:w="251" w:type="pct"/>
                  <w:tcBorders>
                    <w:tl2br w:val="nil"/>
                    <w:tr2bl w:val="nil"/>
                  </w:tcBorders>
                  <w:shd w:val="clear" w:color="auto" w:fill="auto"/>
                  <w:vAlign w:val="center"/>
                </w:tcPr>
                <w:p w14:paraId="5DCE6D23">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氩弧焊机</w:t>
                  </w:r>
                </w:p>
              </w:tc>
              <w:tc>
                <w:tcPr>
                  <w:tcW w:w="251" w:type="pct"/>
                  <w:tcBorders>
                    <w:tl2br w:val="nil"/>
                    <w:tr2bl w:val="nil"/>
                  </w:tcBorders>
                  <w:shd w:val="clear" w:color="auto" w:fill="auto"/>
                  <w:vAlign w:val="center"/>
                </w:tcPr>
                <w:p w14:paraId="1737901B">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w:t>
                  </w:r>
                </w:p>
              </w:tc>
              <w:tc>
                <w:tcPr>
                  <w:tcW w:w="447" w:type="pct"/>
                  <w:tcBorders>
                    <w:tl2br w:val="nil"/>
                    <w:tr2bl w:val="nil"/>
                  </w:tcBorders>
                  <w:shd w:val="clear" w:color="auto" w:fill="auto"/>
                  <w:vAlign w:val="center"/>
                </w:tcPr>
                <w:p w14:paraId="2AA2F38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80</w:t>
                  </w:r>
                </w:p>
              </w:tc>
              <w:tc>
                <w:tcPr>
                  <w:tcW w:w="364" w:type="pct"/>
                  <w:vMerge w:val="continue"/>
                  <w:tcBorders>
                    <w:tl2br w:val="nil"/>
                    <w:tr2bl w:val="nil"/>
                  </w:tcBorders>
                  <w:shd w:val="clear" w:color="auto" w:fill="auto"/>
                  <w:vAlign w:val="center"/>
                </w:tcPr>
                <w:p w14:paraId="1778AA10">
                  <w:pPr>
                    <w:widowControl/>
                    <w:adjustRightInd w:val="0"/>
                    <w:snapToGrid w:val="0"/>
                    <w:jc w:val="center"/>
                    <w:rPr>
                      <w:rFonts w:ascii="Times New Roman" w:hAnsi="Times New Roman" w:eastAsia="宋体" w:cs="Times New Roman"/>
                      <w:color w:val="auto"/>
                      <w:sz w:val="18"/>
                      <w:szCs w:val="18"/>
                      <w:highlight w:val="none"/>
                    </w:rPr>
                  </w:pPr>
                </w:p>
              </w:tc>
              <w:tc>
                <w:tcPr>
                  <w:tcW w:w="288" w:type="pct"/>
                  <w:tcBorders>
                    <w:tl2br w:val="nil"/>
                    <w:tr2bl w:val="nil"/>
                  </w:tcBorders>
                  <w:shd w:val="clear" w:color="auto" w:fill="auto"/>
                  <w:vAlign w:val="center"/>
                </w:tcPr>
                <w:p w14:paraId="6773C02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-18</w:t>
                  </w:r>
                </w:p>
              </w:tc>
              <w:tc>
                <w:tcPr>
                  <w:tcW w:w="307" w:type="pct"/>
                  <w:tcBorders>
                    <w:tl2br w:val="nil"/>
                    <w:tr2bl w:val="nil"/>
                  </w:tcBorders>
                  <w:shd w:val="clear" w:color="auto" w:fill="auto"/>
                  <w:vAlign w:val="center"/>
                </w:tcPr>
                <w:p w14:paraId="5620203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140</w:t>
                  </w:r>
                </w:p>
              </w:tc>
              <w:tc>
                <w:tcPr>
                  <w:tcW w:w="278" w:type="pct"/>
                  <w:tcBorders>
                    <w:tl2br w:val="nil"/>
                    <w:tr2bl w:val="nil"/>
                  </w:tcBorders>
                  <w:shd w:val="clear" w:color="auto" w:fill="auto"/>
                  <w:vAlign w:val="center"/>
                </w:tcPr>
                <w:p w14:paraId="7CE7382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0.5</w:t>
                  </w:r>
                </w:p>
              </w:tc>
              <w:tc>
                <w:tcPr>
                  <w:tcW w:w="263" w:type="pct"/>
                  <w:tcBorders>
                    <w:tl2br w:val="nil"/>
                    <w:tr2bl w:val="nil"/>
                  </w:tcBorders>
                  <w:shd w:val="clear" w:color="auto" w:fill="auto"/>
                  <w:vAlign w:val="center"/>
                </w:tcPr>
                <w:p w14:paraId="699EDAE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w:t>
                  </w:r>
                </w:p>
              </w:tc>
              <w:tc>
                <w:tcPr>
                  <w:tcW w:w="466" w:type="pct"/>
                  <w:tcBorders>
                    <w:tl2br w:val="nil"/>
                    <w:tr2bl w:val="nil"/>
                  </w:tcBorders>
                  <w:shd w:val="clear" w:color="auto" w:fill="auto"/>
                  <w:noWrap/>
                  <w:vAlign w:val="center"/>
                </w:tcPr>
                <w:p w14:paraId="0FEAE045">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64.4</w:t>
                  </w:r>
                </w:p>
              </w:tc>
              <w:tc>
                <w:tcPr>
                  <w:tcW w:w="396" w:type="pct"/>
                  <w:vMerge w:val="continue"/>
                  <w:tcBorders>
                    <w:tl2br w:val="nil"/>
                    <w:tr2bl w:val="nil"/>
                  </w:tcBorders>
                  <w:shd w:val="clear" w:color="auto" w:fill="auto"/>
                  <w:noWrap/>
                  <w:vAlign w:val="center"/>
                </w:tcPr>
                <w:p w14:paraId="218D8273">
                  <w:pPr>
                    <w:widowControl/>
                    <w:adjustRightInd w:val="0"/>
                    <w:snapToGrid w:val="0"/>
                    <w:jc w:val="center"/>
                    <w:rPr>
                      <w:rFonts w:ascii="Times New Roman" w:hAnsi="Times New Roman" w:eastAsia="宋体" w:cs="Times New Roman"/>
                      <w:color w:val="auto"/>
                      <w:sz w:val="18"/>
                      <w:szCs w:val="18"/>
                      <w:highlight w:val="none"/>
                    </w:rPr>
                  </w:pPr>
                </w:p>
              </w:tc>
              <w:tc>
                <w:tcPr>
                  <w:tcW w:w="434" w:type="pct"/>
                  <w:vMerge w:val="continue"/>
                  <w:tcBorders>
                    <w:tl2br w:val="nil"/>
                    <w:tr2bl w:val="nil"/>
                  </w:tcBorders>
                  <w:shd w:val="clear" w:color="auto" w:fill="auto"/>
                  <w:noWrap/>
                  <w:vAlign w:val="center"/>
                </w:tcPr>
                <w:p w14:paraId="6E087DD9">
                  <w:pPr>
                    <w:widowControl/>
                    <w:adjustRightInd w:val="0"/>
                    <w:snapToGrid w:val="0"/>
                    <w:jc w:val="center"/>
                    <w:rPr>
                      <w:rFonts w:ascii="Times New Roman" w:hAnsi="Times New Roman" w:eastAsia="宋体" w:cs="Times New Roman"/>
                      <w:color w:val="auto"/>
                      <w:sz w:val="18"/>
                      <w:szCs w:val="18"/>
                      <w:highlight w:val="none"/>
                    </w:rPr>
                  </w:pPr>
                </w:p>
              </w:tc>
              <w:tc>
                <w:tcPr>
                  <w:tcW w:w="466" w:type="pct"/>
                  <w:tcBorders>
                    <w:tl2br w:val="nil"/>
                    <w:tr2bl w:val="nil"/>
                  </w:tcBorders>
                  <w:shd w:val="clear" w:color="auto" w:fill="auto"/>
                  <w:noWrap/>
                  <w:vAlign w:val="center"/>
                </w:tcPr>
                <w:p w14:paraId="52948EF1">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kern w:val="0"/>
                      <w:sz w:val="18"/>
                      <w:szCs w:val="18"/>
                      <w:highlight w:val="none"/>
                      <w:lang w:val="en-US" w:eastAsia="zh-CN"/>
                    </w:rPr>
                    <w:t>39</w:t>
                  </w:r>
                  <w:r>
                    <w:rPr>
                      <w:rFonts w:ascii="Times New Roman" w:hAnsi="Times New Roman" w:eastAsia="宋体" w:cs="Times New Roman"/>
                      <w:color w:val="auto"/>
                      <w:kern w:val="0"/>
                      <w:sz w:val="18"/>
                      <w:szCs w:val="18"/>
                      <w:highlight w:val="none"/>
                    </w:rPr>
                    <w:t>.4</w:t>
                  </w:r>
                </w:p>
              </w:tc>
              <w:tc>
                <w:tcPr>
                  <w:tcW w:w="282" w:type="pct"/>
                  <w:vMerge w:val="continue"/>
                  <w:tcBorders>
                    <w:tl2br w:val="nil"/>
                    <w:tr2bl w:val="nil"/>
                  </w:tcBorders>
                  <w:shd w:val="clear" w:color="auto" w:fill="auto"/>
                  <w:noWrap/>
                  <w:vAlign w:val="center"/>
                </w:tcPr>
                <w:p w14:paraId="597AD113">
                  <w:pPr>
                    <w:widowControl/>
                    <w:adjustRightInd w:val="0"/>
                    <w:snapToGrid w:val="0"/>
                    <w:jc w:val="center"/>
                    <w:rPr>
                      <w:rFonts w:ascii="Times New Roman" w:hAnsi="Times New Roman" w:eastAsia="宋体" w:cs="Times New Roman"/>
                      <w:color w:val="auto"/>
                      <w:sz w:val="18"/>
                      <w:szCs w:val="18"/>
                      <w:highlight w:val="none"/>
                    </w:rPr>
                  </w:pPr>
                </w:p>
              </w:tc>
            </w:tr>
            <w:tr w14:paraId="76D2435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tcBorders>
                    <w:tl2br w:val="nil"/>
                    <w:tr2bl w:val="nil"/>
                  </w:tcBorders>
                  <w:shd w:val="clear" w:color="auto" w:fill="auto"/>
                  <w:vAlign w:val="center"/>
                </w:tcPr>
                <w:p w14:paraId="689786B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4</w:t>
                  </w:r>
                </w:p>
              </w:tc>
              <w:tc>
                <w:tcPr>
                  <w:tcW w:w="251" w:type="pct"/>
                  <w:vMerge w:val="continue"/>
                  <w:tcBorders>
                    <w:tl2br w:val="nil"/>
                    <w:tr2bl w:val="nil"/>
                  </w:tcBorders>
                  <w:shd w:val="clear" w:color="auto" w:fill="auto"/>
                  <w:vAlign w:val="center"/>
                </w:tcPr>
                <w:p w14:paraId="64AF4CE2">
                  <w:pPr>
                    <w:widowControl/>
                    <w:adjustRightInd w:val="0"/>
                    <w:snapToGrid w:val="0"/>
                    <w:jc w:val="center"/>
                    <w:rPr>
                      <w:rFonts w:ascii="Times New Roman" w:hAnsi="Times New Roman" w:eastAsia="宋体" w:cs="Times New Roman"/>
                      <w:color w:val="auto"/>
                      <w:sz w:val="18"/>
                      <w:szCs w:val="18"/>
                      <w:highlight w:val="none"/>
                    </w:rPr>
                  </w:pPr>
                </w:p>
              </w:tc>
              <w:tc>
                <w:tcPr>
                  <w:tcW w:w="251" w:type="pct"/>
                  <w:tcBorders>
                    <w:tl2br w:val="nil"/>
                    <w:tr2bl w:val="nil"/>
                  </w:tcBorders>
                  <w:shd w:val="clear" w:color="auto" w:fill="auto"/>
                  <w:vAlign w:val="center"/>
                </w:tcPr>
                <w:p w14:paraId="769153E8">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气保焊机</w:t>
                  </w:r>
                </w:p>
              </w:tc>
              <w:tc>
                <w:tcPr>
                  <w:tcW w:w="251" w:type="pct"/>
                  <w:tcBorders>
                    <w:tl2br w:val="nil"/>
                    <w:tr2bl w:val="nil"/>
                  </w:tcBorders>
                  <w:shd w:val="clear" w:color="auto" w:fill="auto"/>
                  <w:vAlign w:val="center"/>
                </w:tcPr>
                <w:p w14:paraId="01DEE04B">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w:t>
                  </w:r>
                </w:p>
              </w:tc>
              <w:tc>
                <w:tcPr>
                  <w:tcW w:w="447" w:type="pct"/>
                  <w:tcBorders>
                    <w:tl2br w:val="nil"/>
                    <w:tr2bl w:val="nil"/>
                  </w:tcBorders>
                  <w:shd w:val="clear" w:color="auto" w:fill="auto"/>
                  <w:vAlign w:val="center"/>
                </w:tcPr>
                <w:p w14:paraId="48A42EE4">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80</w:t>
                  </w:r>
                </w:p>
              </w:tc>
              <w:tc>
                <w:tcPr>
                  <w:tcW w:w="364" w:type="pct"/>
                  <w:vMerge w:val="continue"/>
                  <w:tcBorders>
                    <w:tl2br w:val="nil"/>
                    <w:tr2bl w:val="nil"/>
                  </w:tcBorders>
                  <w:shd w:val="clear" w:color="auto" w:fill="auto"/>
                  <w:vAlign w:val="center"/>
                </w:tcPr>
                <w:p w14:paraId="08F4FC5D">
                  <w:pPr>
                    <w:widowControl/>
                    <w:adjustRightInd w:val="0"/>
                    <w:snapToGrid w:val="0"/>
                    <w:jc w:val="center"/>
                    <w:rPr>
                      <w:rFonts w:ascii="Times New Roman" w:hAnsi="Times New Roman" w:eastAsia="宋体" w:cs="Times New Roman"/>
                      <w:color w:val="auto"/>
                      <w:sz w:val="18"/>
                      <w:szCs w:val="18"/>
                      <w:highlight w:val="none"/>
                    </w:rPr>
                  </w:pPr>
                </w:p>
              </w:tc>
              <w:tc>
                <w:tcPr>
                  <w:tcW w:w="288" w:type="pct"/>
                  <w:tcBorders>
                    <w:tl2br w:val="nil"/>
                    <w:tr2bl w:val="nil"/>
                  </w:tcBorders>
                  <w:shd w:val="clear" w:color="auto" w:fill="auto"/>
                  <w:vAlign w:val="center"/>
                </w:tcPr>
                <w:p w14:paraId="309B8182">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-15</w:t>
                  </w:r>
                </w:p>
              </w:tc>
              <w:tc>
                <w:tcPr>
                  <w:tcW w:w="307" w:type="pct"/>
                  <w:tcBorders>
                    <w:tl2br w:val="nil"/>
                    <w:tr2bl w:val="nil"/>
                  </w:tcBorders>
                  <w:shd w:val="clear" w:color="auto" w:fill="auto"/>
                  <w:vAlign w:val="center"/>
                </w:tcPr>
                <w:p w14:paraId="523484D9">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135</w:t>
                  </w:r>
                </w:p>
              </w:tc>
              <w:tc>
                <w:tcPr>
                  <w:tcW w:w="278" w:type="pct"/>
                  <w:tcBorders>
                    <w:tl2br w:val="nil"/>
                    <w:tr2bl w:val="nil"/>
                  </w:tcBorders>
                  <w:shd w:val="clear" w:color="auto" w:fill="auto"/>
                  <w:vAlign w:val="center"/>
                </w:tcPr>
                <w:p w14:paraId="32F97C5D">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0.5</w:t>
                  </w:r>
                </w:p>
              </w:tc>
              <w:tc>
                <w:tcPr>
                  <w:tcW w:w="263" w:type="pct"/>
                  <w:tcBorders>
                    <w:tl2br w:val="nil"/>
                    <w:tr2bl w:val="nil"/>
                  </w:tcBorders>
                  <w:shd w:val="clear" w:color="auto" w:fill="auto"/>
                  <w:vAlign w:val="center"/>
                </w:tcPr>
                <w:p w14:paraId="63C8A8A9">
                  <w:pPr>
                    <w:widowControl/>
                    <w:adjustRightInd w:val="0"/>
                    <w:snapToGrid w:val="0"/>
                    <w:jc w:val="center"/>
                    <w:textAlignment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6</w:t>
                  </w:r>
                </w:p>
              </w:tc>
              <w:tc>
                <w:tcPr>
                  <w:tcW w:w="466" w:type="pct"/>
                  <w:tcBorders>
                    <w:tl2br w:val="nil"/>
                    <w:tr2bl w:val="nil"/>
                  </w:tcBorders>
                  <w:shd w:val="clear" w:color="auto" w:fill="auto"/>
                  <w:noWrap/>
                  <w:vAlign w:val="center"/>
                </w:tcPr>
                <w:p w14:paraId="73AA1D77">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64.4</w:t>
                  </w:r>
                </w:p>
              </w:tc>
              <w:tc>
                <w:tcPr>
                  <w:tcW w:w="396" w:type="pct"/>
                  <w:vMerge w:val="continue"/>
                  <w:tcBorders>
                    <w:tl2br w:val="nil"/>
                    <w:tr2bl w:val="nil"/>
                  </w:tcBorders>
                  <w:shd w:val="clear" w:color="auto" w:fill="auto"/>
                  <w:noWrap/>
                  <w:vAlign w:val="center"/>
                </w:tcPr>
                <w:p w14:paraId="15FED8F9">
                  <w:pPr>
                    <w:widowControl/>
                    <w:adjustRightInd w:val="0"/>
                    <w:snapToGrid w:val="0"/>
                    <w:jc w:val="center"/>
                    <w:rPr>
                      <w:rFonts w:ascii="Times New Roman" w:hAnsi="Times New Roman" w:eastAsia="宋体" w:cs="Times New Roman"/>
                      <w:color w:val="auto"/>
                      <w:sz w:val="18"/>
                      <w:szCs w:val="18"/>
                      <w:highlight w:val="none"/>
                    </w:rPr>
                  </w:pPr>
                </w:p>
              </w:tc>
              <w:tc>
                <w:tcPr>
                  <w:tcW w:w="434" w:type="pct"/>
                  <w:vMerge w:val="continue"/>
                  <w:tcBorders>
                    <w:tl2br w:val="nil"/>
                    <w:tr2bl w:val="nil"/>
                  </w:tcBorders>
                  <w:shd w:val="clear" w:color="auto" w:fill="auto"/>
                  <w:noWrap/>
                  <w:vAlign w:val="center"/>
                </w:tcPr>
                <w:p w14:paraId="76DBE0AB">
                  <w:pPr>
                    <w:widowControl/>
                    <w:adjustRightInd w:val="0"/>
                    <w:snapToGrid w:val="0"/>
                    <w:jc w:val="center"/>
                    <w:rPr>
                      <w:rFonts w:ascii="Times New Roman" w:hAnsi="Times New Roman" w:eastAsia="宋体" w:cs="Times New Roman"/>
                      <w:color w:val="auto"/>
                      <w:sz w:val="18"/>
                      <w:szCs w:val="18"/>
                      <w:highlight w:val="none"/>
                    </w:rPr>
                  </w:pPr>
                </w:p>
              </w:tc>
              <w:tc>
                <w:tcPr>
                  <w:tcW w:w="466" w:type="pct"/>
                  <w:tcBorders>
                    <w:tl2br w:val="nil"/>
                    <w:tr2bl w:val="nil"/>
                  </w:tcBorders>
                  <w:shd w:val="clear" w:color="auto" w:fill="auto"/>
                  <w:noWrap/>
                  <w:vAlign w:val="center"/>
                </w:tcPr>
                <w:p w14:paraId="01CF0A00">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39.4</w:t>
                  </w:r>
                </w:p>
              </w:tc>
              <w:tc>
                <w:tcPr>
                  <w:tcW w:w="282" w:type="pct"/>
                  <w:vMerge w:val="continue"/>
                  <w:tcBorders>
                    <w:tl2br w:val="nil"/>
                    <w:tr2bl w:val="nil"/>
                  </w:tcBorders>
                  <w:shd w:val="clear" w:color="auto" w:fill="auto"/>
                  <w:noWrap/>
                  <w:vAlign w:val="center"/>
                </w:tcPr>
                <w:p w14:paraId="3D72A497">
                  <w:pPr>
                    <w:widowControl/>
                    <w:adjustRightInd w:val="0"/>
                    <w:snapToGrid w:val="0"/>
                    <w:jc w:val="center"/>
                    <w:rPr>
                      <w:rFonts w:ascii="Times New Roman" w:hAnsi="Times New Roman" w:eastAsia="宋体" w:cs="Times New Roman"/>
                      <w:color w:val="auto"/>
                      <w:sz w:val="18"/>
                      <w:szCs w:val="18"/>
                      <w:highlight w:val="none"/>
                    </w:rPr>
                  </w:pPr>
                </w:p>
              </w:tc>
            </w:tr>
            <w:tr w14:paraId="3DEA960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 w:type="pct"/>
                  <w:tcBorders>
                    <w:tl2br w:val="nil"/>
                    <w:tr2bl w:val="nil"/>
                  </w:tcBorders>
                  <w:shd w:val="clear" w:color="auto" w:fill="auto"/>
                  <w:vAlign w:val="center"/>
                </w:tcPr>
                <w:p w14:paraId="4D013BD6">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5</w:t>
                  </w:r>
                </w:p>
              </w:tc>
              <w:tc>
                <w:tcPr>
                  <w:tcW w:w="251" w:type="pct"/>
                  <w:vMerge w:val="continue"/>
                  <w:tcBorders>
                    <w:tl2br w:val="nil"/>
                    <w:tr2bl w:val="nil"/>
                  </w:tcBorders>
                  <w:shd w:val="clear" w:color="auto" w:fill="auto"/>
                  <w:vAlign w:val="center"/>
                </w:tcPr>
                <w:p w14:paraId="5DC0FDE2">
                  <w:pPr>
                    <w:widowControl/>
                    <w:adjustRightInd w:val="0"/>
                    <w:snapToGrid w:val="0"/>
                    <w:jc w:val="center"/>
                    <w:rPr>
                      <w:rFonts w:ascii="Times New Roman" w:hAnsi="Times New Roman" w:eastAsia="宋体" w:cs="Times New Roman"/>
                      <w:color w:val="auto"/>
                      <w:sz w:val="18"/>
                      <w:szCs w:val="18"/>
                      <w:highlight w:val="none"/>
                    </w:rPr>
                  </w:pPr>
                </w:p>
              </w:tc>
              <w:tc>
                <w:tcPr>
                  <w:tcW w:w="251" w:type="pct"/>
                  <w:tcBorders>
                    <w:tl2br w:val="nil"/>
                    <w:tr2bl w:val="nil"/>
                  </w:tcBorders>
                  <w:shd w:val="clear" w:color="auto" w:fill="auto"/>
                  <w:vAlign w:val="center"/>
                </w:tcPr>
                <w:p w14:paraId="30F250F1">
                  <w:pPr>
                    <w:widowControl/>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喷塑间</w:t>
                  </w:r>
                </w:p>
              </w:tc>
              <w:tc>
                <w:tcPr>
                  <w:tcW w:w="251" w:type="pct"/>
                  <w:tcBorders>
                    <w:tl2br w:val="nil"/>
                    <w:tr2bl w:val="nil"/>
                  </w:tcBorders>
                  <w:shd w:val="clear" w:color="auto" w:fill="auto"/>
                  <w:vAlign w:val="center"/>
                </w:tcPr>
                <w:p w14:paraId="367B50A6">
                  <w:pPr>
                    <w:widowControl/>
                    <w:adjustRightInd w:val="0"/>
                    <w:snapToGrid w:val="0"/>
                    <w:jc w:val="center"/>
                    <w:textAlignment w:val="center"/>
                    <w:rPr>
                      <w:rFonts w:hint="eastAsia" w:ascii="Times New Roman" w:hAnsi="Times New Roman" w:eastAsia="宋体" w:cs="Times New Roman"/>
                      <w:color w:val="auto"/>
                      <w:sz w:val="18"/>
                      <w:szCs w:val="18"/>
                      <w:highlight w:val="none"/>
                      <w:lang w:eastAsia="zh-CN"/>
                    </w:rPr>
                  </w:pPr>
                  <w:r>
                    <w:rPr>
                      <w:rFonts w:hint="eastAsia" w:ascii="Times New Roman" w:hAnsi="Times New Roman" w:eastAsia="宋体" w:cs="Times New Roman"/>
                      <w:color w:val="auto"/>
                      <w:kern w:val="0"/>
                      <w:sz w:val="18"/>
                      <w:szCs w:val="18"/>
                      <w:highlight w:val="none"/>
                      <w:lang w:val="en-US" w:eastAsia="zh-CN"/>
                    </w:rPr>
                    <w:t>1</w:t>
                  </w:r>
                </w:p>
              </w:tc>
              <w:tc>
                <w:tcPr>
                  <w:tcW w:w="447" w:type="pct"/>
                  <w:tcBorders>
                    <w:tl2br w:val="nil"/>
                    <w:tr2bl w:val="nil"/>
                  </w:tcBorders>
                  <w:shd w:val="clear" w:color="auto" w:fill="auto"/>
                  <w:vAlign w:val="center"/>
                </w:tcPr>
                <w:p w14:paraId="421E9F1A">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80</w:t>
                  </w:r>
                </w:p>
              </w:tc>
              <w:tc>
                <w:tcPr>
                  <w:tcW w:w="364" w:type="pct"/>
                  <w:vMerge w:val="continue"/>
                  <w:tcBorders>
                    <w:tl2br w:val="nil"/>
                    <w:tr2bl w:val="nil"/>
                  </w:tcBorders>
                  <w:shd w:val="clear" w:color="auto" w:fill="auto"/>
                  <w:vAlign w:val="center"/>
                </w:tcPr>
                <w:p w14:paraId="5B2DB77A">
                  <w:pPr>
                    <w:widowControl/>
                    <w:adjustRightInd w:val="0"/>
                    <w:snapToGrid w:val="0"/>
                    <w:jc w:val="center"/>
                    <w:rPr>
                      <w:rFonts w:ascii="Times New Roman" w:hAnsi="Times New Roman" w:eastAsia="宋体" w:cs="Times New Roman"/>
                      <w:color w:val="auto"/>
                      <w:sz w:val="18"/>
                      <w:szCs w:val="18"/>
                      <w:highlight w:val="none"/>
                    </w:rPr>
                  </w:pPr>
                </w:p>
              </w:tc>
              <w:tc>
                <w:tcPr>
                  <w:tcW w:w="288" w:type="pct"/>
                  <w:tcBorders>
                    <w:tl2br w:val="nil"/>
                    <w:tr2bl w:val="nil"/>
                  </w:tcBorders>
                  <w:shd w:val="clear" w:color="auto" w:fill="auto"/>
                  <w:vAlign w:val="center"/>
                </w:tcPr>
                <w:p w14:paraId="34A073D8">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22</w:t>
                  </w:r>
                </w:p>
              </w:tc>
              <w:tc>
                <w:tcPr>
                  <w:tcW w:w="307" w:type="pct"/>
                  <w:tcBorders>
                    <w:tl2br w:val="nil"/>
                    <w:tr2bl w:val="nil"/>
                  </w:tcBorders>
                  <w:shd w:val="clear" w:color="auto" w:fill="auto"/>
                  <w:vAlign w:val="center"/>
                </w:tcPr>
                <w:p w14:paraId="166F0B13">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39</w:t>
                  </w:r>
                </w:p>
              </w:tc>
              <w:tc>
                <w:tcPr>
                  <w:tcW w:w="278" w:type="pct"/>
                  <w:tcBorders>
                    <w:tl2br w:val="nil"/>
                    <w:tr2bl w:val="nil"/>
                  </w:tcBorders>
                  <w:shd w:val="clear" w:color="auto" w:fill="auto"/>
                  <w:vAlign w:val="center"/>
                </w:tcPr>
                <w:p w14:paraId="4319FB30">
                  <w:pPr>
                    <w:widowControl/>
                    <w:adjustRightInd w:val="0"/>
                    <w:snapToGrid w:val="0"/>
                    <w:jc w:val="center"/>
                    <w:textAlignment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1.5</w:t>
                  </w:r>
                </w:p>
              </w:tc>
              <w:tc>
                <w:tcPr>
                  <w:tcW w:w="263" w:type="pct"/>
                  <w:tcBorders>
                    <w:tl2br w:val="nil"/>
                    <w:tr2bl w:val="nil"/>
                  </w:tcBorders>
                  <w:shd w:val="clear" w:color="auto" w:fill="auto"/>
                  <w:vAlign w:val="center"/>
                </w:tcPr>
                <w:p w14:paraId="15FF6633">
                  <w:pPr>
                    <w:widowControl/>
                    <w:adjustRightInd w:val="0"/>
                    <w:snapToGrid w:val="0"/>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2</w:t>
                  </w:r>
                </w:p>
              </w:tc>
              <w:tc>
                <w:tcPr>
                  <w:tcW w:w="466" w:type="pct"/>
                  <w:tcBorders>
                    <w:tl2br w:val="nil"/>
                    <w:tr2bl w:val="nil"/>
                  </w:tcBorders>
                  <w:shd w:val="clear" w:color="auto" w:fill="auto"/>
                  <w:noWrap/>
                  <w:vAlign w:val="center"/>
                </w:tcPr>
                <w:p w14:paraId="3248A3FE">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73.9</w:t>
                  </w:r>
                </w:p>
              </w:tc>
              <w:tc>
                <w:tcPr>
                  <w:tcW w:w="396" w:type="pct"/>
                  <w:vMerge w:val="continue"/>
                  <w:tcBorders>
                    <w:tl2br w:val="nil"/>
                    <w:tr2bl w:val="nil"/>
                  </w:tcBorders>
                  <w:shd w:val="clear" w:color="auto" w:fill="auto"/>
                  <w:noWrap/>
                  <w:vAlign w:val="center"/>
                </w:tcPr>
                <w:p w14:paraId="67208E8D">
                  <w:pPr>
                    <w:widowControl/>
                    <w:adjustRightInd w:val="0"/>
                    <w:snapToGrid w:val="0"/>
                    <w:jc w:val="center"/>
                    <w:rPr>
                      <w:rFonts w:ascii="Times New Roman" w:hAnsi="Times New Roman" w:eastAsia="宋体" w:cs="Times New Roman"/>
                      <w:color w:val="auto"/>
                      <w:sz w:val="18"/>
                      <w:szCs w:val="18"/>
                      <w:highlight w:val="none"/>
                    </w:rPr>
                  </w:pPr>
                </w:p>
              </w:tc>
              <w:tc>
                <w:tcPr>
                  <w:tcW w:w="434" w:type="pct"/>
                  <w:vMerge w:val="continue"/>
                  <w:tcBorders>
                    <w:tl2br w:val="nil"/>
                    <w:tr2bl w:val="nil"/>
                  </w:tcBorders>
                  <w:shd w:val="clear" w:color="auto" w:fill="auto"/>
                  <w:noWrap/>
                  <w:vAlign w:val="center"/>
                </w:tcPr>
                <w:p w14:paraId="76E7D579">
                  <w:pPr>
                    <w:widowControl/>
                    <w:adjustRightInd w:val="0"/>
                    <w:snapToGrid w:val="0"/>
                    <w:jc w:val="center"/>
                    <w:rPr>
                      <w:rFonts w:ascii="Times New Roman" w:hAnsi="Times New Roman" w:eastAsia="宋体" w:cs="Times New Roman"/>
                      <w:color w:val="auto"/>
                      <w:sz w:val="18"/>
                      <w:szCs w:val="18"/>
                      <w:highlight w:val="none"/>
                    </w:rPr>
                  </w:pPr>
                </w:p>
              </w:tc>
              <w:tc>
                <w:tcPr>
                  <w:tcW w:w="466" w:type="pct"/>
                  <w:tcBorders>
                    <w:tl2br w:val="nil"/>
                    <w:tr2bl w:val="nil"/>
                  </w:tcBorders>
                  <w:shd w:val="clear" w:color="auto" w:fill="auto"/>
                  <w:noWrap/>
                  <w:vAlign w:val="center"/>
                </w:tcPr>
                <w:p w14:paraId="37F4B0CD">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48.9</w:t>
                  </w:r>
                </w:p>
              </w:tc>
              <w:tc>
                <w:tcPr>
                  <w:tcW w:w="282" w:type="pct"/>
                  <w:vMerge w:val="continue"/>
                  <w:tcBorders>
                    <w:tl2br w:val="nil"/>
                    <w:tr2bl w:val="nil"/>
                  </w:tcBorders>
                  <w:shd w:val="clear" w:color="auto" w:fill="auto"/>
                  <w:noWrap/>
                  <w:vAlign w:val="center"/>
                </w:tcPr>
                <w:p w14:paraId="4029071B">
                  <w:pPr>
                    <w:widowControl/>
                    <w:adjustRightInd w:val="0"/>
                    <w:snapToGrid w:val="0"/>
                    <w:jc w:val="center"/>
                    <w:rPr>
                      <w:rFonts w:ascii="Times New Roman" w:hAnsi="Times New Roman" w:eastAsia="宋体" w:cs="Times New Roman"/>
                      <w:color w:val="auto"/>
                      <w:sz w:val="18"/>
                      <w:szCs w:val="18"/>
                      <w:highlight w:val="none"/>
                    </w:rPr>
                  </w:pPr>
                </w:p>
              </w:tc>
            </w:tr>
            <w:tr w14:paraId="06ADC0B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PrEx>
              <w:trPr>
                <w:trHeight w:val="397" w:hRule="atLeast"/>
                <w:jc w:val="center"/>
              </w:trPr>
              <w:tc>
                <w:tcPr>
                  <w:tcW w:w="251" w:type="pct"/>
                  <w:tcBorders>
                    <w:tl2br w:val="nil"/>
                    <w:tr2bl w:val="nil"/>
                  </w:tcBorders>
                  <w:shd w:val="clear" w:color="auto" w:fill="auto"/>
                  <w:vAlign w:val="center"/>
                </w:tcPr>
                <w:p w14:paraId="3A352F9C">
                  <w:pPr>
                    <w:widowControl/>
                    <w:adjustRightInd w:val="0"/>
                    <w:snapToGrid w:val="0"/>
                    <w:jc w:val="center"/>
                    <w:textAlignment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6</w:t>
                  </w:r>
                </w:p>
              </w:tc>
              <w:tc>
                <w:tcPr>
                  <w:tcW w:w="251" w:type="pct"/>
                  <w:vMerge w:val="continue"/>
                  <w:tcBorders>
                    <w:tl2br w:val="nil"/>
                    <w:tr2bl w:val="nil"/>
                  </w:tcBorders>
                  <w:shd w:val="clear" w:color="auto" w:fill="auto"/>
                  <w:vAlign w:val="center"/>
                </w:tcPr>
                <w:p w14:paraId="5514A1F9">
                  <w:pPr>
                    <w:widowControl/>
                    <w:adjustRightInd w:val="0"/>
                    <w:snapToGrid w:val="0"/>
                    <w:jc w:val="center"/>
                    <w:rPr>
                      <w:rFonts w:ascii="Times New Roman" w:hAnsi="Times New Roman" w:eastAsia="宋体" w:cs="Times New Roman"/>
                      <w:color w:val="auto"/>
                      <w:sz w:val="18"/>
                      <w:szCs w:val="18"/>
                      <w:highlight w:val="none"/>
                    </w:rPr>
                  </w:pPr>
                </w:p>
              </w:tc>
              <w:tc>
                <w:tcPr>
                  <w:tcW w:w="251" w:type="pct"/>
                  <w:tcBorders>
                    <w:tl2br w:val="nil"/>
                    <w:tr2bl w:val="nil"/>
                  </w:tcBorders>
                  <w:shd w:val="clear" w:color="auto" w:fill="auto"/>
                  <w:vAlign w:val="center"/>
                </w:tcPr>
                <w:p w14:paraId="1EE0B6EC">
                  <w:pPr>
                    <w:widowControl/>
                    <w:jc w:val="center"/>
                    <w:textAlignment w:val="center"/>
                    <w:rPr>
                      <w:rFonts w:hint="eastAsia"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风机</w:t>
                  </w:r>
                </w:p>
              </w:tc>
              <w:tc>
                <w:tcPr>
                  <w:tcW w:w="251" w:type="pct"/>
                  <w:tcBorders>
                    <w:tl2br w:val="nil"/>
                    <w:tr2bl w:val="nil"/>
                  </w:tcBorders>
                  <w:shd w:val="clear" w:color="auto" w:fill="auto"/>
                  <w:vAlign w:val="center"/>
                </w:tcPr>
                <w:p w14:paraId="3A8C0B02">
                  <w:pPr>
                    <w:widowControl/>
                    <w:adjustRightInd w:val="0"/>
                    <w:snapToGrid w:val="0"/>
                    <w:jc w:val="center"/>
                    <w:textAlignment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3</w:t>
                  </w:r>
                </w:p>
              </w:tc>
              <w:tc>
                <w:tcPr>
                  <w:tcW w:w="447" w:type="pct"/>
                  <w:tcBorders>
                    <w:tl2br w:val="nil"/>
                    <w:tr2bl w:val="nil"/>
                  </w:tcBorders>
                  <w:shd w:val="clear" w:color="auto" w:fill="auto"/>
                  <w:vAlign w:val="center"/>
                </w:tcPr>
                <w:p w14:paraId="056FE379">
                  <w:pPr>
                    <w:widowControl/>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90</w:t>
                  </w:r>
                </w:p>
              </w:tc>
              <w:tc>
                <w:tcPr>
                  <w:tcW w:w="364" w:type="pct"/>
                  <w:vMerge w:val="continue"/>
                  <w:tcBorders>
                    <w:tl2br w:val="nil"/>
                    <w:tr2bl w:val="nil"/>
                  </w:tcBorders>
                  <w:shd w:val="clear" w:color="auto" w:fill="auto"/>
                  <w:vAlign w:val="center"/>
                </w:tcPr>
                <w:p w14:paraId="08615977">
                  <w:pPr>
                    <w:widowControl/>
                    <w:adjustRightInd w:val="0"/>
                    <w:snapToGrid w:val="0"/>
                    <w:jc w:val="center"/>
                    <w:rPr>
                      <w:rFonts w:ascii="Times New Roman" w:hAnsi="Times New Roman" w:eastAsia="宋体" w:cs="Times New Roman"/>
                      <w:color w:val="auto"/>
                      <w:sz w:val="18"/>
                      <w:szCs w:val="18"/>
                      <w:highlight w:val="none"/>
                    </w:rPr>
                  </w:pPr>
                </w:p>
              </w:tc>
              <w:tc>
                <w:tcPr>
                  <w:tcW w:w="288" w:type="pct"/>
                  <w:tcBorders>
                    <w:tl2br w:val="nil"/>
                    <w:tr2bl w:val="nil"/>
                  </w:tcBorders>
                  <w:shd w:val="clear" w:color="auto" w:fill="auto"/>
                  <w:vAlign w:val="center"/>
                </w:tcPr>
                <w:p w14:paraId="670FD5F7">
                  <w:pPr>
                    <w:widowControl/>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-12</w:t>
                  </w:r>
                </w:p>
              </w:tc>
              <w:tc>
                <w:tcPr>
                  <w:tcW w:w="307" w:type="pct"/>
                  <w:tcBorders>
                    <w:tl2br w:val="nil"/>
                    <w:tr2bl w:val="nil"/>
                  </w:tcBorders>
                  <w:shd w:val="clear" w:color="auto" w:fill="auto"/>
                  <w:vAlign w:val="center"/>
                </w:tcPr>
                <w:p w14:paraId="3A66D7E0">
                  <w:pPr>
                    <w:widowControl/>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163</w:t>
                  </w:r>
                </w:p>
              </w:tc>
              <w:tc>
                <w:tcPr>
                  <w:tcW w:w="278" w:type="pct"/>
                  <w:tcBorders>
                    <w:tl2br w:val="nil"/>
                    <w:tr2bl w:val="nil"/>
                  </w:tcBorders>
                  <w:shd w:val="clear" w:color="auto" w:fill="auto"/>
                  <w:vAlign w:val="center"/>
                </w:tcPr>
                <w:p w14:paraId="04366085">
                  <w:pPr>
                    <w:widowControl/>
                    <w:adjustRightInd w:val="0"/>
                    <w:snapToGrid w:val="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0.5</w:t>
                  </w:r>
                </w:p>
              </w:tc>
              <w:tc>
                <w:tcPr>
                  <w:tcW w:w="263" w:type="pct"/>
                  <w:tcBorders>
                    <w:tl2br w:val="nil"/>
                    <w:tr2bl w:val="nil"/>
                  </w:tcBorders>
                  <w:shd w:val="clear" w:color="auto" w:fill="auto"/>
                  <w:vAlign w:val="center"/>
                </w:tcPr>
                <w:p w14:paraId="793D905F">
                  <w:pPr>
                    <w:widowControl/>
                    <w:adjustRightInd w:val="0"/>
                    <w:snapToGrid w:val="0"/>
                    <w:jc w:val="center"/>
                    <w:textAlignment w:val="center"/>
                    <w:rPr>
                      <w:rFonts w:hint="eastAsia"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w:t>
                  </w:r>
                </w:p>
              </w:tc>
              <w:tc>
                <w:tcPr>
                  <w:tcW w:w="466" w:type="pct"/>
                  <w:tcBorders>
                    <w:tl2br w:val="nil"/>
                    <w:tr2bl w:val="nil"/>
                  </w:tcBorders>
                  <w:shd w:val="clear" w:color="auto" w:fill="auto"/>
                  <w:noWrap/>
                  <w:vAlign w:val="center"/>
                </w:tcPr>
                <w:p w14:paraId="7A76FD93">
                  <w:pPr>
                    <w:widowControl/>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76.0</w:t>
                  </w:r>
                </w:p>
              </w:tc>
              <w:tc>
                <w:tcPr>
                  <w:tcW w:w="396" w:type="pct"/>
                  <w:vMerge w:val="continue"/>
                  <w:tcBorders>
                    <w:tl2br w:val="nil"/>
                    <w:tr2bl w:val="nil"/>
                  </w:tcBorders>
                  <w:shd w:val="clear" w:color="auto" w:fill="auto"/>
                  <w:noWrap/>
                  <w:vAlign w:val="center"/>
                </w:tcPr>
                <w:p w14:paraId="6D5CACE9">
                  <w:pPr>
                    <w:widowControl/>
                    <w:adjustRightInd w:val="0"/>
                    <w:snapToGrid w:val="0"/>
                    <w:jc w:val="center"/>
                    <w:rPr>
                      <w:rFonts w:ascii="Times New Roman" w:hAnsi="Times New Roman" w:eastAsia="宋体" w:cs="Times New Roman"/>
                      <w:color w:val="auto"/>
                      <w:sz w:val="18"/>
                      <w:szCs w:val="18"/>
                      <w:highlight w:val="none"/>
                    </w:rPr>
                  </w:pPr>
                </w:p>
              </w:tc>
              <w:tc>
                <w:tcPr>
                  <w:tcW w:w="434" w:type="pct"/>
                  <w:vMerge w:val="continue"/>
                  <w:tcBorders>
                    <w:tl2br w:val="nil"/>
                    <w:tr2bl w:val="nil"/>
                  </w:tcBorders>
                  <w:shd w:val="clear" w:color="auto" w:fill="auto"/>
                  <w:noWrap/>
                  <w:vAlign w:val="center"/>
                </w:tcPr>
                <w:p w14:paraId="3E4DE8BD">
                  <w:pPr>
                    <w:widowControl/>
                    <w:adjustRightInd w:val="0"/>
                    <w:snapToGrid w:val="0"/>
                    <w:jc w:val="center"/>
                    <w:rPr>
                      <w:rFonts w:ascii="Times New Roman" w:hAnsi="Times New Roman" w:eastAsia="宋体" w:cs="Times New Roman"/>
                      <w:color w:val="auto"/>
                      <w:sz w:val="18"/>
                      <w:szCs w:val="18"/>
                      <w:highlight w:val="none"/>
                    </w:rPr>
                  </w:pPr>
                </w:p>
              </w:tc>
              <w:tc>
                <w:tcPr>
                  <w:tcW w:w="466" w:type="pct"/>
                  <w:tcBorders>
                    <w:tl2br w:val="nil"/>
                    <w:tr2bl w:val="nil"/>
                  </w:tcBorders>
                  <w:shd w:val="clear" w:color="auto" w:fill="auto"/>
                  <w:noWrap/>
                  <w:vAlign w:val="center"/>
                </w:tcPr>
                <w:p w14:paraId="34EB4203">
                  <w:pPr>
                    <w:widowControl/>
                    <w:adjustRightInd w:val="0"/>
                    <w:snapToGrid w:val="0"/>
                    <w:jc w:val="center"/>
                    <w:textAlignment w:val="center"/>
                    <w:rPr>
                      <w:rFonts w:hint="default" w:ascii="Times New Roman" w:hAnsi="Times New Roman" w:eastAsia="宋体" w:cs="Times New Roman"/>
                      <w:color w:val="auto"/>
                      <w:kern w:val="0"/>
                      <w:sz w:val="18"/>
                      <w:szCs w:val="18"/>
                      <w:highlight w:val="none"/>
                      <w:lang w:val="en-US" w:eastAsia="zh-CN"/>
                    </w:rPr>
                  </w:pPr>
                  <w:r>
                    <w:rPr>
                      <w:rFonts w:hint="eastAsia" w:ascii="Times New Roman" w:hAnsi="Times New Roman" w:eastAsia="宋体" w:cs="Times New Roman"/>
                      <w:color w:val="auto"/>
                      <w:kern w:val="0"/>
                      <w:sz w:val="18"/>
                      <w:szCs w:val="18"/>
                      <w:highlight w:val="none"/>
                      <w:lang w:val="en-US" w:eastAsia="zh-CN"/>
                    </w:rPr>
                    <w:t>51.0</w:t>
                  </w:r>
                </w:p>
              </w:tc>
              <w:tc>
                <w:tcPr>
                  <w:tcW w:w="282" w:type="pct"/>
                  <w:vMerge w:val="continue"/>
                  <w:tcBorders>
                    <w:tl2br w:val="nil"/>
                    <w:tr2bl w:val="nil"/>
                  </w:tcBorders>
                  <w:shd w:val="clear" w:color="auto" w:fill="auto"/>
                  <w:noWrap/>
                  <w:vAlign w:val="center"/>
                </w:tcPr>
                <w:p w14:paraId="5F79D943">
                  <w:pPr>
                    <w:widowControl/>
                    <w:adjustRightInd w:val="0"/>
                    <w:snapToGrid w:val="0"/>
                    <w:jc w:val="center"/>
                    <w:rPr>
                      <w:rFonts w:ascii="Times New Roman" w:hAnsi="Times New Roman" w:eastAsia="宋体" w:cs="Times New Roman"/>
                      <w:color w:val="auto"/>
                      <w:sz w:val="18"/>
                      <w:szCs w:val="18"/>
                      <w:highlight w:val="none"/>
                    </w:rPr>
                  </w:pPr>
                </w:p>
              </w:tc>
            </w:tr>
          </w:tbl>
          <w:p w14:paraId="5C6B2490">
            <w:pPr>
              <w:pStyle w:val="43"/>
              <w:adjustRightInd/>
              <w:snapToGrid w:val="0"/>
              <w:spacing w:line="240" w:lineRule="auto"/>
              <w:ind w:firstLine="360" w:firstLineChars="200"/>
              <w:jc w:val="both"/>
              <w:rPr>
                <w:rFonts w:ascii="Times New Roman" w:hAnsi="Times New Roman" w:cs="Times New Roman"/>
                <w:color w:val="auto"/>
                <w:sz w:val="18"/>
                <w:szCs w:val="18"/>
                <w:highlight w:val="none"/>
              </w:rPr>
            </w:pPr>
            <w:r>
              <w:rPr>
                <w:rFonts w:ascii="Times New Roman" w:hAnsi="Times New Roman" w:cs="Times New Roman"/>
                <w:color w:val="auto"/>
                <w:sz w:val="18"/>
                <w:szCs w:val="18"/>
                <w:highlight w:val="none"/>
              </w:rPr>
              <w:t>注：以厂区西南角为原点。</w:t>
            </w:r>
          </w:p>
          <w:p w14:paraId="3A42D3B7">
            <w:pPr>
              <w:spacing w:line="360" w:lineRule="auto"/>
              <w:ind w:firstLine="540" w:firstLineChars="225"/>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经调查本项目无室外声源，针对室内声源，</w:t>
            </w:r>
            <w:r>
              <w:rPr>
                <w:rFonts w:ascii="Times New Roman" w:hAnsi="Times New Roman" w:eastAsia="宋体" w:cs="Times New Roman"/>
                <w:color w:val="auto"/>
                <w:sz w:val="24"/>
                <w:szCs w:val="24"/>
                <w:highlight w:val="none"/>
              </w:rPr>
              <w:t>通过加强对产噪设备的管理，采用设备基础安装减振垫，厂房隔声等措施以减轻噪声对周围环境噪声的影响。采取以上噪声治理措施后，可降低对外环境的影响。</w:t>
            </w:r>
          </w:p>
          <w:p w14:paraId="173EB964">
            <w:pPr>
              <w:spacing w:line="360" w:lineRule="auto"/>
              <w:ind w:firstLine="540" w:firstLineChars="225"/>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（1）预测点位设置</w:t>
            </w:r>
          </w:p>
          <w:p w14:paraId="62B377C5">
            <w:pPr>
              <w:spacing w:line="360" w:lineRule="auto"/>
              <w:ind w:firstLine="540" w:firstLineChars="225"/>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本项目分别在厂区东、南、西、北边界</w:t>
            </w:r>
            <w:r>
              <w:rPr>
                <w:rFonts w:hint="eastAsia" w:ascii="Times New Roman" w:hAnsi="Times New Roman" w:eastAsia="宋体" w:cs="Times New Roman"/>
                <w:color w:val="auto"/>
                <w:sz w:val="24"/>
                <w:szCs w:val="24"/>
                <w:highlight w:val="none"/>
              </w:rPr>
              <w:t>以及声</w:t>
            </w:r>
            <w:r>
              <w:rPr>
                <w:rFonts w:hint="eastAsia" w:ascii="Times New Roman" w:hAnsi="Times New Roman" w:eastAsia="宋体" w:cs="Times New Roman"/>
                <w:color w:val="auto"/>
                <w:sz w:val="24"/>
                <w:szCs w:val="24"/>
                <w:highlight w:val="none"/>
                <w:lang w:eastAsia="zh-CN"/>
              </w:rPr>
              <w:t>环境保护</w:t>
            </w:r>
            <w:r>
              <w:rPr>
                <w:rFonts w:hint="eastAsia" w:ascii="Times New Roman" w:hAnsi="Times New Roman" w:eastAsia="宋体" w:cs="Times New Roman"/>
                <w:color w:val="auto"/>
                <w:sz w:val="24"/>
                <w:szCs w:val="24"/>
                <w:highlight w:val="none"/>
              </w:rPr>
              <w:t>目标处，共</w:t>
            </w:r>
            <w:r>
              <w:rPr>
                <w:rFonts w:ascii="Times New Roman" w:hAnsi="Times New Roman" w:eastAsia="宋体" w:cs="Times New Roman"/>
                <w:color w:val="auto"/>
                <w:sz w:val="24"/>
                <w:szCs w:val="24"/>
                <w:highlight w:val="none"/>
              </w:rPr>
              <w:t>设置</w:t>
            </w:r>
            <w:r>
              <w:rPr>
                <w:rFonts w:hint="eastAsia" w:ascii="Times New Roman" w:hAnsi="Times New Roman" w:eastAsia="宋体" w:cs="Times New Roman"/>
                <w:color w:val="auto"/>
                <w:sz w:val="24"/>
                <w:szCs w:val="24"/>
                <w:highlight w:val="none"/>
              </w:rPr>
              <w:t>五</w:t>
            </w:r>
            <w:r>
              <w:rPr>
                <w:rFonts w:ascii="Times New Roman" w:hAnsi="Times New Roman" w:eastAsia="宋体" w:cs="Times New Roman"/>
                <w:color w:val="auto"/>
                <w:sz w:val="24"/>
                <w:szCs w:val="24"/>
                <w:highlight w:val="none"/>
              </w:rPr>
              <w:t>个声环境预测点。</w:t>
            </w:r>
          </w:p>
          <w:p w14:paraId="58F20556">
            <w:pPr>
              <w:spacing w:line="360" w:lineRule="auto"/>
              <w:ind w:firstLine="540" w:firstLineChars="225"/>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（2）预测模式</w:t>
            </w:r>
          </w:p>
          <w:p w14:paraId="361819B5">
            <w:pPr>
              <w:spacing w:line="360" w:lineRule="auto"/>
              <w:ind w:firstLine="540" w:firstLineChars="225"/>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评价采用《环境影响评价技术导则——声环境》（HJ2.4-2021）中推荐的工业噪声预测计算模式，对项目运行后的厂界噪声变化情况进行分析。本项目主要声源均布置在厂房内，采取室内声源等效室外声源声功率级计算方法。</w:t>
            </w:r>
          </w:p>
          <w:p w14:paraId="160D847B">
            <w:pPr>
              <w:adjustRightInd w:val="0"/>
              <w:snapToGrid w:val="0"/>
              <w:spacing w:line="360" w:lineRule="auto"/>
              <w:ind w:firstLine="420" w:firstLineChars="20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drawing>
                <wp:inline distT="0" distB="0" distL="114300" distR="114300">
                  <wp:extent cx="2425065" cy="1339850"/>
                  <wp:effectExtent l="0" t="0" r="3810" b="3175"/>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16" cstate="print"/>
                          <a:stretch>
                            <a:fillRect/>
                          </a:stretch>
                        </pic:blipFill>
                        <pic:spPr>
                          <a:xfrm>
                            <a:off x="0" y="0"/>
                            <a:ext cx="2425065" cy="1339850"/>
                          </a:xfrm>
                          <a:prstGeom prst="rect">
                            <a:avLst/>
                          </a:prstGeom>
                          <a:noFill/>
                          <a:ln>
                            <a:noFill/>
                          </a:ln>
                        </pic:spPr>
                      </pic:pic>
                    </a:graphicData>
                  </a:graphic>
                </wp:inline>
              </w:drawing>
            </w:r>
          </w:p>
          <w:p w14:paraId="7342B6B7">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①首先计算出某个室内靠近围护结构处的倍频带声压级：</w:t>
            </w:r>
          </w:p>
          <w:p w14:paraId="322B08DB">
            <w:pPr>
              <w:widowControl/>
              <w:spacing w:line="360" w:lineRule="auto"/>
              <w:ind w:firstLine="480" w:firstLineChars="200"/>
              <w:jc w:val="center"/>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color w:val="auto"/>
                <w:kern w:val="0"/>
                <w:position w:val="-36"/>
                <w:sz w:val="24"/>
                <w:szCs w:val="24"/>
                <w:highlight w:val="none"/>
              </w:rPr>
              <w:drawing>
                <wp:inline distT="0" distB="0" distL="114300" distR="114300">
                  <wp:extent cx="1990090" cy="533400"/>
                  <wp:effectExtent l="0" t="0" r="0" b="0"/>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pic:cNvPicPr>
                            <a:picLocks noChangeAspect="1"/>
                          </pic:cNvPicPr>
                        </pic:nvPicPr>
                        <pic:blipFill>
                          <a:blip r:embed="rId17" cstate="print"/>
                          <a:stretch>
                            <a:fillRect/>
                          </a:stretch>
                        </pic:blipFill>
                        <pic:spPr>
                          <a:xfrm>
                            <a:off x="0" y="0"/>
                            <a:ext cx="1990090" cy="533400"/>
                          </a:xfrm>
                          <a:prstGeom prst="rect">
                            <a:avLst/>
                          </a:prstGeom>
                          <a:noFill/>
                          <a:ln>
                            <a:noFill/>
                          </a:ln>
                        </pic:spPr>
                      </pic:pic>
                    </a:graphicData>
                  </a:graphic>
                </wp:inline>
              </w:drawing>
            </w:r>
          </w:p>
          <w:p w14:paraId="1C1A076B">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式中：</w:t>
            </w:r>
            <w:r>
              <w:rPr>
                <w:rFonts w:ascii="Times New Roman" w:hAnsi="Times New Roman" w:eastAsia="宋体" w:cs="Times New Roman"/>
                <w:color w:val="auto"/>
                <w:kern w:val="0"/>
                <w:position w:val="-10"/>
                <w:sz w:val="24"/>
                <w:szCs w:val="24"/>
                <w:highlight w:val="none"/>
              </w:rPr>
              <w:drawing>
                <wp:inline distT="0" distB="0" distL="114300" distR="114300">
                  <wp:extent cx="228600" cy="228600"/>
                  <wp:effectExtent l="0" t="0" r="0" b="0"/>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8" cstate="print"/>
                          <a:stretch>
                            <a:fillRect/>
                          </a:stretch>
                        </pic:blipFill>
                        <pic:spPr>
                          <a:xfrm>
                            <a:off x="0" y="0"/>
                            <a:ext cx="228600" cy="228600"/>
                          </a:xfrm>
                          <a:prstGeom prst="rect">
                            <a:avLst/>
                          </a:prstGeom>
                          <a:noFill/>
                          <a:ln>
                            <a:noFill/>
                          </a:ln>
                        </pic:spPr>
                      </pic:pic>
                    </a:graphicData>
                  </a:graphic>
                </wp:inline>
              </w:drawing>
            </w:r>
            <w:r>
              <w:rPr>
                <w:rFonts w:ascii="Times New Roman" w:hAnsi="Times New Roman" w:eastAsia="宋体" w:cs="Times New Roman"/>
                <w:bCs/>
                <w:color w:val="auto"/>
                <w:kern w:val="0"/>
                <w:position w:val="-14"/>
                <w:sz w:val="24"/>
                <w:szCs w:val="24"/>
                <w:highlight w:val="none"/>
              </w:rPr>
              <w:t>——靠近开口处（或窗户）室内某倍频带的声压级或A声级，dB；</w:t>
            </w:r>
          </w:p>
          <w:p w14:paraId="272A1B10">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color w:val="auto"/>
                <w:kern w:val="0"/>
                <w:position w:val="-4"/>
                <w:sz w:val="24"/>
                <w:szCs w:val="24"/>
                <w:highlight w:val="none"/>
              </w:rPr>
              <w:drawing>
                <wp:inline distT="0" distB="0" distL="114300" distR="114300">
                  <wp:extent cx="209550" cy="161925"/>
                  <wp:effectExtent l="0" t="0" r="0" b="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9" cstate="print"/>
                          <a:stretch>
                            <a:fillRect/>
                          </a:stretch>
                        </pic:blipFill>
                        <pic:spPr>
                          <a:xfrm>
                            <a:off x="0" y="0"/>
                            <a:ext cx="209550" cy="161925"/>
                          </a:xfrm>
                          <a:prstGeom prst="rect">
                            <a:avLst/>
                          </a:prstGeom>
                          <a:noFill/>
                          <a:ln>
                            <a:noFill/>
                          </a:ln>
                        </pic:spPr>
                      </pic:pic>
                    </a:graphicData>
                  </a:graphic>
                </wp:inline>
              </w:drawing>
            </w:r>
            <w:r>
              <w:rPr>
                <w:rFonts w:ascii="Times New Roman" w:hAnsi="Times New Roman" w:eastAsia="宋体" w:cs="Times New Roman"/>
                <w:bCs/>
                <w:color w:val="auto"/>
                <w:kern w:val="0"/>
                <w:position w:val="-14"/>
                <w:sz w:val="24"/>
                <w:szCs w:val="24"/>
                <w:highlight w:val="none"/>
              </w:rPr>
              <w:t>——点声源声功率级（A 计权或倍频带），dB；</w:t>
            </w:r>
          </w:p>
          <w:p w14:paraId="09BEDB94">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i/>
                <w:color w:val="auto"/>
                <w:kern w:val="0"/>
                <w:position w:val="-14"/>
                <w:sz w:val="24"/>
                <w:szCs w:val="24"/>
                <w:highlight w:val="none"/>
              </w:rPr>
              <w:t>r</w:t>
            </w:r>
            <w:r>
              <w:rPr>
                <w:rFonts w:ascii="Times New Roman" w:hAnsi="Times New Roman" w:eastAsia="宋体" w:cs="Times New Roman"/>
                <w:bCs/>
                <w:color w:val="auto"/>
                <w:kern w:val="0"/>
                <w:position w:val="-14"/>
                <w:sz w:val="24"/>
                <w:szCs w:val="24"/>
                <w:highlight w:val="none"/>
              </w:rPr>
              <w:t>——室内某个声源与靠近围护结构处的距离；</w:t>
            </w:r>
          </w:p>
          <w:p w14:paraId="56BB2B41">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i/>
                <w:color w:val="auto"/>
                <w:kern w:val="0"/>
                <w:position w:val="-14"/>
                <w:sz w:val="24"/>
                <w:szCs w:val="24"/>
                <w:highlight w:val="none"/>
              </w:rPr>
              <w:t>R</w:t>
            </w:r>
            <w:r>
              <w:rPr>
                <w:rFonts w:ascii="Times New Roman" w:hAnsi="Times New Roman" w:eastAsia="宋体" w:cs="Times New Roman"/>
                <w:bCs/>
                <w:color w:val="auto"/>
                <w:kern w:val="0"/>
                <w:position w:val="-14"/>
                <w:sz w:val="24"/>
                <w:szCs w:val="24"/>
                <w:highlight w:val="none"/>
              </w:rPr>
              <w:t>——房间常数；R= Sα /(1 −α) ，S为房间内表面面积，m</w:t>
            </w:r>
            <w:r>
              <w:rPr>
                <w:rFonts w:ascii="Times New Roman" w:hAnsi="Times New Roman" w:eastAsia="宋体" w:cs="Times New Roman"/>
                <w:bCs/>
                <w:color w:val="auto"/>
                <w:kern w:val="0"/>
                <w:position w:val="-14"/>
                <w:sz w:val="24"/>
                <w:szCs w:val="24"/>
                <w:highlight w:val="none"/>
                <w:vertAlign w:val="superscript"/>
              </w:rPr>
              <w:t>2</w:t>
            </w:r>
            <w:r>
              <w:rPr>
                <w:rFonts w:ascii="Times New Roman" w:hAnsi="Times New Roman" w:eastAsia="宋体" w:cs="Times New Roman"/>
                <w:bCs/>
                <w:color w:val="auto"/>
                <w:kern w:val="0"/>
                <w:position w:val="-14"/>
                <w:sz w:val="24"/>
                <w:szCs w:val="24"/>
                <w:highlight w:val="none"/>
              </w:rPr>
              <w:t>；α为平均吸声系数，本次评价取0.5。</w:t>
            </w:r>
          </w:p>
          <w:p w14:paraId="24988EDA">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i/>
                <w:color w:val="auto"/>
                <w:kern w:val="0"/>
                <w:position w:val="-14"/>
                <w:sz w:val="24"/>
                <w:szCs w:val="24"/>
                <w:highlight w:val="none"/>
              </w:rPr>
              <w:t>Q</w:t>
            </w:r>
            <w:r>
              <w:rPr>
                <w:rFonts w:ascii="Times New Roman" w:hAnsi="Times New Roman" w:eastAsia="宋体" w:cs="Times New Roman"/>
                <w:bCs/>
                <w:color w:val="auto"/>
                <w:kern w:val="0"/>
                <w:position w:val="-14"/>
                <w:sz w:val="24"/>
                <w:szCs w:val="24"/>
                <w:highlight w:val="none"/>
              </w:rPr>
              <w:t>——方向性因子，通常对无指向性声源，当声源放在房间中心时，Q=1；当放在一面墙的中心时，Q=2；当放在两面墙夹角处时，Q=4；当放在三面墙夹角处时，Q=8。本次评价Q=2。</w:t>
            </w:r>
          </w:p>
          <w:p w14:paraId="29CEDD32">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②计算出所有室内声源在靠近围护结构处产生的总倍频带声压级：</w:t>
            </w:r>
          </w:p>
          <w:p w14:paraId="3C71A66B">
            <w:pPr>
              <w:widowControl/>
              <w:spacing w:line="360" w:lineRule="auto"/>
              <w:jc w:val="center"/>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color w:val="auto"/>
                <w:kern w:val="0"/>
                <w:position w:val="-14"/>
                <w:sz w:val="24"/>
                <w:szCs w:val="24"/>
                <w:highlight w:val="none"/>
              </w:rPr>
              <w:drawing>
                <wp:inline distT="0" distB="0" distL="114300" distR="114300">
                  <wp:extent cx="1905000" cy="590550"/>
                  <wp:effectExtent l="0" t="0" r="0" b="0"/>
                  <wp:docPr id="27" name="图片 14" descr="1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111111111"/>
                          <pic:cNvPicPr>
                            <a:picLocks noChangeAspect="1"/>
                          </pic:cNvPicPr>
                        </pic:nvPicPr>
                        <pic:blipFill>
                          <a:blip r:embed="rId20" cstate="print"/>
                          <a:stretch>
                            <a:fillRect/>
                          </a:stretch>
                        </pic:blipFill>
                        <pic:spPr>
                          <a:xfrm>
                            <a:off x="0" y="0"/>
                            <a:ext cx="1905000" cy="590550"/>
                          </a:xfrm>
                          <a:prstGeom prst="rect">
                            <a:avLst/>
                          </a:prstGeom>
                          <a:noFill/>
                          <a:ln>
                            <a:noFill/>
                          </a:ln>
                        </pic:spPr>
                      </pic:pic>
                    </a:graphicData>
                  </a:graphic>
                </wp:inline>
              </w:drawing>
            </w:r>
          </w:p>
          <w:p w14:paraId="05882896">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③计算出室外靠近围护结构的声压级：</w:t>
            </w:r>
          </w:p>
          <w:p w14:paraId="02084C92">
            <w:pPr>
              <w:widowControl/>
              <w:spacing w:line="360" w:lineRule="auto"/>
              <w:jc w:val="center"/>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color w:val="auto"/>
                <w:kern w:val="0"/>
                <w:sz w:val="24"/>
                <w:szCs w:val="24"/>
                <w:highlight w:val="none"/>
              </w:rPr>
              <w:drawing>
                <wp:inline distT="0" distB="0" distL="114300" distR="114300">
                  <wp:extent cx="1924050" cy="323850"/>
                  <wp:effectExtent l="0" t="0" r="0" b="0"/>
                  <wp:docPr id="3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5"/>
                          <pic:cNvPicPr>
                            <a:picLocks noChangeAspect="1"/>
                          </pic:cNvPicPr>
                        </pic:nvPicPr>
                        <pic:blipFill>
                          <a:blip r:embed="rId21" cstate="print"/>
                          <a:stretch>
                            <a:fillRect/>
                          </a:stretch>
                        </pic:blipFill>
                        <pic:spPr>
                          <a:xfrm>
                            <a:off x="0" y="0"/>
                            <a:ext cx="1924050" cy="323850"/>
                          </a:xfrm>
                          <a:prstGeom prst="rect">
                            <a:avLst/>
                          </a:prstGeom>
                          <a:noFill/>
                          <a:ln>
                            <a:noFill/>
                          </a:ln>
                        </pic:spPr>
                      </pic:pic>
                    </a:graphicData>
                  </a:graphic>
                </wp:inline>
              </w:drawing>
            </w:r>
          </w:p>
          <w:p w14:paraId="1EAFDF3D">
            <w:pPr>
              <w:widowControl/>
              <w:spacing w:line="360" w:lineRule="auto"/>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式中： L</w:t>
            </w:r>
            <w:r>
              <w:rPr>
                <w:rFonts w:ascii="Times New Roman" w:hAnsi="Times New Roman" w:eastAsia="宋体" w:cs="Times New Roman"/>
                <w:bCs/>
                <w:color w:val="auto"/>
                <w:spacing w:val="-20"/>
                <w:kern w:val="28"/>
                <w:position w:val="-14"/>
                <w:sz w:val="24"/>
                <w:szCs w:val="24"/>
                <w:highlight w:val="none"/>
                <w:vertAlign w:val="subscript"/>
              </w:rPr>
              <w:t>p 2 i</w:t>
            </w:r>
            <w:r>
              <w:rPr>
                <w:rFonts w:ascii="Times New Roman" w:hAnsi="Times New Roman" w:eastAsia="宋体" w:cs="Times New Roman"/>
                <w:bCs/>
                <w:color w:val="auto"/>
                <w:kern w:val="0"/>
                <w:position w:val="-14"/>
                <w:sz w:val="24"/>
                <w:szCs w:val="24"/>
                <w:highlight w:val="none"/>
              </w:rPr>
              <w:t>(T )——靠近围护结构处室外N个声源i倍频带的叠加声压级，dB；</w:t>
            </w:r>
          </w:p>
          <w:p w14:paraId="600E5826">
            <w:pPr>
              <w:widowControl/>
              <w:spacing w:line="360" w:lineRule="auto"/>
              <w:ind w:firstLine="840" w:firstLineChars="350"/>
              <w:jc w:val="left"/>
              <w:rPr>
                <w:rFonts w:ascii="Times New Roman" w:hAnsi="Times New Roman" w:eastAsia="宋体" w:cs="Times New Roman"/>
                <w:b/>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TL</w:t>
            </w:r>
            <w:r>
              <w:rPr>
                <w:rFonts w:ascii="Times New Roman" w:hAnsi="Times New Roman" w:eastAsia="宋体" w:cs="Times New Roman"/>
                <w:bCs/>
                <w:color w:val="auto"/>
                <w:kern w:val="0"/>
                <w:position w:val="-14"/>
                <w:sz w:val="24"/>
                <w:szCs w:val="24"/>
                <w:highlight w:val="none"/>
                <w:vertAlign w:val="subscript"/>
              </w:rPr>
              <w:t>i</w:t>
            </w:r>
            <w:r>
              <w:rPr>
                <w:rFonts w:ascii="Times New Roman" w:hAnsi="Times New Roman" w:eastAsia="宋体" w:cs="Times New Roman"/>
                <w:bCs/>
                <w:color w:val="auto"/>
                <w:kern w:val="0"/>
                <w:position w:val="-14"/>
                <w:sz w:val="24"/>
                <w:szCs w:val="24"/>
                <w:highlight w:val="none"/>
              </w:rPr>
              <w:t>——围护结构i倍频带的隔声量，dB，本次评价TL=20dB。</w:t>
            </w:r>
          </w:p>
          <w:p w14:paraId="4C2876D9">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④将室外声级和透声面积换算成等效的室外声源，计算出等效声源第</w:t>
            </w:r>
            <w:r>
              <w:rPr>
                <w:rFonts w:ascii="Times New Roman" w:hAnsi="Times New Roman" w:eastAsia="宋体" w:cs="Times New Roman"/>
                <w:bCs/>
                <w:i/>
                <w:color w:val="auto"/>
                <w:kern w:val="0"/>
                <w:position w:val="-14"/>
                <w:sz w:val="24"/>
                <w:szCs w:val="24"/>
                <w:highlight w:val="none"/>
              </w:rPr>
              <w:t>i</w:t>
            </w:r>
            <w:r>
              <w:rPr>
                <w:rFonts w:ascii="Times New Roman" w:hAnsi="Times New Roman" w:eastAsia="宋体" w:cs="Times New Roman"/>
                <w:bCs/>
                <w:color w:val="auto"/>
                <w:kern w:val="0"/>
                <w:position w:val="-14"/>
                <w:sz w:val="24"/>
                <w:szCs w:val="24"/>
                <w:highlight w:val="none"/>
              </w:rPr>
              <w:t>个倍频带的声功率级L</w:t>
            </w:r>
            <w:r>
              <w:rPr>
                <w:rFonts w:ascii="Times New Roman" w:hAnsi="Times New Roman" w:eastAsia="宋体" w:cs="Times New Roman"/>
                <w:bCs/>
                <w:color w:val="auto"/>
                <w:kern w:val="0"/>
                <w:position w:val="-14"/>
                <w:sz w:val="24"/>
                <w:szCs w:val="24"/>
                <w:highlight w:val="none"/>
                <w:vertAlign w:val="subscript"/>
              </w:rPr>
              <w:t>w</w:t>
            </w:r>
            <w:r>
              <w:rPr>
                <w:rFonts w:ascii="Times New Roman" w:hAnsi="Times New Roman" w:eastAsia="宋体" w:cs="Times New Roman"/>
                <w:bCs/>
                <w:color w:val="auto"/>
                <w:kern w:val="0"/>
                <w:position w:val="-14"/>
                <w:sz w:val="24"/>
                <w:szCs w:val="24"/>
                <w:highlight w:val="none"/>
              </w:rPr>
              <w:t>：</w:t>
            </w:r>
          </w:p>
          <w:p w14:paraId="6AF68139">
            <w:pPr>
              <w:widowControl/>
              <w:spacing w:line="360" w:lineRule="auto"/>
              <w:jc w:val="center"/>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L</w:t>
            </w:r>
            <w:r>
              <w:rPr>
                <w:rFonts w:ascii="Times New Roman" w:hAnsi="Times New Roman" w:eastAsia="宋体" w:cs="Times New Roman"/>
                <w:bCs/>
                <w:color w:val="auto"/>
                <w:kern w:val="0"/>
                <w:position w:val="-14"/>
                <w:sz w:val="24"/>
                <w:szCs w:val="24"/>
                <w:highlight w:val="none"/>
                <w:vertAlign w:val="subscript"/>
              </w:rPr>
              <w:t>W</w:t>
            </w:r>
            <w:r>
              <w:rPr>
                <w:rFonts w:ascii="Times New Roman" w:hAnsi="Times New Roman" w:eastAsia="宋体" w:cs="Times New Roman"/>
                <w:bCs/>
                <w:color w:val="auto"/>
                <w:kern w:val="0"/>
                <w:position w:val="-14"/>
                <w:sz w:val="24"/>
                <w:szCs w:val="24"/>
                <w:highlight w:val="none"/>
              </w:rPr>
              <w:t>=L</w:t>
            </w:r>
            <w:r>
              <w:rPr>
                <w:rFonts w:ascii="Times New Roman" w:hAnsi="Times New Roman" w:eastAsia="宋体" w:cs="Times New Roman"/>
                <w:bCs/>
                <w:color w:val="auto"/>
                <w:kern w:val="0"/>
                <w:position w:val="-14"/>
                <w:sz w:val="24"/>
                <w:szCs w:val="24"/>
                <w:highlight w:val="none"/>
                <w:vertAlign w:val="subscript"/>
              </w:rPr>
              <w:t>p2</w:t>
            </w:r>
            <w:r>
              <w:rPr>
                <w:rFonts w:ascii="Times New Roman" w:hAnsi="Times New Roman" w:eastAsia="宋体" w:cs="Times New Roman"/>
                <w:bCs/>
                <w:color w:val="auto"/>
                <w:kern w:val="0"/>
                <w:position w:val="-14"/>
                <w:sz w:val="24"/>
                <w:szCs w:val="24"/>
                <w:highlight w:val="none"/>
              </w:rPr>
              <w:t>(T)+10lgS</w:t>
            </w:r>
          </w:p>
          <w:p w14:paraId="5D318985">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式中：</w:t>
            </w:r>
            <w:r>
              <w:rPr>
                <w:rFonts w:ascii="Times New Roman" w:hAnsi="Times New Roman" w:eastAsia="宋体" w:cs="Times New Roman"/>
                <w:bCs/>
                <w:i/>
                <w:color w:val="auto"/>
                <w:kern w:val="0"/>
                <w:position w:val="-14"/>
                <w:sz w:val="24"/>
                <w:szCs w:val="24"/>
                <w:highlight w:val="none"/>
              </w:rPr>
              <w:t>S</w:t>
            </w:r>
            <w:r>
              <w:rPr>
                <w:rFonts w:ascii="Times New Roman" w:hAnsi="Times New Roman" w:eastAsia="宋体" w:cs="Times New Roman"/>
                <w:bCs/>
                <w:color w:val="auto"/>
                <w:kern w:val="0"/>
                <w:position w:val="-14"/>
                <w:sz w:val="24"/>
                <w:szCs w:val="24"/>
                <w:highlight w:val="none"/>
              </w:rPr>
              <w:t>——透声面积，m</w:t>
            </w:r>
            <w:r>
              <w:rPr>
                <w:rFonts w:ascii="Times New Roman" w:hAnsi="Times New Roman" w:eastAsia="宋体" w:cs="Times New Roman"/>
                <w:bCs/>
                <w:color w:val="auto"/>
                <w:kern w:val="0"/>
                <w:position w:val="-14"/>
                <w:sz w:val="24"/>
                <w:szCs w:val="24"/>
                <w:highlight w:val="none"/>
                <w:vertAlign w:val="superscript"/>
              </w:rPr>
              <w:t>2</w:t>
            </w:r>
            <w:r>
              <w:rPr>
                <w:rFonts w:ascii="Times New Roman" w:hAnsi="Times New Roman" w:eastAsia="宋体" w:cs="Times New Roman"/>
                <w:bCs/>
                <w:color w:val="auto"/>
                <w:kern w:val="0"/>
                <w:position w:val="-14"/>
                <w:sz w:val="24"/>
                <w:szCs w:val="24"/>
                <w:highlight w:val="none"/>
              </w:rPr>
              <w:t>，本次评价S取100m</w:t>
            </w:r>
            <w:r>
              <w:rPr>
                <w:rFonts w:ascii="Times New Roman" w:hAnsi="Times New Roman" w:eastAsia="宋体" w:cs="Times New Roman"/>
                <w:bCs/>
                <w:color w:val="auto"/>
                <w:kern w:val="0"/>
                <w:position w:val="-14"/>
                <w:sz w:val="24"/>
                <w:szCs w:val="24"/>
                <w:highlight w:val="none"/>
                <w:vertAlign w:val="superscript"/>
              </w:rPr>
              <w:t>2</w:t>
            </w:r>
            <w:r>
              <w:rPr>
                <w:rFonts w:ascii="Times New Roman" w:hAnsi="Times New Roman" w:eastAsia="宋体" w:cs="Times New Roman"/>
                <w:bCs/>
                <w:color w:val="auto"/>
                <w:kern w:val="0"/>
                <w:position w:val="-14"/>
                <w:sz w:val="24"/>
                <w:szCs w:val="24"/>
                <w:highlight w:val="none"/>
              </w:rPr>
              <w:t>。</w:t>
            </w:r>
          </w:p>
          <w:p w14:paraId="443062D0">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fldChar w:fldCharType="begin"/>
            </w:r>
            <w:r>
              <w:rPr>
                <w:rFonts w:ascii="Times New Roman" w:hAnsi="Times New Roman" w:eastAsia="宋体" w:cs="Times New Roman"/>
                <w:bCs/>
                <w:color w:val="auto"/>
                <w:kern w:val="0"/>
                <w:position w:val="-14"/>
                <w:sz w:val="24"/>
                <w:szCs w:val="24"/>
                <w:highlight w:val="none"/>
              </w:rPr>
              <w:instrText xml:space="preserve">= 5 \* GB3</w:instrText>
            </w:r>
            <w:r>
              <w:rPr>
                <w:rFonts w:ascii="Times New Roman" w:hAnsi="Times New Roman" w:eastAsia="宋体" w:cs="Times New Roman"/>
                <w:bCs/>
                <w:color w:val="auto"/>
                <w:kern w:val="0"/>
                <w:position w:val="-14"/>
                <w:sz w:val="24"/>
                <w:szCs w:val="24"/>
                <w:highlight w:val="none"/>
              </w:rPr>
              <w:fldChar w:fldCharType="separate"/>
            </w:r>
            <w:r>
              <w:rPr>
                <w:rFonts w:ascii="Times New Roman" w:hAnsi="Times New Roman" w:eastAsia="宋体" w:cs="Times New Roman"/>
                <w:bCs/>
                <w:color w:val="auto"/>
                <w:kern w:val="0"/>
                <w:position w:val="-14"/>
                <w:sz w:val="24"/>
                <w:szCs w:val="24"/>
                <w:highlight w:val="none"/>
              </w:rPr>
              <w:t>⑤</w:t>
            </w:r>
            <w:r>
              <w:rPr>
                <w:rFonts w:ascii="Times New Roman" w:hAnsi="Times New Roman" w:eastAsia="宋体" w:cs="Times New Roman"/>
                <w:bCs/>
                <w:color w:val="auto"/>
                <w:kern w:val="0"/>
                <w:position w:val="-14"/>
                <w:sz w:val="24"/>
                <w:szCs w:val="24"/>
                <w:highlight w:val="none"/>
              </w:rPr>
              <w:fldChar w:fldCharType="end"/>
            </w:r>
            <w:r>
              <w:rPr>
                <w:rFonts w:ascii="Times New Roman" w:hAnsi="Times New Roman" w:eastAsia="宋体" w:cs="Times New Roman"/>
                <w:bCs/>
                <w:color w:val="auto"/>
                <w:kern w:val="0"/>
                <w:position w:val="-14"/>
                <w:sz w:val="24"/>
                <w:szCs w:val="24"/>
                <w:highlight w:val="none"/>
              </w:rPr>
              <w:t>按室外声源预测方法计算预测点处的A声级。室外声源处于半自由声场情况下，且声源可看作是位于地面上的，则：</w:t>
            </w:r>
          </w:p>
          <w:p w14:paraId="1C961A10">
            <w:pPr>
              <w:widowControl/>
              <w:spacing w:line="360" w:lineRule="auto"/>
              <w:ind w:firstLine="480" w:firstLineChars="200"/>
              <w:jc w:val="center"/>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L</w:t>
            </w:r>
            <w:r>
              <w:rPr>
                <w:rFonts w:ascii="Times New Roman" w:hAnsi="Times New Roman" w:eastAsia="宋体" w:cs="Times New Roman"/>
                <w:bCs/>
                <w:color w:val="auto"/>
                <w:kern w:val="0"/>
                <w:position w:val="-14"/>
                <w:sz w:val="24"/>
                <w:szCs w:val="24"/>
                <w:highlight w:val="none"/>
                <w:vertAlign w:val="subscript"/>
              </w:rPr>
              <w:t>p</w:t>
            </w:r>
            <w:r>
              <w:rPr>
                <w:rFonts w:ascii="Times New Roman" w:hAnsi="Times New Roman" w:eastAsia="宋体" w:cs="Times New Roman"/>
                <w:bCs/>
                <w:color w:val="auto"/>
                <w:kern w:val="0"/>
                <w:position w:val="-14"/>
                <w:sz w:val="24"/>
                <w:szCs w:val="24"/>
                <w:highlight w:val="none"/>
              </w:rPr>
              <w:t>(r)=L</w:t>
            </w:r>
            <w:r>
              <w:rPr>
                <w:rFonts w:ascii="Times New Roman" w:hAnsi="Times New Roman" w:eastAsia="宋体" w:cs="Times New Roman"/>
                <w:bCs/>
                <w:color w:val="auto"/>
                <w:kern w:val="0"/>
                <w:position w:val="-14"/>
                <w:sz w:val="24"/>
                <w:szCs w:val="24"/>
                <w:highlight w:val="none"/>
                <w:vertAlign w:val="subscript"/>
              </w:rPr>
              <w:t>W</w:t>
            </w:r>
            <w:r>
              <w:rPr>
                <w:rFonts w:ascii="Times New Roman" w:hAnsi="Times New Roman" w:eastAsia="宋体" w:cs="Times New Roman"/>
                <w:bCs/>
                <w:color w:val="auto"/>
                <w:kern w:val="0"/>
                <w:position w:val="-14"/>
                <w:sz w:val="24"/>
                <w:szCs w:val="24"/>
                <w:highlight w:val="none"/>
              </w:rPr>
              <w:t>-20lg(r)-8</w:t>
            </w:r>
          </w:p>
          <w:p w14:paraId="2A316ACB">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t>式中：r——点声源到受声点的距离，m。</w:t>
            </w:r>
          </w:p>
          <w:p w14:paraId="3D9805E7">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fldChar w:fldCharType="begin"/>
            </w:r>
            <w:r>
              <w:rPr>
                <w:rFonts w:ascii="Times New Roman" w:hAnsi="Times New Roman" w:eastAsia="宋体" w:cs="Times New Roman"/>
                <w:bCs/>
                <w:color w:val="auto"/>
                <w:kern w:val="0"/>
                <w:position w:val="-14"/>
                <w:sz w:val="24"/>
                <w:szCs w:val="24"/>
                <w:highlight w:val="none"/>
              </w:rPr>
              <w:instrText xml:space="preserve">= 6 \* GB3</w:instrText>
            </w:r>
            <w:r>
              <w:rPr>
                <w:rFonts w:ascii="Times New Roman" w:hAnsi="Times New Roman" w:eastAsia="宋体" w:cs="Times New Roman"/>
                <w:bCs/>
                <w:color w:val="auto"/>
                <w:kern w:val="0"/>
                <w:position w:val="-14"/>
                <w:sz w:val="24"/>
                <w:szCs w:val="24"/>
                <w:highlight w:val="none"/>
              </w:rPr>
              <w:fldChar w:fldCharType="separate"/>
            </w:r>
            <w:r>
              <w:rPr>
                <w:rFonts w:ascii="Times New Roman" w:hAnsi="Times New Roman" w:eastAsia="宋体" w:cs="Times New Roman"/>
                <w:bCs/>
                <w:color w:val="auto"/>
                <w:kern w:val="0"/>
                <w:position w:val="-14"/>
                <w:sz w:val="24"/>
                <w:szCs w:val="24"/>
                <w:highlight w:val="none"/>
              </w:rPr>
              <w:t>⑥</w:t>
            </w:r>
            <w:r>
              <w:rPr>
                <w:rFonts w:ascii="Times New Roman" w:hAnsi="Times New Roman" w:eastAsia="宋体" w:cs="Times New Roman"/>
                <w:bCs/>
                <w:color w:val="auto"/>
                <w:kern w:val="0"/>
                <w:position w:val="-14"/>
                <w:sz w:val="24"/>
                <w:szCs w:val="24"/>
                <w:highlight w:val="none"/>
              </w:rPr>
              <w:fldChar w:fldCharType="end"/>
            </w:r>
            <w:r>
              <w:rPr>
                <w:rFonts w:ascii="Times New Roman" w:hAnsi="Times New Roman" w:eastAsia="宋体" w:cs="Times New Roman"/>
                <w:bCs/>
                <w:color w:val="auto"/>
                <w:kern w:val="0"/>
                <w:position w:val="-14"/>
                <w:sz w:val="24"/>
                <w:szCs w:val="24"/>
                <w:highlight w:val="none"/>
              </w:rPr>
              <w:t>倍频带声压级和A声级转换</w:t>
            </w:r>
          </w:p>
          <w:p w14:paraId="397A70E1">
            <w:pPr>
              <w:widowControl/>
              <w:spacing w:line="360" w:lineRule="auto"/>
              <w:jc w:val="center"/>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color w:val="auto"/>
                <w:kern w:val="0"/>
                <w:position w:val="-14"/>
                <w:sz w:val="24"/>
                <w:szCs w:val="24"/>
                <w:highlight w:val="none"/>
              </w:rPr>
              <w:drawing>
                <wp:inline distT="0" distB="0" distL="114300" distR="114300">
                  <wp:extent cx="1791335" cy="476250"/>
                  <wp:effectExtent l="0" t="0" r="8890"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22" cstate="print"/>
                          <a:stretch>
                            <a:fillRect/>
                          </a:stretch>
                        </pic:blipFill>
                        <pic:spPr>
                          <a:xfrm>
                            <a:off x="0" y="0"/>
                            <a:ext cx="1791335" cy="476250"/>
                          </a:xfrm>
                          <a:prstGeom prst="rect">
                            <a:avLst/>
                          </a:prstGeom>
                          <a:noFill/>
                          <a:ln>
                            <a:noFill/>
                          </a:ln>
                        </pic:spPr>
                      </pic:pic>
                    </a:graphicData>
                  </a:graphic>
                </wp:inline>
              </w:drawing>
            </w:r>
          </w:p>
          <w:p w14:paraId="13F094D8">
            <w:pPr>
              <w:widowControl/>
              <w:spacing w:line="360" w:lineRule="auto"/>
              <w:ind w:firstLine="480" w:firstLineChars="200"/>
              <w:jc w:val="left"/>
              <w:rPr>
                <w:rFonts w:ascii="Times New Roman" w:hAnsi="Times New Roman" w:eastAsia="宋体" w:cs="Times New Roman"/>
                <w:bCs/>
                <w:color w:val="auto"/>
                <w:kern w:val="0"/>
                <w:position w:val="-14"/>
                <w:sz w:val="24"/>
                <w:szCs w:val="24"/>
                <w:highlight w:val="none"/>
              </w:rPr>
            </w:pPr>
            <w:r>
              <w:rPr>
                <w:rFonts w:ascii="Times New Roman" w:hAnsi="Times New Roman" w:eastAsia="宋体" w:cs="Times New Roman"/>
                <w:bCs/>
                <w:color w:val="auto"/>
                <w:kern w:val="0"/>
                <w:position w:val="-14"/>
                <w:sz w:val="24"/>
                <w:szCs w:val="24"/>
                <w:highlight w:val="none"/>
              </w:rPr>
              <w:fldChar w:fldCharType="begin"/>
            </w:r>
            <w:r>
              <w:rPr>
                <w:rFonts w:ascii="Times New Roman" w:hAnsi="Times New Roman" w:eastAsia="宋体" w:cs="Times New Roman"/>
                <w:bCs/>
                <w:color w:val="auto"/>
                <w:kern w:val="0"/>
                <w:position w:val="-14"/>
                <w:sz w:val="24"/>
                <w:szCs w:val="24"/>
                <w:highlight w:val="none"/>
              </w:rPr>
              <w:instrText xml:space="preserve">= 7 \* GB3</w:instrText>
            </w:r>
            <w:r>
              <w:rPr>
                <w:rFonts w:ascii="Times New Roman" w:hAnsi="Times New Roman" w:eastAsia="宋体" w:cs="Times New Roman"/>
                <w:bCs/>
                <w:color w:val="auto"/>
                <w:kern w:val="0"/>
                <w:position w:val="-14"/>
                <w:sz w:val="24"/>
                <w:szCs w:val="24"/>
                <w:highlight w:val="none"/>
              </w:rPr>
              <w:fldChar w:fldCharType="separate"/>
            </w:r>
            <w:r>
              <w:rPr>
                <w:rFonts w:ascii="Times New Roman" w:hAnsi="Times New Roman" w:eastAsia="宋体" w:cs="Times New Roman"/>
                <w:bCs/>
                <w:color w:val="auto"/>
                <w:kern w:val="0"/>
                <w:position w:val="-14"/>
                <w:sz w:val="24"/>
                <w:szCs w:val="24"/>
                <w:highlight w:val="none"/>
              </w:rPr>
              <w:t>⑦</w:t>
            </w:r>
            <w:r>
              <w:rPr>
                <w:rFonts w:ascii="Times New Roman" w:hAnsi="Times New Roman" w:eastAsia="宋体" w:cs="Times New Roman"/>
                <w:bCs/>
                <w:color w:val="auto"/>
                <w:kern w:val="0"/>
                <w:position w:val="-14"/>
                <w:sz w:val="24"/>
                <w:szCs w:val="24"/>
                <w:highlight w:val="none"/>
              </w:rPr>
              <w:fldChar w:fldCharType="end"/>
            </w:r>
            <w:r>
              <w:rPr>
                <w:rFonts w:ascii="Times New Roman" w:hAnsi="Times New Roman" w:eastAsia="宋体" w:cs="Times New Roman"/>
                <w:bCs/>
                <w:color w:val="auto"/>
                <w:kern w:val="0"/>
                <w:position w:val="-14"/>
                <w:sz w:val="24"/>
                <w:szCs w:val="24"/>
                <w:highlight w:val="none"/>
              </w:rPr>
              <w:t>运行设备到厂界噪声叠加按照下式计算：</w:t>
            </w:r>
          </w:p>
          <w:p w14:paraId="5E83F94C">
            <w:pPr>
              <w:widowControl/>
              <w:spacing w:line="360" w:lineRule="auto"/>
              <w:jc w:val="center"/>
              <w:rPr>
                <w:rFonts w:ascii="Times New Roman" w:hAnsi="Times New Roman" w:eastAsia="宋体" w:cs="Times New Roman"/>
                <w:bCs/>
                <w:color w:val="auto"/>
                <w:kern w:val="0"/>
                <w:sz w:val="24"/>
                <w:szCs w:val="24"/>
                <w:highlight w:val="none"/>
              </w:rPr>
            </w:pPr>
            <w:r>
              <w:rPr>
                <w:rFonts w:ascii="Times New Roman" w:hAnsi="Times New Roman" w:eastAsia="宋体" w:cs="Times New Roman"/>
                <w:color w:val="auto"/>
                <w:kern w:val="0"/>
                <w:sz w:val="24"/>
                <w:szCs w:val="24"/>
                <w:highlight w:val="none"/>
              </w:rPr>
              <w:drawing>
                <wp:inline distT="0" distB="0" distL="114300" distR="114300">
                  <wp:extent cx="3067685" cy="585470"/>
                  <wp:effectExtent l="0" t="0" r="8890" b="50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23" cstate="print"/>
                          <a:stretch>
                            <a:fillRect/>
                          </a:stretch>
                        </pic:blipFill>
                        <pic:spPr>
                          <a:xfrm>
                            <a:off x="0" y="0"/>
                            <a:ext cx="3067685" cy="585470"/>
                          </a:xfrm>
                          <a:prstGeom prst="rect">
                            <a:avLst/>
                          </a:prstGeom>
                          <a:noFill/>
                          <a:ln>
                            <a:noFill/>
                          </a:ln>
                        </pic:spPr>
                      </pic:pic>
                    </a:graphicData>
                  </a:graphic>
                </wp:inline>
              </w:drawing>
            </w:r>
          </w:p>
          <w:p w14:paraId="0E85F811">
            <w:pPr>
              <w:widowControl/>
              <w:spacing w:line="360" w:lineRule="auto"/>
              <w:ind w:firstLine="480" w:firstLineChars="200"/>
              <w:jc w:val="left"/>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sz w:val="24"/>
                <w:szCs w:val="24"/>
                <w:highlight w:val="none"/>
              </w:rPr>
              <w:t>式中：</w:t>
            </w:r>
            <w:r>
              <w:rPr>
                <w:rFonts w:ascii="Times New Roman" w:hAnsi="Times New Roman" w:eastAsia="宋体" w:cs="Times New Roman"/>
                <w:bCs/>
                <w:i/>
                <w:color w:val="auto"/>
                <w:kern w:val="0"/>
                <w:sz w:val="24"/>
                <w:szCs w:val="24"/>
                <w:highlight w:val="none"/>
              </w:rPr>
              <w:t>L</w:t>
            </w:r>
            <w:r>
              <w:rPr>
                <w:rFonts w:ascii="Times New Roman" w:hAnsi="Times New Roman" w:eastAsia="宋体" w:cs="Times New Roman"/>
                <w:bCs/>
                <w:i/>
                <w:color w:val="auto"/>
                <w:kern w:val="0"/>
                <w:sz w:val="24"/>
                <w:szCs w:val="24"/>
                <w:highlight w:val="none"/>
                <w:vertAlign w:val="subscript"/>
              </w:rPr>
              <w:t>eqg</w:t>
            </w:r>
            <w:r>
              <w:rPr>
                <w:rFonts w:ascii="Times New Roman" w:hAnsi="Times New Roman" w:eastAsia="宋体" w:cs="Times New Roman"/>
                <w:bCs/>
                <w:color w:val="auto"/>
                <w:kern w:val="0"/>
                <w:sz w:val="24"/>
                <w:szCs w:val="24"/>
                <w:highlight w:val="none"/>
              </w:rPr>
              <w:t xml:space="preserve"> ——建设项目声源在预测点的等效声级贡献值，dB(A</w:t>
            </w:r>
            <w:r>
              <w:rPr>
                <w:rFonts w:hint="eastAsia" w:ascii="Times New Roman" w:hAnsi="Times New Roman" w:eastAsia="宋体" w:cs="Times New Roman"/>
                <w:bCs/>
                <w:color w:val="auto"/>
                <w:kern w:val="0"/>
                <w:sz w:val="24"/>
                <w:szCs w:val="24"/>
                <w:highlight w:val="none"/>
                <w:lang w:eastAsia="zh-CN"/>
              </w:rPr>
              <w:t>）</w:t>
            </w:r>
            <w:r>
              <w:rPr>
                <w:rFonts w:ascii="Times New Roman" w:hAnsi="Times New Roman" w:eastAsia="宋体" w:cs="Times New Roman"/>
                <w:bCs/>
                <w:color w:val="auto"/>
                <w:kern w:val="0"/>
                <w:sz w:val="24"/>
                <w:szCs w:val="24"/>
                <w:highlight w:val="none"/>
              </w:rPr>
              <w:t>；</w:t>
            </w:r>
          </w:p>
          <w:p w14:paraId="14B2D44E">
            <w:pPr>
              <w:widowControl/>
              <w:spacing w:line="360" w:lineRule="auto"/>
              <w:ind w:firstLine="1080" w:firstLineChars="450"/>
              <w:jc w:val="left"/>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color w:val="auto"/>
                <w:kern w:val="0"/>
                <w:position w:val="-12"/>
                <w:sz w:val="24"/>
                <w:szCs w:val="24"/>
                <w:highlight w:val="none"/>
              </w:rPr>
              <w:t xml:space="preserve"> </w:t>
            </w:r>
            <w:r>
              <w:rPr>
                <w:rFonts w:ascii="Times New Roman" w:hAnsi="Times New Roman" w:eastAsia="宋体" w:cs="Times New Roman"/>
                <w:color w:val="auto"/>
                <w:kern w:val="0"/>
                <w:position w:val="-12"/>
                <w:sz w:val="24"/>
                <w:szCs w:val="24"/>
                <w:highlight w:val="none"/>
              </w:rPr>
              <w:drawing>
                <wp:inline distT="0" distB="0" distL="114300" distR="114300">
                  <wp:extent cx="323850" cy="200025"/>
                  <wp:effectExtent l="0" t="0" r="0"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4" cstate="print"/>
                          <a:stretch>
                            <a:fillRect/>
                          </a:stretch>
                        </pic:blipFill>
                        <pic:spPr>
                          <a:xfrm>
                            <a:off x="0" y="0"/>
                            <a:ext cx="323850" cy="200025"/>
                          </a:xfrm>
                          <a:prstGeom prst="rect">
                            <a:avLst/>
                          </a:prstGeom>
                          <a:noFill/>
                          <a:ln>
                            <a:noFill/>
                          </a:ln>
                        </pic:spPr>
                      </pic:pic>
                    </a:graphicData>
                  </a:graphic>
                </wp:inline>
              </w:drawing>
            </w:r>
            <w:r>
              <w:rPr>
                <w:rFonts w:ascii="Times New Roman" w:hAnsi="Times New Roman" w:eastAsia="宋体" w:cs="Times New Roman"/>
                <w:bCs/>
                <w:color w:val="auto"/>
                <w:kern w:val="0"/>
                <w:sz w:val="24"/>
                <w:szCs w:val="24"/>
                <w:highlight w:val="none"/>
              </w:rPr>
              <w:t>——室外i声源在预测点产生的A声级，dB(A</w:t>
            </w:r>
            <w:r>
              <w:rPr>
                <w:rFonts w:hint="eastAsia" w:ascii="Times New Roman" w:hAnsi="Times New Roman" w:eastAsia="宋体" w:cs="Times New Roman"/>
                <w:bCs/>
                <w:color w:val="auto"/>
                <w:kern w:val="0"/>
                <w:sz w:val="24"/>
                <w:szCs w:val="24"/>
                <w:highlight w:val="none"/>
                <w:lang w:eastAsia="zh-CN"/>
              </w:rPr>
              <w:t>）</w:t>
            </w:r>
            <w:r>
              <w:rPr>
                <w:rFonts w:ascii="Times New Roman" w:hAnsi="Times New Roman" w:eastAsia="宋体" w:cs="Times New Roman"/>
                <w:bCs/>
                <w:color w:val="auto"/>
                <w:kern w:val="0"/>
                <w:sz w:val="24"/>
                <w:szCs w:val="24"/>
                <w:highlight w:val="none"/>
              </w:rPr>
              <w:t>；</w:t>
            </w:r>
          </w:p>
          <w:p w14:paraId="71D475A2">
            <w:pPr>
              <w:widowControl/>
              <w:spacing w:line="360" w:lineRule="auto"/>
              <w:ind w:firstLine="1080" w:firstLineChars="450"/>
              <w:jc w:val="left"/>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i/>
                <w:color w:val="auto"/>
                <w:kern w:val="0"/>
                <w:sz w:val="24"/>
                <w:szCs w:val="24"/>
                <w:highlight w:val="none"/>
              </w:rPr>
              <w:t xml:space="preserve"> t</w:t>
            </w:r>
            <w:r>
              <w:rPr>
                <w:rFonts w:ascii="Times New Roman" w:hAnsi="Times New Roman" w:eastAsia="宋体" w:cs="Times New Roman"/>
                <w:bCs/>
                <w:i/>
                <w:color w:val="auto"/>
                <w:kern w:val="0"/>
                <w:sz w:val="24"/>
                <w:szCs w:val="24"/>
                <w:highlight w:val="none"/>
                <w:vertAlign w:val="subscript"/>
              </w:rPr>
              <w:t>j</w:t>
            </w:r>
            <w:r>
              <w:rPr>
                <w:rFonts w:ascii="Times New Roman" w:hAnsi="Times New Roman" w:eastAsia="宋体" w:cs="Times New Roman"/>
                <w:bCs/>
                <w:color w:val="auto"/>
                <w:kern w:val="0"/>
                <w:sz w:val="24"/>
                <w:szCs w:val="24"/>
                <w:highlight w:val="none"/>
              </w:rPr>
              <w:t xml:space="preserve"> ——等效室外声源在T时间内j声源工作时间，s；</w:t>
            </w:r>
          </w:p>
          <w:p w14:paraId="078AC3BA">
            <w:pPr>
              <w:widowControl/>
              <w:spacing w:line="360" w:lineRule="auto"/>
              <w:ind w:firstLine="1080" w:firstLineChars="450"/>
              <w:jc w:val="left"/>
              <w:rPr>
                <w:rFonts w:ascii="Times New Roman" w:hAnsi="Times New Roman" w:eastAsia="宋体" w:cs="Times New Roman"/>
                <w:bCs/>
                <w:color w:val="auto"/>
                <w:kern w:val="0"/>
                <w:sz w:val="24"/>
                <w:szCs w:val="24"/>
                <w:highlight w:val="none"/>
              </w:rPr>
            </w:pPr>
            <w:r>
              <w:rPr>
                <w:rFonts w:ascii="Times New Roman" w:hAnsi="Times New Roman" w:eastAsia="宋体" w:cs="Times New Roman"/>
                <w:bCs/>
                <w:i/>
                <w:color w:val="auto"/>
                <w:kern w:val="0"/>
                <w:sz w:val="24"/>
                <w:szCs w:val="24"/>
                <w:highlight w:val="none"/>
              </w:rPr>
              <w:t xml:space="preserve"> t</w:t>
            </w:r>
            <w:r>
              <w:rPr>
                <w:rFonts w:ascii="Times New Roman" w:hAnsi="Times New Roman" w:eastAsia="宋体" w:cs="Times New Roman"/>
                <w:bCs/>
                <w:i/>
                <w:color w:val="auto"/>
                <w:kern w:val="0"/>
                <w:sz w:val="24"/>
                <w:szCs w:val="24"/>
                <w:highlight w:val="none"/>
                <w:vertAlign w:val="subscript"/>
              </w:rPr>
              <w:t>i</w:t>
            </w:r>
            <w:r>
              <w:rPr>
                <w:rFonts w:ascii="Times New Roman" w:hAnsi="Times New Roman" w:eastAsia="宋体" w:cs="Times New Roman"/>
                <w:bCs/>
                <w:color w:val="auto"/>
                <w:kern w:val="0"/>
                <w:sz w:val="24"/>
                <w:szCs w:val="24"/>
                <w:highlight w:val="none"/>
              </w:rPr>
              <w:t xml:space="preserve"> ——室外声源在T时间内i声源工作时间，s； </w:t>
            </w:r>
          </w:p>
          <w:p w14:paraId="674DE33F">
            <w:pPr>
              <w:spacing w:line="360" w:lineRule="auto"/>
              <w:ind w:left="480"/>
              <w:rPr>
                <w:rFonts w:ascii="Times New Roman" w:hAnsi="Times New Roman" w:eastAsia="宋体" w:cs="Times New Roman"/>
                <w:color w:val="auto"/>
                <w:sz w:val="24"/>
                <w:szCs w:val="24"/>
                <w:highlight w:val="none"/>
              </w:rPr>
            </w:pPr>
            <w:r>
              <w:rPr>
                <w:rFonts w:ascii="Times New Roman" w:hAnsi="Times New Roman" w:eastAsia="宋体" w:cs="Times New Roman"/>
                <w:bCs/>
                <w:i/>
                <w:color w:val="auto"/>
                <w:kern w:val="0"/>
                <w:sz w:val="24"/>
                <w:szCs w:val="24"/>
                <w:highlight w:val="none"/>
              </w:rPr>
              <w:t xml:space="preserve">      T</w:t>
            </w:r>
            <w:r>
              <w:rPr>
                <w:rFonts w:ascii="Times New Roman" w:hAnsi="Times New Roman" w:eastAsia="宋体" w:cs="Times New Roman"/>
                <w:bCs/>
                <w:color w:val="auto"/>
                <w:kern w:val="0"/>
                <w:sz w:val="24"/>
                <w:szCs w:val="24"/>
                <w:highlight w:val="none"/>
              </w:rPr>
              <w:t xml:space="preserve"> ——用于计算等效声级的时间，s</w:t>
            </w:r>
            <w:r>
              <w:rPr>
                <w:rFonts w:ascii="Times New Roman" w:hAnsi="Times New Roman" w:eastAsia="宋体" w:cs="Times New Roman"/>
                <w:color w:val="auto"/>
                <w:sz w:val="24"/>
                <w:szCs w:val="24"/>
                <w:highlight w:val="none"/>
              </w:rPr>
              <w:t>。</w:t>
            </w:r>
          </w:p>
          <w:p w14:paraId="0DE633BC">
            <w:pPr>
              <w:spacing w:line="360" w:lineRule="auto"/>
              <w:ind w:left="48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3.3预测结果</w:t>
            </w:r>
          </w:p>
          <w:p w14:paraId="4C8CAAC6">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经预测，厂界噪声值见下表。</w:t>
            </w:r>
          </w:p>
          <w:p w14:paraId="3DD09A1D">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表4-9  各厂界噪声预测结果  单位：dB(A)</w:t>
            </w:r>
          </w:p>
          <w:tbl>
            <w:tblPr>
              <w:tblStyle w:val="18"/>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1600"/>
              <w:gridCol w:w="965"/>
              <w:gridCol w:w="1093"/>
              <w:gridCol w:w="767"/>
              <w:gridCol w:w="802"/>
              <w:gridCol w:w="2022"/>
            </w:tblGrid>
            <w:tr w14:paraId="5275E7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pct"/>
                  <w:gridSpan w:val="2"/>
                  <w:vMerge w:val="restart"/>
                  <w:tcBorders>
                    <w:tl2br w:val="nil"/>
                    <w:tr2bl w:val="nil"/>
                  </w:tcBorders>
                  <w:vAlign w:val="center"/>
                </w:tcPr>
                <w:p w14:paraId="6B638365">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预测地点</w:t>
                  </w:r>
                </w:p>
              </w:tc>
              <w:tc>
                <w:tcPr>
                  <w:tcW w:w="1301" w:type="pct"/>
                  <w:gridSpan w:val="2"/>
                  <w:tcBorders>
                    <w:tl2br w:val="nil"/>
                    <w:tr2bl w:val="nil"/>
                  </w:tcBorders>
                  <w:vAlign w:val="center"/>
                </w:tcPr>
                <w:p w14:paraId="67ADB297">
                  <w:pPr>
                    <w:jc w:val="center"/>
                    <w:rPr>
                      <w:rFonts w:hint="eastAsia" w:ascii="Times New Roman" w:hAnsi="Times New Roman" w:eastAsia="宋体" w:cs="Times New Roman"/>
                      <w:b/>
                      <w:bCs/>
                      <w:color w:val="auto"/>
                      <w:kern w:val="2"/>
                      <w:sz w:val="18"/>
                      <w:szCs w:val="18"/>
                      <w:highlight w:val="none"/>
                      <w:lang w:val="en-US" w:eastAsia="zh-CN" w:bidi="ar-SA"/>
                    </w:rPr>
                  </w:pPr>
                  <w:r>
                    <w:rPr>
                      <w:rFonts w:hint="eastAsia" w:ascii="Times New Roman" w:hAnsi="Times New Roman" w:eastAsia="宋体" w:cs="Times New Roman"/>
                      <w:b/>
                      <w:bCs/>
                      <w:color w:val="auto"/>
                      <w:sz w:val="18"/>
                      <w:szCs w:val="18"/>
                      <w:highlight w:val="none"/>
                      <w:lang w:val="en-US" w:eastAsia="zh-CN"/>
                    </w:rPr>
                    <w:t>贡献值</w:t>
                  </w:r>
                </w:p>
              </w:tc>
              <w:tc>
                <w:tcPr>
                  <w:tcW w:w="992" w:type="pct"/>
                  <w:gridSpan w:val="2"/>
                  <w:tcBorders>
                    <w:tl2br w:val="nil"/>
                    <w:tr2bl w:val="nil"/>
                  </w:tcBorders>
                  <w:vAlign w:val="center"/>
                </w:tcPr>
                <w:p w14:paraId="0992B27A">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标准值</w:t>
                  </w:r>
                </w:p>
              </w:tc>
              <w:tc>
                <w:tcPr>
                  <w:tcW w:w="1279" w:type="pct"/>
                  <w:vMerge w:val="restart"/>
                  <w:tcBorders>
                    <w:tl2br w:val="nil"/>
                    <w:tr2bl w:val="nil"/>
                  </w:tcBorders>
                  <w:vAlign w:val="center"/>
                </w:tcPr>
                <w:p w14:paraId="17CB1159">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标准</w:t>
                  </w:r>
                </w:p>
              </w:tc>
            </w:tr>
            <w:tr w14:paraId="71F897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26" w:type="pct"/>
                  <w:gridSpan w:val="2"/>
                  <w:vMerge w:val="continue"/>
                  <w:tcBorders>
                    <w:tl2br w:val="nil"/>
                    <w:tr2bl w:val="nil"/>
                  </w:tcBorders>
                  <w:vAlign w:val="center"/>
                </w:tcPr>
                <w:p w14:paraId="08252C9F">
                  <w:pPr>
                    <w:rPr>
                      <w:rFonts w:ascii="Times New Roman" w:hAnsi="Times New Roman" w:eastAsia="宋体" w:cs="Times New Roman"/>
                      <w:b/>
                      <w:bCs/>
                      <w:color w:val="auto"/>
                      <w:sz w:val="18"/>
                      <w:szCs w:val="18"/>
                      <w:highlight w:val="none"/>
                    </w:rPr>
                  </w:pPr>
                </w:p>
              </w:tc>
              <w:tc>
                <w:tcPr>
                  <w:tcW w:w="610" w:type="pct"/>
                  <w:tcBorders>
                    <w:tl2br w:val="nil"/>
                    <w:tr2bl w:val="nil"/>
                  </w:tcBorders>
                  <w:vAlign w:val="center"/>
                </w:tcPr>
                <w:p w14:paraId="335860E0">
                  <w:pPr>
                    <w:jc w:val="center"/>
                    <w:rPr>
                      <w:rFonts w:ascii="Times New Roman" w:hAnsi="Times New Roman" w:eastAsia="宋体" w:cs="Times New Roman"/>
                      <w:b/>
                      <w:bCs/>
                      <w:color w:val="auto"/>
                      <w:kern w:val="2"/>
                      <w:sz w:val="18"/>
                      <w:szCs w:val="18"/>
                      <w:highlight w:val="none"/>
                      <w:lang w:val="en-US" w:eastAsia="zh-CN" w:bidi="ar-SA"/>
                    </w:rPr>
                  </w:pPr>
                  <w:r>
                    <w:rPr>
                      <w:rFonts w:ascii="Times New Roman" w:hAnsi="Times New Roman" w:eastAsia="宋体" w:cs="Times New Roman"/>
                      <w:b/>
                      <w:bCs/>
                      <w:color w:val="auto"/>
                      <w:sz w:val="18"/>
                      <w:szCs w:val="18"/>
                      <w:highlight w:val="none"/>
                    </w:rPr>
                    <w:t>昼</w:t>
                  </w:r>
                </w:p>
              </w:tc>
              <w:tc>
                <w:tcPr>
                  <w:tcW w:w="690" w:type="pct"/>
                  <w:tcBorders>
                    <w:tl2br w:val="nil"/>
                    <w:tr2bl w:val="nil"/>
                  </w:tcBorders>
                  <w:vAlign w:val="center"/>
                </w:tcPr>
                <w:p w14:paraId="270F589E">
                  <w:pPr>
                    <w:jc w:val="center"/>
                    <w:rPr>
                      <w:rFonts w:ascii="Times New Roman" w:hAnsi="Times New Roman" w:eastAsia="宋体" w:cs="Times New Roman"/>
                      <w:b/>
                      <w:bCs/>
                      <w:color w:val="auto"/>
                      <w:kern w:val="2"/>
                      <w:sz w:val="18"/>
                      <w:szCs w:val="18"/>
                      <w:highlight w:val="none"/>
                      <w:lang w:val="en-US" w:eastAsia="zh-CN" w:bidi="ar-SA"/>
                    </w:rPr>
                  </w:pPr>
                  <w:r>
                    <w:rPr>
                      <w:rFonts w:ascii="Times New Roman" w:hAnsi="Times New Roman" w:eastAsia="宋体" w:cs="Times New Roman"/>
                      <w:b/>
                      <w:bCs/>
                      <w:color w:val="auto"/>
                      <w:sz w:val="18"/>
                      <w:szCs w:val="18"/>
                      <w:highlight w:val="none"/>
                    </w:rPr>
                    <w:t>夜</w:t>
                  </w:r>
                </w:p>
              </w:tc>
              <w:tc>
                <w:tcPr>
                  <w:tcW w:w="485" w:type="pct"/>
                  <w:tcBorders>
                    <w:tl2br w:val="nil"/>
                    <w:tr2bl w:val="nil"/>
                  </w:tcBorders>
                  <w:vAlign w:val="center"/>
                </w:tcPr>
                <w:p w14:paraId="0F9DC1C5">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昼</w:t>
                  </w:r>
                </w:p>
              </w:tc>
              <w:tc>
                <w:tcPr>
                  <w:tcW w:w="507" w:type="pct"/>
                  <w:tcBorders>
                    <w:tl2br w:val="nil"/>
                    <w:tr2bl w:val="nil"/>
                  </w:tcBorders>
                  <w:vAlign w:val="center"/>
                </w:tcPr>
                <w:p w14:paraId="1E7A9B6E">
                  <w:pPr>
                    <w:jc w:val="center"/>
                    <w:rPr>
                      <w:rFonts w:ascii="Times New Roman" w:hAnsi="Times New Roman" w:eastAsia="宋体" w:cs="Times New Roman"/>
                      <w:b/>
                      <w:bCs/>
                      <w:color w:val="auto"/>
                      <w:sz w:val="18"/>
                      <w:szCs w:val="18"/>
                      <w:highlight w:val="none"/>
                    </w:rPr>
                  </w:pPr>
                  <w:r>
                    <w:rPr>
                      <w:rFonts w:ascii="Times New Roman" w:hAnsi="Times New Roman" w:eastAsia="宋体" w:cs="Times New Roman"/>
                      <w:b/>
                      <w:bCs/>
                      <w:color w:val="auto"/>
                      <w:sz w:val="18"/>
                      <w:szCs w:val="18"/>
                      <w:highlight w:val="none"/>
                    </w:rPr>
                    <w:t>夜</w:t>
                  </w:r>
                </w:p>
              </w:tc>
              <w:tc>
                <w:tcPr>
                  <w:tcW w:w="1279" w:type="pct"/>
                  <w:vMerge w:val="continue"/>
                  <w:tcBorders>
                    <w:tl2br w:val="nil"/>
                    <w:tr2bl w:val="nil"/>
                  </w:tcBorders>
                  <w:vAlign w:val="center"/>
                </w:tcPr>
                <w:p w14:paraId="58C312A9">
                  <w:pPr>
                    <w:rPr>
                      <w:rFonts w:ascii="Times New Roman" w:hAnsi="Times New Roman" w:eastAsia="宋体" w:cs="Times New Roman"/>
                      <w:b/>
                      <w:bCs/>
                      <w:color w:val="auto"/>
                      <w:sz w:val="18"/>
                      <w:szCs w:val="18"/>
                      <w:highlight w:val="none"/>
                    </w:rPr>
                  </w:pPr>
                </w:p>
              </w:tc>
            </w:tr>
            <w:tr w14:paraId="430A48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vAlign w:val="center"/>
                </w:tcPr>
                <w:p w14:paraId="5B20FF53">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N1</w:t>
                  </w:r>
                </w:p>
              </w:tc>
              <w:tc>
                <w:tcPr>
                  <w:tcW w:w="1011" w:type="pct"/>
                  <w:tcBorders>
                    <w:tl2br w:val="nil"/>
                    <w:tr2bl w:val="nil"/>
                  </w:tcBorders>
                  <w:vAlign w:val="center"/>
                </w:tcPr>
                <w:p w14:paraId="732AE075">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厂界东</w:t>
                  </w:r>
                </w:p>
              </w:tc>
              <w:tc>
                <w:tcPr>
                  <w:tcW w:w="610" w:type="pct"/>
                  <w:tcBorders>
                    <w:tl2br w:val="nil"/>
                    <w:tr2bl w:val="nil"/>
                  </w:tcBorders>
                  <w:vAlign w:val="center"/>
                </w:tcPr>
                <w:p w14:paraId="4AE6FC3D">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45.1</w:t>
                  </w:r>
                </w:p>
              </w:tc>
              <w:tc>
                <w:tcPr>
                  <w:tcW w:w="690" w:type="pct"/>
                  <w:tcBorders>
                    <w:tl2br w:val="nil"/>
                    <w:tr2bl w:val="nil"/>
                  </w:tcBorders>
                  <w:vAlign w:val="center"/>
                </w:tcPr>
                <w:p w14:paraId="706ABBE0">
                  <w:pPr>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45.1</w:t>
                  </w:r>
                </w:p>
              </w:tc>
              <w:tc>
                <w:tcPr>
                  <w:tcW w:w="485" w:type="pct"/>
                  <w:vMerge w:val="restart"/>
                  <w:tcBorders>
                    <w:tl2br w:val="nil"/>
                    <w:tr2bl w:val="nil"/>
                  </w:tcBorders>
                  <w:vAlign w:val="center"/>
                </w:tcPr>
                <w:p w14:paraId="095D97B5">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60</w:t>
                  </w:r>
                </w:p>
              </w:tc>
              <w:tc>
                <w:tcPr>
                  <w:tcW w:w="507" w:type="pct"/>
                  <w:vMerge w:val="restart"/>
                  <w:tcBorders>
                    <w:tl2br w:val="nil"/>
                    <w:tr2bl w:val="nil"/>
                  </w:tcBorders>
                  <w:vAlign w:val="center"/>
                </w:tcPr>
                <w:p w14:paraId="7526F3E4">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50</w:t>
                  </w:r>
                </w:p>
              </w:tc>
              <w:tc>
                <w:tcPr>
                  <w:tcW w:w="1279" w:type="pct"/>
                  <w:vMerge w:val="restart"/>
                  <w:tcBorders>
                    <w:tl2br w:val="nil"/>
                    <w:tr2bl w:val="nil"/>
                  </w:tcBorders>
                  <w:vAlign w:val="center"/>
                </w:tcPr>
                <w:p w14:paraId="34716E1F">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GB12348-2008中2类标准</w:t>
                  </w:r>
                </w:p>
              </w:tc>
            </w:tr>
            <w:tr w14:paraId="50EA17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vAlign w:val="center"/>
                </w:tcPr>
                <w:p w14:paraId="2C1317EF">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N2</w:t>
                  </w:r>
                </w:p>
              </w:tc>
              <w:tc>
                <w:tcPr>
                  <w:tcW w:w="1011" w:type="pct"/>
                  <w:tcBorders>
                    <w:tl2br w:val="nil"/>
                    <w:tr2bl w:val="nil"/>
                  </w:tcBorders>
                  <w:vAlign w:val="center"/>
                </w:tcPr>
                <w:p w14:paraId="73169A79">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厂界南</w:t>
                  </w:r>
                </w:p>
              </w:tc>
              <w:tc>
                <w:tcPr>
                  <w:tcW w:w="610" w:type="pct"/>
                  <w:tcBorders>
                    <w:tl2br w:val="nil"/>
                    <w:tr2bl w:val="nil"/>
                  </w:tcBorders>
                  <w:vAlign w:val="center"/>
                </w:tcPr>
                <w:p w14:paraId="3719C435">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44.7</w:t>
                  </w:r>
                </w:p>
              </w:tc>
              <w:tc>
                <w:tcPr>
                  <w:tcW w:w="690" w:type="pct"/>
                  <w:tcBorders>
                    <w:tl2br w:val="nil"/>
                    <w:tr2bl w:val="nil"/>
                  </w:tcBorders>
                  <w:vAlign w:val="center"/>
                </w:tcPr>
                <w:p w14:paraId="73E6AC71">
                  <w:pPr>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44.7</w:t>
                  </w:r>
                </w:p>
              </w:tc>
              <w:tc>
                <w:tcPr>
                  <w:tcW w:w="485" w:type="pct"/>
                  <w:vMerge w:val="continue"/>
                  <w:tcBorders>
                    <w:tl2br w:val="nil"/>
                    <w:tr2bl w:val="nil"/>
                  </w:tcBorders>
                  <w:vAlign w:val="center"/>
                </w:tcPr>
                <w:p w14:paraId="1524A1A5">
                  <w:pPr>
                    <w:rPr>
                      <w:rFonts w:ascii="Times New Roman" w:hAnsi="Times New Roman" w:eastAsia="宋体" w:cs="Times New Roman"/>
                      <w:color w:val="auto"/>
                      <w:sz w:val="18"/>
                      <w:szCs w:val="18"/>
                      <w:highlight w:val="none"/>
                    </w:rPr>
                  </w:pPr>
                </w:p>
              </w:tc>
              <w:tc>
                <w:tcPr>
                  <w:tcW w:w="507" w:type="pct"/>
                  <w:vMerge w:val="continue"/>
                  <w:tcBorders>
                    <w:tl2br w:val="nil"/>
                    <w:tr2bl w:val="nil"/>
                  </w:tcBorders>
                  <w:vAlign w:val="center"/>
                </w:tcPr>
                <w:p w14:paraId="6B821927">
                  <w:pPr>
                    <w:rPr>
                      <w:rFonts w:ascii="Times New Roman" w:hAnsi="Times New Roman" w:eastAsia="宋体" w:cs="Times New Roman"/>
                      <w:color w:val="auto"/>
                      <w:sz w:val="18"/>
                      <w:szCs w:val="18"/>
                      <w:highlight w:val="none"/>
                    </w:rPr>
                  </w:pPr>
                </w:p>
              </w:tc>
              <w:tc>
                <w:tcPr>
                  <w:tcW w:w="1279" w:type="pct"/>
                  <w:vMerge w:val="continue"/>
                  <w:tcBorders>
                    <w:tl2br w:val="nil"/>
                    <w:tr2bl w:val="nil"/>
                  </w:tcBorders>
                  <w:vAlign w:val="center"/>
                </w:tcPr>
                <w:p w14:paraId="1989DEB9">
                  <w:pPr>
                    <w:rPr>
                      <w:rFonts w:ascii="Times New Roman" w:hAnsi="Times New Roman" w:eastAsia="宋体" w:cs="Times New Roman"/>
                      <w:color w:val="auto"/>
                      <w:sz w:val="18"/>
                      <w:szCs w:val="18"/>
                      <w:highlight w:val="none"/>
                    </w:rPr>
                  </w:pPr>
                </w:p>
              </w:tc>
            </w:tr>
            <w:tr w14:paraId="2C4312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vAlign w:val="center"/>
                </w:tcPr>
                <w:p w14:paraId="54668BED">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N3</w:t>
                  </w:r>
                </w:p>
              </w:tc>
              <w:tc>
                <w:tcPr>
                  <w:tcW w:w="1011" w:type="pct"/>
                  <w:tcBorders>
                    <w:tl2br w:val="nil"/>
                    <w:tr2bl w:val="nil"/>
                  </w:tcBorders>
                  <w:vAlign w:val="center"/>
                </w:tcPr>
                <w:p w14:paraId="1C28D057">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厂界西</w:t>
                  </w:r>
                </w:p>
              </w:tc>
              <w:tc>
                <w:tcPr>
                  <w:tcW w:w="610" w:type="pct"/>
                  <w:tcBorders>
                    <w:tl2br w:val="nil"/>
                    <w:tr2bl w:val="nil"/>
                  </w:tcBorders>
                  <w:vAlign w:val="center"/>
                </w:tcPr>
                <w:p w14:paraId="654F7EED">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43.3</w:t>
                  </w:r>
                </w:p>
              </w:tc>
              <w:tc>
                <w:tcPr>
                  <w:tcW w:w="690" w:type="pct"/>
                  <w:tcBorders>
                    <w:tl2br w:val="nil"/>
                    <w:tr2bl w:val="nil"/>
                  </w:tcBorders>
                  <w:vAlign w:val="center"/>
                </w:tcPr>
                <w:p w14:paraId="3B1038ED">
                  <w:pPr>
                    <w:jc w:val="center"/>
                    <w:rPr>
                      <w:rFonts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43.3</w:t>
                  </w:r>
                </w:p>
              </w:tc>
              <w:tc>
                <w:tcPr>
                  <w:tcW w:w="485" w:type="pct"/>
                  <w:vMerge w:val="continue"/>
                  <w:tcBorders>
                    <w:tl2br w:val="nil"/>
                    <w:tr2bl w:val="nil"/>
                  </w:tcBorders>
                  <w:vAlign w:val="center"/>
                </w:tcPr>
                <w:p w14:paraId="40BDF793">
                  <w:pPr>
                    <w:rPr>
                      <w:rFonts w:ascii="Times New Roman" w:hAnsi="Times New Roman" w:eastAsia="宋体" w:cs="Times New Roman"/>
                      <w:color w:val="auto"/>
                      <w:sz w:val="18"/>
                      <w:szCs w:val="18"/>
                      <w:highlight w:val="none"/>
                    </w:rPr>
                  </w:pPr>
                </w:p>
              </w:tc>
              <w:tc>
                <w:tcPr>
                  <w:tcW w:w="507" w:type="pct"/>
                  <w:vMerge w:val="continue"/>
                  <w:tcBorders>
                    <w:tl2br w:val="nil"/>
                    <w:tr2bl w:val="nil"/>
                  </w:tcBorders>
                  <w:vAlign w:val="center"/>
                </w:tcPr>
                <w:p w14:paraId="2759BBEB">
                  <w:pPr>
                    <w:rPr>
                      <w:rFonts w:ascii="Times New Roman" w:hAnsi="Times New Roman" w:eastAsia="宋体" w:cs="Times New Roman"/>
                      <w:color w:val="auto"/>
                      <w:sz w:val="18"/>
                      <w:szCs w:val="18"/>
                      <w:highlight w:val="none"/>
                    </w:rPr>
                  </w:pPr>
                </w:p>
              </w:tc>
              <w:tc>
                <w:tcPr>
                  <w:tcW w:w="1279" w:type="pct"/>
                  <w:vMerge w:val="continue"/>
                  <w:tcBorders>
                    <w:tl2br w:val="nil"/>
                    <w:tr2bl w:val="nil"/>
                  </w:tcBorders>
                  <w:vAlign w:val="center"/>
                </w:tcPr>
                <w:p w14:paraId="3594BE83">
                  <w:pPr>
                    <w:rPr>
                      <w:rFonts w:ascii="Times New Roman" w:hAnsi="Times New Roman" w:eastAsia="宋体" w:cs="Times New Roman"/>
                      <w:color w:val="auto"/>
                      <w:sz w:val="18"/>
                      <w:szCs w:val="18"/>
                      <w:highlight w:val="none"/>
                    </w:rPr>
                  </w:pPr>
                </w:p>
              </w:tc>
            </w:tr>
            <w:tr w14:paraId="158704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vAlign w:val="center"/>
                </w:tcPr>
                <w:p w14:paraId="59A274B8">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N4</w:t>
                  </w:r>
                </w:p>
              </w:tc>
              <w:tc>
                <w:tcPr>
                  <w:tcW w:w="1011" w:type="pct"/>
                  <w:tcBorders>
                    <w:tl2br w:val="nil"/>
                    <w:tr2bl w:val="nil"/>
                  </w:tcBorders>
                  <w:vAlign w:val="center"/>
                </w:tcPr>
                <w:p w14:paraId="48D1401D">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厂界北</w:t>
                  </w:r>
                </w:p>
              </w:tc>
              <w:tc>
                <w:tcPr>
                  <w:tcW w:w="610" w:type="pct"/>
                  <w:tcBorders>
                    <w:tl2br w:val="nil"/>
                    <w:tr2bl w:val="nil"/>
                  </w:tcBorders>
                  <w:vAlign w:val="center"/>
                </w:tcPr>
                <w:p w14:paraId="49F6A744">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49.6</w:t>
                  </w:r>
                </w:p>
              </w:tc>
              <w:tc>
                <w:tcPr>
                  <w:tcW w:w="690" w:type="pct"/>
                  <w:tcBorders>
                    <w:tl2br w:val="nil"/>
                    <w:tr2bl w:val="nil"/>
                  </w:tcBorders>
                  <w:vAlign w:val="center"/>
                </w:tcPr>
                <w:p w14:paraId="71DBB0E2">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sz w:val="18"/>
                      <w:szCs w:val="18"/>
                      <w:highlight w:val="none"/>
                      <w:lang w:val="en-US" w:eastAsia="zh-CN"/>
                    </w:rPr>
                    <w:t>49.6</w:t>
                  </w:r>
                </w:p>
              </w:tc>
              <w:tc>
                <w:tcPr>
                  <w:tcW w:w="485" w:type="pct"/>
                  <w:vMerge w:val="continue"/>
                  <w:tcBorders>
                    <w:tl2br w:val="nil"/>
                    <w:tr2bl w:val="nil"/>
                  </w:tcBorders>
                  <w:vAlign w:val="center"/>
                </w:tcPr>
                <w:p w14:paraId="67E01EAD">
                  <w:pPr>
                    <w:rPr>
                      <w:rFonts w:ascii="Times New Roman" w:hAnsi="Times New Roman" w:eastAsia="宋体" w:cs="Times New Roman"/>
                      <w:color w:val="auto"/>
                      <w:sz w:val="18"/>
                      <w:szCs w:val="18"/>
                      <w:highlight w:val="none"/>
                    </w:rPr>
                  </w:pPr>
                </w:p>
              </w:tc>
              <w:tc>
                <w:tcPr>
                  <w:tcW w:w="507" w:type="pct"/>
                  <w:vMerge w:val="continue"/>
                  <w:tcBorders>
                    <w:tl2br w:val="nil"/>
                    <w:tr2bl w:val="nil"/>
                  </w:tcBorders>
                  <w:vAlign w:val="center"/>
                </w:tcPr>
                <w:p w14:paraId="4845E4F9">
                  <w:pPr>
                    <w:rPr>
                      <w:rFonts w:ascii="Times New Roman" w:hAnsi="Times New Roman" w:eastAsia="宋体" w:cs="Times New Roman"/>
                      <w:color w:val="auto"/>
                      <w:sz w:val="18"/>
                      <w:szCs w:val="18"/>
                      <w:highlight w:val="none"/>
                    </w:rPr>
                  </w:pPr>
                </w:p>
              </w:tc>
              <w:tc>
                <w:tcPr>
                  <w:tcW w:w="1279" w:type="pct"/>
                  <w:vMerge w:val="continue"/>
                  <w:tcBorders>
                    <w:tl2br w:val="nil"/>
                    <w:tr2bl w:val="nil"/>
                  </w:tcBorders>
                  <w:vAlign w:val="center"/>
                </w:tcPr>
                <w:p w14:paraId="7DF39BC3">
                  <w:pPr>
                    <w:rPr>
                      <w:rFonts w:ascii="Times New Roman" w:hAnsi="Times New Roman" w:eastAsia="宋体" w:cs="Times New Roman"/>
                      <w:color w:val="auto"/>
                      <w:sz w:val="18"/>
                      <w:szCs w:val="18"/>
                      <w:highlight w:val="none"/>
                    </w:rPr>
                  </w:pPr>
                </w:p>
              </w:tc>
            </w:tr>
            <w:tr w14:paraId="7B5779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vAlign w:val="center"/>
                </w:tcPr>
                <w:p w14:paraId="17BAF7A1">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N5</w:t>
                  </w:r>
                </w:p>
              </w:tc>
              <w:tc>
                <w:tcPr>
                  <w:tcW w:w="1011" w:type="pct"/>
                  <w:tcBorders>
                    <w:tl2br w:val="nil"/>
                    <w:tr2bl w:val="nil"/>
                  </w:tcBorders>
                  <w:vAlign w:val="center"/>
                </w:tcPr>
                <w:p w14:paraId="0A014849">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新建村-b区居民点</w:t>
                  </w:r>
                  <w:r>
                    <w:rPr>
                      <w:rFonts w:hint="eastAsia" w:ascii="Times New Roman" w:hAnsi="Times New Roman" w:eastAsia="宋体" w:cs="Times New Roman"/>
                      <w:color w:val="auto"/>
                      <w:sz w:val="18"/>
                      <w:szCs w:val="18"/>
                      <w:highlight w:val="none"/>
                    </w:rPr>
                    <w:t>1</w:t>
                  </w:r>
                </w:p>
              </w:tc>
              <w:tc>
                <w:tcPr>
                  <w:tcW w:w="610" w:type="pct"/>
                  <w:tcBorders>
                    <w:tl2br w:val="nil"/>
                    <w:tr2bl w:val="nil"/>
                  </w:tcBorders>
                  <w:vAlign w:val="center"/>
                </w:tcPr>
                <w:p w14:paraId="0DF3A8C9">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36.9</w:t>
                  </w:r>
                </w:p>
              </w:tc>
              <w:tc>
                <w:tcPr>
                  <w:tcW w:w="690" w:type="pct"/>
                  <w:tcBorders>
                    <w:tl2br w:val="nil"/>
                    <w:tr2bl w:val="nil"/>
                  </w:tcBorders>
                  <w:vAlign w:val="center"/>
                </w:tcPr>
                <w:p w14:paraId="1DD139C6">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36.9</w:t>
                  </w:r>
                </w:p>
              </w:tc>
              <w:tc>
                <w:tcPr>
                  <w:tcW w:w="485" w:type="pct"/>
                  <w:vMerge w:val="continue"/>
                  <w:tcBorders>
                    <w:tl2br w:val="nil"/>
                    <w:tr2bl w:val="nil"/>
                  </w:tcBorders>
                  <w:vAlign w:val="center"/>
                </w:tcPr>
                <w:p w14:paraId="31250B34">
                  <w:pPr>
                    <w:rPr>
                      <w:rFonts w:ascii="Times New Roman" w:hAnsi="Times New Roman" w:eastAsia="宋体" w:cs="Times New Roman"/>
                      <w:color w:val="auto"/>
                      <w:sz w:val="18"/>
                      <w:szCs w:val="18"/>
                      <w:highlight w:val="none"/>
                    </w:rPr>
                  </w:pPr>
                </w:p>
              </w:tc>
              <w:tc>
                <w:tcPr>
                  <w:tcW w:w="507" w:type="pct"/>
                  <w:vMerge w:val="continue"/>
                  <w:tcBorders>
                    <w:tl2br w:val="nil"/>
                    <w:tr2bl w:val="nil"/>
                  </w:tcBorders>
                  <w:vAlign w:val="center"/>
                </w:tcPr>
                <w:p w14:paraId="52A4E1AA">
                  <w:pPr>
                    <w:rPr>
                      <w:rFonts w:ascii="Times New Roman" w:hAnsi="Times New Roman" w:eastAsia="宋体" w:cs="Times New Roman"/>
                      <w:color w:val="auto"/>
                      <w:sz w:val="18"/>
                      <w:szCs w:val="18"/>
                      <w:highlight w:val="none"/>
                    </w:rPr>
                  </w:pPr>
                </w:p>
              </w:tc>
              <w:tc>
                <w:tcPr>
                  <w:tcW w:w="1279" w:type="pct"/>
                  <w:vMerge w:val="continue"/>
                  <w:tcBorders>
                    <w:tl2br w:val="nil"/>
                    <w:tr2bl w:val="nil"/>
                  </w:tcBorders>
                  <w:vAlign w:val="center"/>
                </w:tcPr>
                <w:p w14:paraId="7FC88814">
                  <w:pPr>
                    <w:rPr>
                      <w:rFonts w:ascii="Times New Roman" w:hAnsi="Times New Roman" w:eastAsia="宋体" w:cs="Times New Roman"/>
                      <w:color w:val="auto"/>
                      <w:sz w:val="18"/>
                      <w:szCs w:val="18"/>
                      <w:highlight w:val="none"/>
                    </w:rPr>
                  </w:pPr>
                </w:p>
              </w:tc>
            </w:tr>
            <w:tr w14:paraId="02731B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4" w:type="pct"/>
                  <w:tcBorders>
                    <w:tl2br w:val="nil"/>
                    <w:tr2bl w:val="nil"/>
                  </w:tcBorders>
                  <w:vAlign w:val="center"/>
                </w:tcPr>
                <w:p w14:paraId="32CEA65E">
                  <w:pPr>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N6</w:t>
                  </w:r>
                </w:p>
              </w:tc>
              <w:tc>
                <w:tcPr>
                  <w:tcW w:w="1011" w:type="pct"/>
                  <w:tcBorders>
                    <w:tl2br w:val="nil"/>
                    <w:tr2bl w:val="nil"/>
                  </w:tcBorders>
                  <w:vAlign w:val="center"/>
                </w:tcPr>
                <w:p w14:paraId="6446CDBB">
                  <w:pPr>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新建村-b区居民点</w:t>
                  </w:r>
                  <w:r>
                    <w:rPr>
                      <w:rFonts w:hint="eastAsia" w:ascii="Times New Roman" w:hAnsi="Times New Roman" w:eastAsia="宋体" w:cs="Times New Roman"/>
                      <w:color w:val="auto"/>
                      <w:sz w:val="18"/>
                      <w:szCs w:val="18"/>
                      <w:highlight w:val="none"/>
                    </w:rPr>
                    <w:t>2</w:t>
                  </w:r>
                </w:p>
              </w:tc>
              <w:tc>
                <w:tcPr>
                  <w:tcW w:w="610" w:type="pct"/>
                  <w:tcBorders>
                    <w:tl2br w:val="nil"/>
                    <w:tr2bl w:val="nil"/>
                  </w:tcBorders>
                  <w:vAlign w:val="center"/>
                </w:tcPr>
                <w:p w14:paraId="2200FC61">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36.9</w:t>
                  </w:r>
                </w:p>
              </w:tc>
              <w:tc>
                <w:tcPr>
                  <w:tcW w:w="690" w:type="pct"/>
                  <w:tcBorders>
                    <w:tl2br w:val="nil"/>
                    <w:tr2bl w:val="nil"/>
                  </w:tcBorders>
                  <w:vAlign w:val="center"/>
                </w:tcPr>
                <w:p w14:paraId="41C1E170">
                  <w:pPr>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color w:val="auto"/>
                      <w:kern w:val="2"/>
                      <w:sz w:val="18"/>
                      <w:szCs w:val="18"/>
                      <w:highlight w:val="none"/>
                      <w:lang w:val="en-US" w:eastAsia="zh-CN" w:bidi="ar-SA"/>
                    </w:rPr>
                    <w:t>36.9</w:t>
                  </w:r>
                </w:p>
              </w:tc>
              <w:tc>
                <w:tcPr>
                  <w:tcW w:w="485" w:type="pct"/>
                  <w:vMerge w:val="continue"/>
                  <w:tcBorders>
                    <w:tl2br w:val="nil"/>
                    <w:tr2bl w:val="nil"/>
                  </w:tcBorders>
                  <w:vAlign w:val="center"/>
                </w:tcPr>
                <w:p w14:paraId="71A650DB">
                  <w:pPr>
                    <w:rPr>
                      <w:rFonts w:ascii="Times New Roman" w:hAnsi="Times New Roman" w:eastAsia="宋体" w:cs="Times New Roman"/>
                      <w:color w:val="auto"/>
                      <w:sz w:val="18"/>
                      <w:szCs w:val="18"/>
                      <w:highlight w:val="none"/>
                    </w:rPr>
                  </w:pPr>
                </w:p>
              </w:tc>
              <w:tc>
                <w:tcPr>
                  <w:tcW w:w="507" w:type="pct"/>
                  <w:vMerge w:val="continue"/>
                  <w:tcBorders>
                    <w:tl2br w:val="nil"/>
                    <w:tr2bl w:val="nil"/>
                  </w:tcBorders>
                  <w:vAlign w:val="center"/>
                </w:tcPr>
                <w:p w14:paraId="58DC4BFA">
                  <w:pPr>
                    <w:rPr>
                      <w:rFonts w:ascii="Times New Roman" w:hAnsi="Times New Roman" w:eastAsia="宋体" w:cs="Times New Roman"/>
                      <w:color w:val="auto"/>
                      <w:sz w:val="18"/>
                      <w:szCs w:val="18"/>
                      <w:highlight w:val="none"/>
                    </w:rPr>
                  </w:pPr>
                </w:p>
              </w:tc>
              <w:tc>
                <w:tcPr>
                  <w:tcW w:w="1279" w:type="pct"/>
                  <w:vMerge w:val="continue"/>
                  <w:tcBorders>
                    <w:tl2br w:val="nil"/>
                    <w:tr2bl w:val="nil"/>
                  </w:tcBorders>
                  <w:vAlign w:val="center"/>
                </w:tcPr>
                <w:p w14:paraId="291E34AB">
                  <w:pPr>
                    <w:rPr>
                      <w:rFonts w:ascii="Times New Roman" w:hAnsi="Times New Roman" w:eastAsia="宋体" w:cs="Times New Roman"/>
                      <w:color w:val="auto"/>
                      <w:sz w:val="18"/>
                      <w:szCs w:val="18"/>
                      <w:highlight w:val="none"/>
                    </w:rPr>
                  </w:pPr>
                </w:p>
              </w:tc>
            </w:tr>
          </w:tbl>
          <w:p w14:paraId="5BFEFFCC">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根据预测结果可知，项目四侧昼间厂界噪声均能够满足《工业企业厂界环境噪声排放标准》</w:t>
            </w:r>
            <w:r>
              <w:rPr>
                <w:rFonts w:hint="eastAsia" w:ascii="Times New Roman" w:hAnsi="Times New Roman" w:cs="Times New Roman"/>
                <w:color w:val="auto"/>
                <w:szCs w:val="24"/>
                <w:highlight w:val="none"/>
                <w:lang w:eastAsia="zh-CN"/>
              </w:rPr>
              <w:t>（</w:t>
            </w:r>
            <w:r>
              <w:rPr>
                <w:rFonts w:ascii="Times New Roman" w:hAnsi="Times New Roman" w:cs="Times New Roman"/>
                <w:color w:val="auto"/>
                <w:szCs w:val="24"/>
                <w:highlight w:val="none"/>
              </w:rPr>
              <w:t>GB12348-2008</w:t>
            </w:r>
            <w:r>
              <w:rPr>
                <w:rFonts w:hint="eastAsia" w:ascii="Times New Roman" w:hAnsi="Times New Roman" w:cs="Times New Roman"/>
                <w:color w:val="auto"/>
                <w:szCs w:val="24"/>
                <w:highlight w:val="none"/>
                <w:lang w:eastAsia="zh-CN"/>
              </w:rPr>
              <w:t>）</w:t>
            </w:r>
            <w:r>
              <w:rPr>
                <w:rFonts w:ascii="Times New Roman" w:hAnsi="Times New Roman" w:cs="Times New Roman"/>
                <w:color w:val="auto"/>
                <w:szCs w:val="24"/>
                <w:highlight w:val="none"/>
              </w:rPr>
              <w:t>中2类标准。</w:t>
            </w:r>
          </w:p>
          <w:p w14:paraId="39801F03">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综上所述，本项目对周边声环境影响可接受。</w:t>
            </w:r>
          </w:p>
          <w:p w14:paraId="2A198DBB">
            <w:pPr>
              <w:spacing w:line="360" w:lineRule="auto"/>
              <w:ind w:firstLine="482" w:firstLineChars="200"/>
              <w:jc w:val="left"/>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2、运营期声环境保护措施</w:t>
            </w:r>
          </w:p>
          <w:p w14:paraId="259500EA">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根据建设单位提供资料，各类生产设施均置于室内，为了进一步降低噪声对周围环境的影响，建议企业应采取以下措施：</w:t>
            </w:r>
          </w:p>
          <w:p w14:paraId="5ECAAAF3">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①在高噪声设备机器底面安装垫木或者橡胶减振垫，用地脚螺栓固定，减小了设备运行时的振动和振动引起的噪声；</w:t>
            </w:r>
          </w:p>
          <w:p w14:paraId="1F8B1405">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②合理布局，将生产设备集中布置在厂房中部；</w:t>
            </w:r>
          </w:p>
          <w:p w14:paraId="57F6DBF0">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③加强噪声设备的维修管理，避免因不正常运行所导致的噪声增大；</w:t>
            </w:r>
          </w:p>
          <w:p w14:paraId="468B3FCA">
            <w:pPr>
              <w:pStyle w:val="43"/>
              <w:adjustRightInd/>
              <w:spacing w:line="360" w:lineRule="auto"/>
              <w:ind w:firstLine="480" w:firstLineChars="200"/>
              <w:rPr>
                <w:rFonts w:ascii="Times New Roman" w:hAnsi="Times New Roman" w:cs="Times New Roman"/>
                <w:color w:val="auto"/>
                <w:szCs w:val="24"/>
                <w:highlight w:val="none"/>
              </w:rPr>
            </w:pPr>
            <w:r>
              <w:rPr>
                <w:rFonts w:ascii="Times New Roman" w:hAnsi="Times New Roman" w:cs="Times New Roman"/>
                <w:color w:val="auto"/>
                <w:szCs w:val="24"/>
                <w:highlight w:val="none"/>
              </w:rPr>
              <w:t>④利用消声材料消除风机</w:t>
            </w:r>
            <w:r>
              <w:rPr>
                <w:rFonts w:hint="eastAsia" w:ascii="Times New Roman" w:hAnsi="Times New Roman" w:cs="Times New Roman"/>
                <w:color w:val="auto"/>
                <w:szCs w:val="24"/>
                <w:highlight w:val="none"/>
                <w:lang w:eastAsia="zh-CN"/>
              </w:rPr>
              <w:t>噪声</w:t>
            </w:r>
            <w:r>
              <w:rPr>
                <w:rFonts w:ascii="Times New Roman" w:hAnsi="Times New Roman" w:cs="Times New Roman"/>
                <w:color w:val="auto"/>
                <w:szCs w:val="24"/>
                <w:highlight w:val="none"/>
              </w:rPr>
              <w:t>。利用疏松多孔，表面凹凸的材料，使声音钻入孔内不断反射衰减，波峰波谷叠加衰减，从而起到减小</w:t>
            </w:r>
            <w:r>
              <w:rPr>
                <w:rFonts w:hint="eastAsia" w:ascii="Times New Roman" w:hAnsi="Times New Roman" w:cs="Times New Roman"/>
                <w:color w:val="auto"/>
                <w:szCs w:val="24"/>
                <w:highlight w:val="none"/>
                <w:lang w:eastAsia="zh-CN"/>
              </w:rPr>
              <w:t>噪声</w:t>
            </w:r>
            <w:r>
              <w:rPr>
                <w:rFonts w:ascii="Times New Roman" w:hAnsi="Times New Roman" w:cs="Times New Roman"/>
                <w:color w:val="auto"/>
                <w:szCs w:val="24"/>
                <w:highlight w:val="none"/>
              </w:rPr>
              <w:t>的效果；</w:t>
            </w:r>
          </w:p>
          <w:p w14:paraId="4264C9B2">
            <w:pPr>
              <w:pStyle w:val="43"/>
              <w:adjustRightInd/>
              <w:spacing w:line="360" w:lineRule="auto"/>
              <w:ind w:firstLine="480" w:firstLineChars="200"/>
              <w:rPr>
                <w:rFonts w:ascii="Times New Roman" w:hAnsi="Times New Roman" w:cs="Times New Roman"/>
                <w:color w:val="auto"/>
                <w:highlight w:val="none"/>
              </w:rPr>
            </w:pPr>
            <w:r>
              <w:rPr>
                <w:rFonts w:ascii="Times New Roman" w:hAnsi="Times New Roman" w:cs="Times New Roman"/>
                <w:color w:val="auto"/>
                <w:szCs w:val="24"/>
                <w:highlight w:val="none"/>
              </w:rPr>
              <w:t>⑤</w:t>
            </w:r>
            <w:r>
              <w:rPr>
                <w:rFonts w:ascii="Times New Roman" w:hAnsi="Times New Roman" w:cs="Times New Roman"/>
                <w:color w:val="auto"/>
                <w:highlight w:val="none"/>
              </w:rPr>
              <w:t>强化行车管理制度，进入厂区和途经居民点等敏感点时低速行驶，最大限度减少流动噪声，禁止鸣笛及夜间禁止运输；</w:t>
            </w:r>
          </w:p>
          <w:p w14:paraId="3C3601C1">
            <w:pPr>
              <w:spacing w:line="360" w:lineRule="auto"/>
              <w:ind w:firstLine="480" w:firstLineChars="200"/>
              <w:rPr>
                <w:rFonts w:ascii="Times New Roman" w:hAnsi="Times New Roman" w:eastAsia="宋体" w:cs="Times New Roman"/>
                <w:color w:val="auto"/>
                <w:kern w:val="24"/>
                <w:sz w:val="24"/>
                <w:szCs w:val="24"/>
                <w:highlight w:val="none"/>
              </w:rPr>
            </w:pPr>
            <w:r>
              <w:rPr>
                <w:rFonts w:ascii="Times New Roman" w:hAnsi="Times New Roman" w:eastAsia="宋体" w:cs="Times New Roman"/>
                <w:color w:val="auto"/>
                <w:kern w:val="24"/>
                <w:sz w:val="24"/>
                <w:szCs w:val="24"/>
                <w:highlight w:val="none"/>
              </w:rPr>
              <w:t>⑥对运输车辆加强管理，保持车辆良好的车况，杜绝车辆带病上路。</w:t>
            </w:r>
          </w:p>
          <w:p w14:paraId="43460B03">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（3）监测计划</w:t>
            </w:r>
          </w:p>
          <w:p w14:paraId="013A04EB">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根据《排污单位自行监测技术指南总则》（HJ 819-2017）</w:t>
            </w:r>
            <w:r>
              <w:rPr>
                <w:rFonts w:hint="eastAsia" w:ascii="Times New Roman" w:hAnsi="Times New Roman" w:eastAsia="宋体" w:cs="Times New Roman"/>
                <w:color w:val="auto"/>
                <w:sz w:val="24"/>
                <w:highlight w:val="none"/>
              </w:rPr>
              <w:t>和《排污许可证申请与核发技术规范 工业噪声》（HJ 1301</w:t>
            </w:r>
            <w:r>
              <w:rPr>
                <w:rFonts w:hint="eastAsia"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sz w:val="24"/>
                <w:highlight w:val="none"/>
              </w:rPr>
              <w:t>2023）</w:t>
            </w:r>
            <w:r>
              <w:rPr>
                <w:rFonts w:ascii="Times New Roman" w:hAnsi="Times New Roman" w:eastAsia="宋体" w:cs="Times New Roman"/>
                <w:color w:val="auto"/>
                <w:sz w:val="24"/>
                <w:highlight w:val="none"/>
              </w:rPr>
              <w:t>要求，本项目运行后，污染物噪声监测计划见下表。</w:t>
            </w:r>
          </w:p>
          <w:p w14:paraId="668E10D0">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表4-10  项目噪声环境监测计划一览表</w:t>
            </w:r>
          </w:p>
          <w:tbl>
            <w:tblPr>
              <w:tblStyle w:val="19"/>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988"/>
              <w:gridCol w:w="1964"/>
              <w:gridCol w:w="1123"/>
              <w:gridCol w:w="2027"/>
            </w:tblGrid>
            <w:tr w14:paraId="549411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7" w:type="pct"/>
                  <w:tcBorders>
                    <w:tl2br w:val="nil"/>
                    <w:tr2bl w:val="nil"/>
                  </w:tcBorders>
                  <w:vAlign w:val="center"/>
                </w:tcPr>
                <w:p w14:paraId="2D254A2F">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类别</w:t>
                  </w:r>
                </w:p>
              </w:tc>
              <w:tc>
                <w:tcPr>
                  <w:tcW w:w="1257" w:type="pct"/>
                  <w:tcBorders>
                    <w:tl2br w:val="nil"/>
                    <w:tr2bl w:val="nil"/>
                  </w:tcBorders>
                  <w:vAlign w:val="center"/>
                </w:tcPr>
                <w:p w14:paraId="3CB6500C">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监测点位</w:t>
                  </w:r>
                </w:p>
              </w:tc>
              <w:tc>
                <w:tcPr>
                  <w:tcW w:w="1242" w:type="pct"/>
                  <w:tcBorders>
                    <w:tl2br w:val="nil"/>
                    <w:tr2bl w:val="nil"/>
                  </w:tcBorders>
                  <w:vAlign w:val="center"/>
                </w:tcPr>
                <w:p w14:paraId="4213F61C">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监测指标</w:t>
                  </w:r>
                </w:p>
              </w:tc>
              <w:tc>
                <w:tcPr>
                  <w:tcW w:w="710" w:type="pct"/>
                  <w:tcBorders>
                    <w:tl2br w:val="nil"/>
                    <w:tr2bl w:val="nil"/>
                  </w:tcBorders>
                  <w:vAlign w:val="center"/>
                </w:tcPr>
                <w:p w14:paraId="7BCB295A">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监测频次</w:t>
                  </w:r>
                </w:p>
              </w:tc>
              <w:tc>
                <w:tcPr>
                  <w:tcW w:w="1282" w:type="pct"/>
                  <w:tcBorders>
                    <w:tl2br w:val="nil"/>
                    <w:tr2bl w:val="nil"/>
                  </w:tcBorders>
                  <w:vAlign w:val="center"/>
                </w:tcPr>
                <w:p w14:paraId="234E686C">
                  <w:pPr>
                    <w:snapToGrid w:val="0"/>
                    <w:spacing w:line="276" w:lineRule="auto"/>
                    <w:jc w:val="center"/>
                    <w:rPr>
                      <w:rFonts w:ascii="Times New Roman" w:hAnsi="Times New Roman" w:eastAsia="宋体" w:cs="Times New Roman"/>
                      <w:b/>
                      <w:color w:val="auto"/>
                      <w:sz w:val="18"/>
                      <w:szCs w:val="18"/>
                      <w:highlight w:val="none"/>
                    </w:rPr>
                  </w:pPr>
                  <w:r>
                    <w:rPr>
                      <w:rFonts w:ascii="Times New Roman" w:hAnsi="Times New Roman" w:eastAsia="宋体" w:cs="Times New Roman"/>
                      <w:b/>
                      <w:color w:val="auto"/>
                      <w:sz w:val="18"/>
                      <w:szCs w:val="18"/>
                      <w:highlight w:val="none"/>
                    </w:rPr>
                    <w:t>执行标准</w:t>
                  </w:r>
                </w:p>
              </w:tc>
            </w:tr>
            <w:tr w14:paraId="52A19C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7" w:type="pct"/>
                  <w:tcBorders>
                    <w:tl2br w:val="nil"/>
                    <w:tr2bl w:val="nil"/>
                  </w:tcBorders>
                  <w:vAlign w:val="center"/>
                </w:tcPr>
                <w:p w14:paraId="3212214D">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噪声</w:t>
                  </w:r>
                </w:p>
              </w:tc>
              <w:tc>
                <w:tcPr>
                  <w:tcW w:w="1257" w:type="pct"/>
                  <w:tcBorders>
                    <w:tl2br w:val="nil"/>
                    <w:tr2bl w:val="nil"/>
                  </w:tcBorders>
                  <w:vAlign w:val="center"/>
                </w:tcPr>
                <w:p w14:paraId="026E340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厂界</w:t>
                  </w:r>
                </w:p>
              </w:tc>
              <w:tc>
                <w:tcPr>
                  <w:tcW w:w="1242" w:type="pct"/>
                  <w:tcBorders>
                    <w:tl2br w:val="nil"/>
                    <w:tr2bl w:val="nil"/>
                  </w:tcBorders>
                  <w:vAlign w:val="center"/>
                </w:tcPr>
                <w:p w14:paraId="457091D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等效连续A声级</w:t>
                  </w:r>
                </w:p>
              </w:tc>
              <w:tc>
                <w:tcPr>
                  <w:tcW w:w="710" w:type="pct"/>
                  <w:tcBorders>
                    <w:tl2br w:val="nil"/>
                    <w:tr2bl w:val="nil"/>
                  </w:tcBorders>
                  <w:vAlign w:val="center"/>
                </w:tcPr>
                <w:p w14:paraId="4C74AFD9">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1次/季度</w:t>
                  </w:r>
                </w:p>
              </w:tc>
              <w:tc>
                <w:tcPr>
                  <w:tcW w:w="1282" w:type="pct"/>
                  <w:tcBorders>
                    <w:tl2br w:val="nil"/>
                    <w:tr2bl w:val="nil"/>
                  </w:tcBorders>
                  <w:vAlign w:val="center"/>
                </w:tcPr>
                <w:p w14:paraId="54736669">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（GB12348-2008）</w:t>
                  </w:r>
                </w:p>
                <w:p w14:paraId="6EFBD9DB">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2类区标准</w:t>
                  </w:r>
                </w:p>
              </w:tc>
            </w:tr>
          </w:tbl>
          <w:p w14:paraId="1D0A9E61">
            <w:pPr>
              <w:spacing w:line="440" w:lineRule="exact"/>
              <w:ind w:firstLine="472" w:firstLineChars="196"/>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4、固体废物处置措施及管理要求</w:t>
            </w:r>
          </w:p>
          <w:p w14:paraId="444E72FE">
            <w:pPr>
              <w:spacing w:line="360" w:lineRule="auto"/>
              <w:ind w:firstLine="480" w:firstLineChars="20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根据工程分析，本项目固体废物包括边角料、焊渣、废塑粉、废包装物</w:t>
            </w:r>
            <w:r>
              <w:rPr>
                <w:rFonts w:hint="eastAsia" w:ascii="Times New Roman" w:hAnsi="Times New Roman" w:eastAsia="宋体" w:cs="Times New Roman"/>
                <w:color w:val="auto"/>
                <w:kern w:val="0"/>
                <w:sz w:val="24"/>
                <w:szCs w:val="24"/>
                <w:highlight w:val="none"/>
              </w:rPr>
              <w:t>、废砂纸</w:t>
            </w:r>
            <w:r>
              <w:rPr>
                <w:rFonts w:ascii="Times New Roman" w:hAnsi="Times New Roman" w:eastAsia="宋体" w:cs="Times New Roman"/>
                <w:color w:val="auto"/>
                <w:kern w:val="0"/>
                <w:sz w:val="24"/>
                <w:szCs w:val="24"/>
                <w:highlight w:val="none"/>
              </w:rPr>
              <w:t>、废活性炭、废机油</w:t>
            </w:r>
            <w:r>
              <w:rPr>
                <w:rFonts w:hint="eastAsia" w:ascii="Times New Roman" w:hAnsi="Times New Roman" w:eastAsia="宋体" w:cs="Times New Roman"/>
                <w:color w:val="auto"/>
                <w:kern w:val="0"/>
                <w:sz w:val="24"/>
                <w:szCs w:val="24"/>
                <w:highlight w:val="none"/>
                <w:lang w:eastAsia="zh-CN"/>
              </w:rPr>
              <w:t>、</w:t>
            </w:r>
            <w:r>
              <w:rPr>
                <w:rFonts w:ascii="Times New Roman" w:hAnsi="Times New Roman" w:eastAsia="宋体" w:cs="Times New Roman"/>
                <w:color w:val="auto"/>
                <w:kern w:val="0"/>
                <w:sz w:val="24"/>
                <w:szCs w:val="24"/>
                <w:highlight w:val="none"/>
              </w:rPr>
              <w:t>机油桶</w:t>
            </w:r>
            <w:r>
              <w:rPr>
                <w:rFonts w:hint="eastAsia" w:ascii="Times New Roman" w:hAnsi="Times New Roman" w:eastAsia="宋体" w:cs="Times New Roman"/>
                <w:color w:val="auto"/>
                <w:kern w:val="0"/>
                <w:sz w:val="24"/>
                <w:szCs w:val="24"/>
                <w:highlight w:val="none"/>
                <w:lang w:val="en-US" w:eastAsia="zh-CN"/>
              </w:rPr>
              <w:t>和生活垃圾</w:t>
            </w:r>
            <w:r>
              <w:rPr>
                <w:rFonts w:ascii="Times New Roman" w:hAnsi="Times New Roman" w:eastAsia="宋体" w:cs="Times New Roman"/>
                <w:color w:val="auto"/>
                <w:kern w:val="0"/>
                <w:sz w:val="24"/>
                <w:szCs w:val="24"/>
                <w:highlight w:val="none"/>
              </w:rPr>
              <w:t>。</w:t>
            </w:r>
          </w:p>
          <w:p w14:paraId="76F6F2AB">
            <w:pPr>
              <w:spacing w:line="360" w:lineRule="auto"/>
              <w:ind w:firstLine="482" w:firstLineChars="200"/>
              <w:jc w:val="left"/>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（1）一般工业固体废物</w:t>
            </w:r>
          </w:p>
          <w:p w14:paraId="4668B322">
            <w:pPr>
              <w:spacing w:line="360" w:lineRule="auto"/>
              <w:ind w:firstLine="480" w:firstLineChars="200"/>
              <w:jc w:val="left"/>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①边角料：本项目切割过程会产生钢材边角料，根据建设单位提供资料，废边角料产生量约为1t/a，</w:t>
            </w:r>
            <w:r>
              <w:rPr>
                <w:rFonts w:ascii="Times New Roman" w:hAnsi="Times New Roman" w:eastAsia="宋体" w:cs="Times New Roman"/>
                <w:color w:val="auto"/>
                <w:sz w:val="24"/>
                <w:highlight w:val="none"/>
              </w:rPr>
              <w:t>统一收集后暂存于一般固废暂存间，</w:t>
            </w:r>
            <w:r>
              <w:rPr>
                <w:rFonts w:ascii="Times New Roman" w:hAnsi="Times New Roman" w:eastAsia="宋体" w:cs="Times New Roman"/>
                <w:bCs/>
                <w:color w:val="auto"/>
                <w:sz w:val="24"/>
                <w:highlight w:val="none"/>
              </w:rPr>
              <w:t>定期外售</w:t>
            </w:r>
            <w:r>
              <w:rPr>
                <w:rFonts w:ascii="Times New Roman" w:hAnsi="Times New Roman" w:eastAsia="宋体" w:cs="Times New Roman"/>
                <w:color w:val="auto"/>
                <w:sz w:val="24"/>
                <w:highlight w:val="none"/>
              </w:rPr>
              <w:t>。</w:t>
            </w:r>
          </w:p>
          <w:p w14:paraId="79BD9324">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②焊渣：根据《机加工行业环境影响 评价中常见污染物源强估算机污染治理》</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许海萍等</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“固体废物估算及处理措施”中，焊渣=焊条使用量×(1/11+4%</w:t>
            </w:r>
            <w:r>
              <w:rPr>
                <w:rFonts w:hint="eastAsia" w:ascii="Times New Roman" w:hAnsi="Times New Roman" w:eastAsia="宋体" w:cs="Times New Roman"/>
                <w:color w:val="auto"/>
                <w:sz w:val="24"/>
                <w:szCs w:val="24"/>
                <w:highlight w:val="none"/>
                <w:lang w:eastAsia="zh-CN"/>
              </w:rPr>
              <w:t>）</w:t>
            </w:r>
            <w:r>
              <w:rPr>
                <w:rFonts w:ascii="Times New Roman" w:hAnsi="Times New Roman" w:eastAsia="宋体" w:cs="Times New Roman"/>
                <w:color w:val="auto"/>
                <w:sz w:val="24"/>
                <w:szCs w:val="24"/>
                <w:highlight w:val="none"/>
              </w:rPr>
              <w:t>，则本项目焊渣产生量为0.13t/a。</w:t>
            </w:r>
            <w:r>
              <w:rPr>
                <w:rFonts w:ascii="Times New Roman" w:hAnsi="Times New Roman" w:eastAsia="宋体" w:cs="Times New Roman"/>
                <w:color w:val="auto"/>
                <w:sz w:val="24"/>
                <w:highlight w:val="none"/>
              </w:rPr>
              <w:t>统一收集后暂存于一般固废暂存间，</w:t>
            </w:r>
            <w:r>
              <w:rPr>
                <w:rFonts w:ascii="Times New Roman" w:hAnsi="Times New Roman" w:eastAsia="宋体" w:cs="Times New Roman"/>
                <w:bCs/>
                <w:color w:val="auto"/>
                <w:sz w:val="24"/>
                <w:highlight w:val="none"/>
              </w:rPr>
              <w:t>定期外售</w:t>
            </w:r>
            <w:r>
              <w:rPr>
                <w:rFonts w:ascii="Times New Roman" w:hAnsi="Times New Roman" w:eastAsia="宋体" w:cs="Times New Roman"/>
                <w:color w:val="auto"/>
                <w:sz w:val="24"/>
                <w:highlight w:val="none"/>
              </w:rPr>
              <w:t>。</w:t>
            </w:r>
          </w:p>
          <w:p w14:paraId="7DC72800">
            <w:pPr>
              <w:spacing w:line="360" w:lineRule="auto"/>
              <w:ind w:firstLine="470" w:firstLineChars="196"/>
              <w:rPr>
                <w:rFonts w:ascii="Times New Roman" w:hAnsi="Times New Roman" w:eastAsia="宋体" w:cs="Times New Roman"/>
                <w:bCs/>
                <w:color w:val="auto"/>
                <w:sz w:val="24"/>
                <w:szCs w:val="24"/>
                <w:highlight w:val="none"/>
              </w:rPr>
            </w:pPr>
            <w:r>
              <w:rPr>
                <w:rFonts w:ascii="Times New Roman" w:hAnsi="Times New Roman" w:eastAsia="宋体" w:cs="Times New Roman"/>
                <w:color w:val="auto"/>
                <w:sz w:val="24"/>
                <w:szCs w:val="24"/>
                <w:highlight w:val="none"/>
              </w:rPr>
              <w:t>③废塑粉：喷塑过程中会产生废塑粉，根据工程分析，</w:t>
            </w:r>
            <w:r>
              <w:rPr>
                <w:rFonts w:ascii="Times New Roman" w:hAnsi="Times New Roman" w:eastAsia="宋体" w:cs="Times New Roman"/>
                <w:color w:val="auto"/>
                <w:sz w:val="24"/>
                <w:szCs w:val="20"/>
                <w:highlight w:val="none"/>
              </w:rPr>
              <w:t>未喷上的粉末产生量约为30t/a，未喷上工件的粉末</w:t>
            </w:r>
            <w:r>
              <w:rPr>
                <w:rFonts w:ascii="Times New Roman" w:hAnsi="Times New Roman" w:eastAsia="宋体" w:cs="Times New Roman"/>
                <w:color w:val="auto"/>
                <w:sz w:val="24"/>
                <w:highlight w:val="none"/>
              </w:rPr>
              <w:t>通过喷塑间内设置</w:t>
            </w:r>
            <w:r>
              <w:rPr>
                <w:rFonts w:hint="eastAsia" w:ascii="Times New Roman" w:hAnsi="Times New Roman" w:eastAsia="宋体" w:cs="Times New Roman"/>
                <w:color w:val="auto"/>
                <w:sz w:val="24"/>
                <w:highlight w:val="none"/>
                <w:lang w:eastAsia="zh-CN"/>
              </w:rPr>
              <w:t>大旋风+滤芯粉末回收+袋式除尘装置</w:t>
            </w:r>
            <w:r>
              <w:rPr>
                <w:rFonts w:hint="eastAsia" w:ascii="Times New Roman" w:hAnsi="Times New Roman" w:eastAsia="宋体" w:cs="Times New Roman"/>
                <w:color w:val="auto"/>
                <w:sz w:val="24"/>
                <w:szCs w:val="20"/>
                <w:highlight w:val="none"/>
              </w:rPr>
              <w:t>处理回收</w:t>
            </w:r>
            <w:r>
              <w:rPr>
                <w:rFonts w:ascii="Times New Roman" w:hAnsi="Times New Roman" w:eastAsia="宋体" w:cs="Times New Roman"/>
                <w:color w:val="auto"/>
                <w:sz w:val="24"/>
                <w:szCs w:val="20"/>
                <w:highlight w:val="none"/>
              </w:rPr>
              <w:t>后回用</w:t>
            </w:r>
            <w:r>
              <w:rPr>
                <w:rFonts w:hint="eastAsia" w:ascii="Times New Roman" w:hAnsi="Times New Roman" w:eastAsia="宋体" w:cs="Times New Roman"/>
                <w:color w:val="auto"/>
                <w:sz w:val="24"/>
                <w:szCs w:val="20"/>
                <w:highlight w:val="none"/>
              </w:rPr>
              <w:t>于喷塑工序</w:t>
            </w:r>
            <w:r>
              <w:rPr>
                <w:rFonts w:ascii="Times New Roman" w:hAnsi="Times New Roman" w:eastAsia="宋体" w:cs="Times New Roman"/>
                <w:bCs/>
                <w:color w:val="auto"/>
                <w:sz w:val="24"/>
                <w:szCs w:val="24"/>
                <w:highlight w:val="none"/>
              </w:rPr>
              <w:t>。</w:t>
            </w:r>
          </w:p>
          <w:p w14:paraId="6CF95A01">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szCs w:val="24"/>
                <w:highlight w:val="none"/>
              </w:rPr>
              <w:t>④废包装物：本项目包装过程中会产生废包装物，根据建设单位提供资料，废包装物产生量约为0.05t/a，</w:t>
            </w:r>
            <w:r>
              <w:rPr>
                <w:rFonts w:ascii="Times New Roman" w:hAnsi="Times New Roman" w:eastAsia="宋体" w:cs="Times New Roman"/>
                <w:color w:val="auto"/>
                <w:sz w:val="24"/>
                <w:highlight w:val="none"/>
              </w:rPr>
              <w:t>统一收集后暂存于一般固废暂存间，</w:t>
            </w:r>
            <w:r>
              <w:rPr>
                <w:rFonts w:ascii="Times New Roman" w:hAnsi="Times New Roman" w:eastAsia="宋体" w:cs="Times New Roman"/>
                <w:bCs/>
                <w:color w:val="auto"/>
                <w:sz w:val="24"/>
                <w:highlight w:val="none"/>
              </w:rPr>
              <w:t>定期外售</w:t>
            </w:r>
            <w:r>
              <w:rPr>
                <w:rFonts w:ascii="Times New Roman" w:hAnsi="Times New Roman" w:eastAsia="宋体" w:cs="Times New Roman"/>
                <w:color w:val="auto"/>
                <w:sz w:val="24"/>
                <w:highlight w:val="none"/>
              </w:rPr>
              <w:t>。</w:t>
            </w:r>
          </w:p>
          <w:p w14:paraId="2179450D">
            <w:pPr>
              <w:spacing w:line="360" w:lineRule="auto"/>
              <w:ind w:firstLine="480" w:firstLineChars="200"/>
              <w:rPr>
                <w:rFonts w:ascii="Times New Roman" w:hAnsi="Times New Roman" w:eastAsia="宋体" w:cs="Times New Roman"/>
                <w:color w:val="auto"/>
                <w:sz w:val="24"/>
                <w:highlight w:val="none"/>
              </w:rPr>
            </w:pPr>
            <w:r>
              <w:rPr>
                <w:rFonts w:hint="eastAsia" w:ascii="宋体" w:hAnsi="宋体" w:eastAsia="宋体" w:cs="宋体"/>
                <w:color w:val="auto"/>
                <w:sz w:val="24"/>
                <w:highlight w:val="none"/>
              </w:rPr>
              <w:t>⑤</w:t>
            </w:r>
            <w:r>
              <w:rPr>
                <w:rFonts w:hint="eastAsia" w:ascii="Times New Roman" w:hAnsi="Times New Roman" w:eastAsia="宋体" w:cs="Times New Roman"/>
                <w:color w:val="auto"/>
                <w:sz w:val="24"/>
                <w:highlight w:val="none"/>
              </w:rPr>
              <w:t>废砂纸：本项目人工打磨过程会产生废砂纸，根据建设单位提供资料，废砂纸产生量约为0.01t/a，</w:t>
            </w:r>
            <w:r>
              <w:rPr>
                <w:rFonts w:ascii="Times New Roman" w:hAnsi="Times New Roman" w:eastAsia="宋体" w:cs="Times New Roman"/>
                <w:color w:val="auto"/>
                <w:sz w:val="24"/>
                <w:highlight w:val="none"/>
              </w:rPr>
              <w:t>统一收集后暂存于一般固废暂存间，</w:t>
            </w:r>
            <w:r>
              <w:rPr>
                <w:rFonts w:ascii="Times New Roman" w:hAnsi="Times New Roman" w:eastAsia="宋体" w:cs="Times New Roman"/>
                <w:bCs/>
                <w:color w:val="auto"/>
                <w:sz w:val="24"/>
                <w:highlight w:val="none"/>
              </w:rPr>
              <w:t>定期外售</w:t>
            </w:r>
            <w:r>
              <w:rPr>
                <w:rFonts w:ascii="Times New Roman" w:hAnsi="Times New Roman" w:eastAsia="宋体" w:cs="Times New Roman"/>
                <w:color w:val="auto"/>
                <w:sz w:val="24"/>
                <w:highlight w:val="none"/>
              </w:rPr>
              <w:t>。</w:t>
            </w:r>
          </w:p>
          <w:p w14:paraId="3982E553">
            <w:pPr>
              <w:spacing w:line="360" w:lineRule="auto"/>
              <w:ind w:firstLine="482" w:firstLineChars="200"/>
              <w:jc w:val="left"/>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（2）危险废物</w:t>
            </w:r>
          </w:p>
          <w:p w14:paraId="0647B863">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①废机油：本项目设备维修保养过程中会产生废机油，产生量约为0.5t/a，依据</w:t>
            </w:r>
            <w:r>
              <w:rPr>
                <w:rFonts w:hint="eastAsia" w:ascii="Times New Roman" w:hAnsi="Times New Roman" w:eastAsia="宋体" w:cs="Times New Roman"/>
                <w:color w:val="auto"/>
                <w:sz w:val="24"/>
                <w:highlight w:val="none"/>
                <w:lang w:eastAsia="zh-CN"/>
              </w:rPr>
              <w:t>《国家危险废物名录》（2025年版）</w:t>
            </w:r>
            <w:r>
              <w:rPr>
                <w:rFonts w:ascii="Times New Roman" w:hAnsi="Times New Roman" w:eastAsia="宋体" w:cs="Times New Roman"/>
                <w:color w:val="auto"/>
                <w:sz w:val="24"/>
                <w:highlight w:val="none"/>
              </w:rPr>
              <w:t>可知废机油属于HW08，危废代码为900-214-08，收集后暂存于危废暂存库，定期委托有资质的单位处理。</w:t>
            </w:r>
          </w:p>
          <w:p w14:paraId="268CDCEC">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②机油桶：机油使用量为0.5t/a，每桶重200kg，每年将产生3个原料桶。每个机油空桶重0.01t，则机油桶产生量为0.03t/a，依据</w:t>
            </w:r>
            <w:r>
              <w:rPr>
                <w:rFonts w:hint="eastAsia" w:ascii="Times New Roman" w:hAnsi="Times New Roman" w:eastAsia="宋体" w:cs="Times New Roman"/>
                <w:color w:val="auto"/>
                <w:sz w:val="24"/>
                <w:highlight w:val="none"/>
                <w:lang w:eastAsia="zh-CN"/>
              </w:rPr>
              <w:t>《国家危险废物名录》（2025年版）</w:t>
            </w:r>
            <w:r>
              <w:rPr>
                <w:rFonts w:ascii="Times New Roman" w:hAnsi="Times New Roman" w:eastAsia="宋体" w:cs="Times New Roman"/>
                <w:color w:val="auto"/>
                <w:sz w:val="24"/>
                <w:highlight w:val="none"/>
              </w:rPr>
              <w:t>可知，机油桶属于HW</w:t>
            </w:r>
            <w:r>
              <w:rPr>
                <w:rFonts w:hint="eastAsia" w:ascii="Times New Roman" w:hAnsi="Times New Roman" w:eastAsia="宋体" w:cs="Times New Roman"/>
                <w:color w:val="auto"/>
                <w:sz w:val="24"/>
                <w:highlight w:val="none"/>
                <w:lang w:val="en-US" w:eastAsia="zh-CN"/>
              </w:rPr>
              <w:t>08</w:t>
            </w:r>
            <w:r>
              <w:rPr>
                <w:rFonts w:ascii="Times New Roman" w:hAnsi="Times New Roman" w:eastAsia="宋体" w:cs="Times New Roman"/>
                <w:color w:val="auto"/>
                <w:sz w:val="24"/>
                <w:highlight w:val="none"/>
              </w:rPr>
              <w:t>，危废代码为900-</w:t>
            </w:r>
            <w:r>
              <w:rPr>
                <w:rFonts w:hint="eastAsia" w:ascii="Times New Roman" w:hAnsi="Times New Roman" w:eastAsia="宋体" w:cs="Times New Roman"/>
                <w:color w:val="auto"/>
                <w:sz w:val="24"/>
                <w:highlight w:val="none"/>
                <w:lang w:val="en-US" w:eastAsia="zh-CN"/>
              </w:rPr>
              <w:t>249-08</w:t>
            </w:r>
            <w:r>
              <w:rPr>
                <w:rFonts w:ascii="Times New Roman" w:hAnsi="Times New Roman" w:eastAsia="宋体" w:cs="Times New Roman"/>
                <w:color w:val="auto"/>
                <w:sz w:val="24"/>
                <w:highlight w:val="none"/>
              </w:rPr>
              <w:t>，收集后暂存于危废暂存库，</w:t>
            </w:r>
            <w:r>
              <w:rPr>
                <w:rFonts w:hint="eastAsia" w:ascii="Times New Roman" w:hAnsi="Times New Roman" w:eastAsia="宋体" w:cs="Times New Roman"/>
                <w:color w:val="auto"/>
                <w:sz w:val="24"/>
                <w:highlight w:val="none"/>
                <w:lang w:val="en-US" w:eastAsia="zh-CN"/>
              </w:rPr>
              <w:t>交由危废</w:t>
            </w:r>
            <w:r>
              <w:rPr>
                <w:rFonts w:ascii="Times New Roman" w:hAnsi="Times New Roman" w:eastAsia="宋体" w:cs="Times New Roman"/>
                <w:color w:val="auto"/>
                <w:sz w:val="24"/>
                <w:highlight w:val="none"/>
              </w:rPr>
              <w:t>处置</w:t>
            </w:r>
            <w:r>
              <w:rPr>
                <w:rFonts w:hint="eastAsia" w:ascii="Times New Roman" w:hAnsi="Times New Roman" w:eastAsia="宋体" w:cs="Times New Roman"/>
                <w:color w:val="auto"/>
                <w:sz w:val="24"/>
                <w:highlight w:val="none"/>
                <w:lang w:val="en-US" w:eastAsia="zh-CN"/>
              </w:rPr>
              <w:t>单位处置</w:t>
            </w:r>
            <w:r>
              <w:rPr>
                <w:rFonts w:ascii="Times New Roman" w:hAnsi="Times New Roman" w:eastAsia="宋体" w:cs="Times New Roman"/>
                <w:color w:val="auto"/>
                <w:sz w:val="24"/>
                <w:highlight w:val="none"/>
              </w:rPr>
              <w:t>。</w:t>
            </w:r>
          </w:p>
          <w:p w14:paraId="5799F1F4">
            <w:pPr>
              <w:widowControl/>
              <w:spacing w:line="360" w:lineRule="auto"/>
              <w:ind w:firstLine="482" w:firstLineChars="200"/>
              <w:jc w:val="left"/>
              <w:rPr>
                <w:rFonts w:ascii="Times New Roman" w:hAnsi="Times New Roman" w:eastAsia="宋体" w:cs="Times New Roman"/>
                <w:color w:val="auto"/>
                <w:sz w:val="24"/>
                <w:szCs w:val="24"/>
                <w:highlight w:val="none"/>
                <w:lang w:val="zh-CN"/>
              </w:rPr>
            </w:pPr>
            <w:r>
              <w:rPr>
                <w:rFonts w:ascii="Times New Roman" w:hAnsi="Times New Roman" w:eastAsia="宋体" w:cs="Times New Roman"/>
                <w:b/>
                <w:bCs/>
                <w:color w:val="auto"/>
                <w:sz w:val="24"/>
                <w:szCs w:val="24"/>
                <w:highlight w:val="none"/>
              </w:rPr>
              <w:t>③</w:t>
            </w:r>
            <w:r>
              <w:rPr>
                <w:rFonts w:ascii="Times New Roman" w:hAnsi="Times New Roman" w:eastAsia="宋体" w:cs="Times New Roman"/>
                <w:color w:val="auto"/>
                <w:sz w:val="24"/>
                <w:szCs w:val="24"/>
                <w:highlight w:val="none"/>
              </w:rPr>
              <w:t>废活性炭：活性炭对有机物吸附</w:t>
            </w:r>
            <w:r>
              <w:rPr>
                <w:rFonts w:ascii="Times New Roman" w:hAnsi="Times New Roman" w:eastAsia="宋体" w:cs="Times New Roman"/>
                <w:color w:val="auto"/>
                <w:sz w:val="24"/>
                <w:szCs w:val="24"/>
                <w:highlight w:val="none"/>
                <w:lang w:val="zh-CN"/>
              </w:rPr>
              <w:t>量qe一般介于0.1~0.3kg/kg活性炭，</w:t>
            </w:r>
            <w:r>
              <w:rPr>
                <w:rFonts w:ascii="Times New Roman" w:hAnsi="Times New Roman" w:eastAsia="宋体" w:cs="Times New Roman"/>
                <w:color w:val="auto"/>
                <w:sz w:val="24"/>
                <w:highlight w:val="none"/>
              </w:rPr>
              <w:t>根据《简明通风设计手册》</w:t>
            </w:r>
            <w:r>
              <w:rPr>
                <w:rFonts w:ascii="Times New Roman" w:hAnsi="Times New Roman" w:eastAsia="宋体" w:cs="Times New Roman"/>
                <w:color w:val="auto"/>
                <w:sz w:val="24"/>
                <w:szCs w:val="24"/>
                <w:highlight w:val="none"/>
                <w:lang w:val="zh-CN"/>
              </w:rPr>
              <w:t>取活性炭</w:t>
            </w:r>
            <w:r>
              <w:rPr>
                <w:rFonts w:ascii="Times New Roman" w:hAnsi="Times New Roman" w:eastAsia="宋体" w:cs="Times New Roman"/>
                <w:color w:val="auto"/>
                <w:sz w:val="24"/>
                <w:szCs w:val="24"/>
                <w:highlight w:val="none"/>
              </w:rPr>
              <w:t>动态吸附量</w:t>
            </w:r>
            <w:r>
              <w:rPr>
                <w:rFonts w:ascii="Times New Roman" w:hAnsi="Times New Roman" w:eastAsia="宋体" w:cs="Times New Roman"/>
                <w:color w:val="auto"/>
                <w:sz w:val="24"/>
                <w:szCs w:val="24"/>
                <w:highlight w:val="none"/>
                <w:lang w:val="zh-CN"/>
              </w:rPr>
              <w:t>为0.26kg/kg活性炭，被吸附进活性炭装置有机物量约</w:t>
            </w:r>
            <w:r>
              <w:rPr>
                <w:rFonts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rPr>
              <w:t>107</w:t>
            </w:r>
            <w:r>
              <w:rPr>
                <w:rFonts w:ascii="Times New Roman" w:hAnsi="Times New Roman" w:eastAsia="宋体" w:cs="Times New Roman"/>
                <w:color w:val="auto"/>
                <w:sz w:val="24"/>
                <w:szCs w:val="24"/>
                <w:highlight w:val="none"/>
                <w:lang w:val="zh-CN"/>
              </w:rPr>
              <w:t>t/a，折算年需活性炭</w:t>
            </w:r>
            <w:r>
              <w:rPr>
                <w:rFonts w:ascii="Times New Roman" w:hAnsi="Times New Roman" w:eastAsia="宋体" w:cs="Times New Roman"/>
                <w:color w:val="auto"/>
                <w:sz w:val="24"/>
                <w:szCs w:val="24"/>
                <w:highlight w:val="none"/>
              </w:rPr>
              <w:t>量约为0.4</w:t>
            </w:r>
            <w:r>
              <w:rPr>
                <w:rFonts w:hint="eastAsia" w:ascii="Times New Roman" w:hAnsi="Times New Roman" w:eastAsia="宋体" w:cs="Times New Roman"/>
                <w:color w:val="auto"/>
                <w:sz w:val="24"/>
                <w:szCs w:val="24"/>
                <w:highlight w:val="none"/>
              </w:rPr>
              <w:t>12</w:t>
            </w:r>
            <w:r>
              <w:rPr>
                <w:rFonts w:ascii="Times New Roman" w:hAnsi="Times New Roman" w:eastAsia="宋体" w:cs="Times New Roman"/>
                <w:color w:val="auto"/>
                <w:sz w:val="24"/>
                <w:szCs w:val="24"/>
                <w:highlight w:val="none"/>
                <w:lang w:val="zh-CN"/>
              </w:rPr>
              <w:t>t，故废活性炭量=</w:t>
            </w:r>
            <w:r>
              <w:rPr>
                <w:rFonts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rPr>
              <w:t>107</w:t>
            </w:r>
            <w:r>
              <w:rPr>
                <w:rFonts w:ascii="Times New Roman" w:hAnsi="Times New Roman" w:eastAsia="宋体" w:cs="Times New Roman"/>
                <w:color w:val="auto"/>
                <w:sz w:val="24"/>
                <w:szCs w:val="24"/>
                <w:highlight w:val="none"/>
                <w:lang w:val="zh-CN"/>
              </w:rPr>
              <w:t>t/a+</w:t>
            </w:r>
            <w:r>
              <w:rPr>
                <w:rFonts w:ascii="Times New Roman" w:hAnsi="Times New Roman" w:eastAsia="宋体" w:cs="Times New Roman"/>
                <w:color w:val="auto"/>
                <w:sz w:val="24"/>
                <w:szCs w:val="24"/>
                <w:highlight w:val="none"/>
              </w:rPr>
              <w:t>0.4</w:t>
            </w:r>
            <w:r>
              <w:rPr>
                <w:rFonts w:hint="eastAsia" w:ascii="Times New Roman" w:hAnsi="Times New Roman" w:eastAsia="宋体" w:cs="Times New Roman"/>
                <w:color w:val="auto"/>
                <w:sz w:val="24"/>
                <w:szCs w:val="24"/>
                <w:highlight w:val="none"/>
              </w:rPr>
              <w:t>12</w:t>
            </w:r>
            <w:r>
              <w:rPr>
                <w:rFonts w:ascii="Times New Roman" w:hAnsi="Times New Roman" w:eastAsia="宋体" w:cs="Times New Roman"/>
                <w:color w:val="auto"/>
                <w:sz w:val="24"/>
                <w:szCs w:val="24"/>
                <w:highlight w:val="none"/>
                <w:lang w:val="zh-CN"/>
              </w:rPr>
              <w:t>t/a=</w:t>
            </w:r>
            <w:r>
              <w:rPr>
                <w:rFonts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rPr>
              <w:t>519</w:t>
            </w:r>
            <w:r>
              <w:rPr>
                <w:rFonts w:ascii="Times New Roman" w:hAnsi="Times New Roman" w:eastAsia="宋体" w:cs="Times New Roman"/>
                <w:color w:val="auto"/>
                <w:sz w:val="24"/>
                <w:szCs w:val="24"/>
                <w:highlight w:val="none"/>
                <w:lang w:val="zh-CN"/>
              </w:rPr>
              <w:t>t/a；根据《国家危险废物管理名录》（2021版），项目废活性炭属于HW49含有或沾染毒性危险废物的过滤吸附介质，经危废库暂存（</w:t>
            </w:r>
            <w:r>
              <w:rPr>
                <w:rFonts w:ascii="Times New Roman" w:hAnsi="Times New Roman" w:eastAsia="宋体" w:cs="Times New Roman"/>
                <w:color w:val="auto"/>
                <w:sz w:val="24"/>
                <w:szCs w:val="24"/>
                <w:highlight w:val="none"/>
              </w:rPr>
              <w:t>桶装密封</w:t>
            </w:r>
            <w:r>
              <w:rPr>
                <w:rFonts w:ascii="Times New Roman" w:hAnsi="Times New Roman" w:eastAsia="宋体" w:cs="Times New Roman"/>
                <w:color w:val="auto"/>
                <w:sz w:val="24"/>
                <w:szCs w:val="24"/>
                <w:highlight w:val="none"/>
                <w:lang w:val="zh-CN"/>
              </w:rPr>
              <w:t>）后委托资质单位处置，</w:t>
            </w:r>
            <w:r>
              <w:rPr>
                <w:rFonts w:ascii="Times New Roman" w:hAnsi="Times New Roman" w:eastAsia="宋体" w:cs="Times New Roman"/>
                <w:color w:val="auto"/>
                <w:sz w:val="24"/>
                <w:szCs w:val="24"/>
                <w:highlight w:val="none"/>
              </w:rPr>
              <w:t>废物代码900-0</w:t>
            </w:r>
            <w:r>
              <w:rPr>
                <w:rFonts w:hint="eastAsia" w:ascii="Times New Roman" w:hAnsi="Times New Roman" w:eastAsia="宋体" w:cs="Times New Roman"/>
                <w:color w:val="auto"/>
                <w:sz w:val="24"/>
                <w:szCs w:val="24"/>
                <w:highlight w:val="none"/>
                <w:lang w:val="en-US" w:eastAsia="zh-CN"/>
              </w:rPr>
              <w:t>39</w:t>
            </w:r>
            <w:r>
              <w:rPr>
                <w:rFonts w:ascii="Times New Roman" w:hAnsi="Times New Roman" w:eastAsia="宋体" w:cs="Times New Roman"/>
                <w:color w:val="auto"/>
                <w:sz w:val="24"/>
                <w:szCs w:val="24"/>
                <w:highlight w:val="none"/>
              </w:rPr>
              <w:t>-49</w:t>
            </w:r>
            <w:r>
              <w:rPr>
                <w:rFonts w:ascii="Times New Roman" w:hAnsi="Times New Roman" w:eastAsia="宋体" w:cs="Times New Roman"/>
                <w:color w:val="auto"/>
                <w:sz w:val="24"/>
                <w:szCs w:val="24"/>
                <w:highlight w:val="none"/>
                <w:lang w:val="zh-CN"/>
              </w:rPr>
              <w:t>。</w:t>
            </w:r>
          </w:p>
          <w:p w14:paraId="20878395">
            <w:pPr>
              <w:spacing w:line="360" w:lineRule="auto"/>
              <w:ind w:firstLine="482" w:firstLineChars="200"/>
              <w:jc w:val="left"/>
              <w:rPr>
                <w:rFonts w:ascii="Times New Roman" w:hAnsi="Times New Roman" w:eastAsia="宋体" w:cs="Times New Roman"/>
                <w:b/>
                <w:bCs/>
                <w:color w:val="auto"/>
                <w:szCs w:val="21"/>
                <w:highlight w:val="none"/>
              </w:rPr>
            </w:pPr>
            <w:r>
              <w:rPr>
                <w:rFonts w:ascii="Times New Roman" w:hAnsi="Times New Roman" w:eastAsia="宋体" w:cs="Times New Roman"/>
                <w:b/>
                <w:color w:val="auto"/>
                <w:sz w:val="24"/>
                <w:szCs w:val="24"/>
                <w:highlight w:val="none"/>
              </w:rPr>
              <w:t>（3）生活垃圾</w:t>
            </w:r>
          </w:p>
          <w:p w14:paraId="40F13628">
            <w:pPr>
              <w:spacing w:line="360" w:lineRule="auto"/>
              <w:ind w:firstLine="470" w:firstLineChars="196"/>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本项目劳动定员45人，</w:t>
            </w:r>
            <w:r>
              <w:rPr>
                <w:rFonts w:ascii="Times New Roman" w:hAnsi="Times New Roman" w:eastAsia="宋体" w:cs="Times New Roman"/>
                <w:color w:val="auto"/>
                <w:kern w:val="0"/>
                <w:sz w:val="24"/>
                <w:szCs w:val="24"/>
                <w:highlight w:val="none"/>
              </w:rPr>
              <w:t>员工每人每日排放生活垃圾按0.5kg计，</w:t>
            </w:r>
            <w:r>
              <w:rPr>
                <w:rFonts w:ascii="Times New Roman" w:hAnsi="Times New Roman" w:eastAsia="宋体" w:cs="Times New Roman"/>
                <w:color w:val="auto"/>
                <w:sz w:val="24"/>
                <w:szCs w:val="24"/>
                <w:highlight w:val="none"/>
              </w:rPr>
              <w:t>则生活垃圾产生量为6.75t/a，集中收集后由当地环卫部门统一清运。</w:t>
            </w:r>
          </w:p>
          <w:p w14:paraId="7A3C3712">
            <w:pPr>
              <w:spacing w:line="360" w:lineRule="auto"/>
              <w:ind w:firstLine="470" w:firstLineChars="196"/>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本项目固体废物产生情况见下表。</w:t>
            </w:r>
          </w:p>
          <w:p w14:paraId="567A96FA">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表4-11  固体废物汇总表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63"/>
              <w:gridCol w:w="1010"/>
              <w:gridCol w:w="1118"/>
              <w:gridCol w:w="1110"/>
              <w:gridCol w:w="721"/>
              <w:gridCol w:w="723"/>
              <w:gridCol w:w="724"/>
              <w:gridCol w:w="1831"/>
            </w:tblGrid>
            <w:tr w14:paraId="4BE0D72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8" w:space="0"/>
                    <w:left w:val="nil"/>
                    <w:bottom w:val="single" w:color="auto" w:sz="4" w:space="0"/>
                    <w:right w:val="single" w:color="auto" w:sz="4" w:space="0"/>
                  </w:tcBorders>
                  <w:vAlign w:val="center"/>
                </w:tcPr>
                <w:p w14:paraId="4AEBAD7F">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序号</w:t>
                  </w:r>
                </w:p>
              </w:tc>
              <w:tc>
                <w:tcPr>
                  <w:tcW w:w="639" w:type="pct"/>
                  <w:tcBorders>
                    <w:top w:val="single" w:color="auto" w:sz="8" w:space="0"/>
                    <w:left w:val="single" w:color="auto" w:sz="4" w:space="0"/>
                    <w:bottom w:val="single" w:color="auto" w:sz="4" w:space="0"/>
                    <w:right w:val="single" w:color="auto" w:sz="4" w:space="0"/>
                  </w:tcBorders>
                  <w:vAlign w:val="center"/>
                </w:tcPr>
                <w:p w14:paraId="1C0905F6">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类别</w:t>
                  </w:r>
                </w:p>
              </w:tc>
              <w:tc>
                <w:tcPr>
                  <w:tcW w:w="707" w:type="pct"/>
                  <w:tcBorders>
                    <w:top w:val="single" w:color="auto" w:sz="8" w:space="0"/>
                    <w:left w:val="single" w:color="auto" w:sz="4" w:space="0"/>
                    <w:bottom w:val="single" w:color="auto" w:sz="4" w:space="0"/>
                    <w:right w:val="single" w:color="auto" w:sz="4" w:space="0"/>
                  </w:tcBorders>
                  <w:vAlign w:val="center"/>
                </w:tcPr>
                <w:p w14:paraId="441C05D2">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产生量</w:t>
                  </w:r>
                </w:p>
              </w:tc>
              <w:tc>
                <w:tcPr>
                  <w:tcW w:w="702" w:type="pct"/>
                  <w:tcBorders>
                    <w:top w:val="single" w:color="auto" w:sz="8" w:space="0"/>
                    <w:left w:val="single" w:color="auto" w:sz="4" w:space="0"/>
                    <w:bottom w:val="single" w:color="auto" w:sz="4" w:space="0"/>
                    <w:right w:val="single" w:color="auto" w:sz="4" w:space="0"/>
                  </w:tcBorders>
                  <w:vAlign w:val="center"/>
                </w:tcPr>
                <w:p w14:paraId="73879CC2">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产生工序</w:t>
                  </w:r>
                </w:p>
              </w:tc>
              <w:tc>
                <w:tcPr>
                  <w:tcW w:w="456" w:type="pct"/>
                  <w:tcBorders>
                    <w:top w:val="single" w:color="auto" w:sz="8" w:space="0"/>
                    <w:left w:val="single" w:color="auto" w:sz="4" w:space="0"/>
                    <w:bottom w:val="single" w:color="auto" w:sz="4" w:space="0"/>
                    <w:right w:val="single" w:color="auto" w:sz="4" w:space="0"/>
                  </w:tcBorders>
                  <w:vAlign w:val="center"/>
                </w:tcPr>
                <w:p w14:paraId="43F1681C">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形态</w:t>
                  </w:r>
                </w:p>
              </w:tc>
              <w:tc>
                <w:tcPr>
                  <w:tcW w:w="457" w:type="pct"/>
                  <w:tcBorders>
                    <w:top w:val="single" w:color="auto" w:sz="8" w:space="0"/>
                    <w:left w:val="single" w:color="auto" w:sz="4" w:space="0"/>
                    <w:bottom w:val="single" w:color="auto" w:sz="4" w:space="0"/>
                    <w:right w:val="single" w:color="auto" w:sz="4" w:space="0"/>
                  </w:tcBorders>
                  <w:vAlign w:val="center"/>
                </w:tcPr>
                <w:p w14:paraId="64BBBEE9">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主要成分</w:t>
                  </w:r>
                </w:p>
              </w:tc>
              <w:tc>
                <w:tcPr>
                  <w:tcW w:w="458" w:type="pct"/>
                  <w:tcBorders>
                    <w:top w:val="single" w:color="auto" w:sz="8" w:space="0"/>
                    <w:left w:val="single" w:color="auto" w:sz="4" w:space="0"/>
                    <w:bottom w:val="single" w:color="auto" w:sz="4" w:space="0"/>
                    <w:right w:val="single" w:color="auto" w:sz="4" w:space="0"/>
                  </w:tcBorders>
                  <w:vAlign w:val="center"/>
                </w:tcPr>
                <w:p w14:paraId="6ADE0247">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性质</w:t>
                  </w:r>
                </w:p>
              </w:tc>
              <w:tc>
                <w:tcPr>
                  <w:tcW w:w="1158" w:type="pct"/>
                  <w:tcBorders>
                    <w:top w:val="single" w:color="auto" w:sz="8" w:space="0"/>
                    <w:left w:val="single" w:color="auto" w:sz="4" w:space="0"/>
                    <w:bottom w:val="single" w:color="auto" w:sz="4" w:space="0"/>
                    <w:right w:val="nil"/>
                  </w:tcBorders>
                  <w:vAlign w:val="center"/>
                </w:tcPr>
                <w:p w14:paraId="4DE47EF6">
                  <w:pPr>
                    <w:pStyle w:val="37"/>
                    <w:snapToGrid w:val="0"/>
                    <w:spacing w:line="276" w:lineRule="auto"/>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处理方式</w:t>
                  </w:r>
                </w:p>
              </w:tc>
            </w:tr>
            <w:tr w14:paraId="3BA665C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419" w:type="pct"/>
                  <w:tcBorders>
                    <w:top w:val="single" w:color="auto" w:sz="4" w:space="0"/>
                    <w:left w:val="nil"/>
                    <w:bottom w:val="single" w:color="auto" w:sz="4" w:space="0"/>
                    <w:right w:val="single" w:color="auto" w:sz="4" w:space="0"/>
                  </w:tcBorders>
                  <w:vAlign w:val="center"/>
                </w:tcPr>
                <w:p w14:paraId="790FD38F">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1</w:t>
                  </w:r>
                </w:p>
              </w:tc>
              <w:tc>
                <w:tcPr>
                  <w:tcW w:w="639" w:type="pct"/>
                  <w:tcBorders>
                    <w:top w:val="single" w:color="auto" w:sz="4" w:space="0"/>
                    <w:left w:val="single" w:color="auto" w:sz="4" w:space="0"/>
                    <w:bottom w:val="single" w:color="auto" w:sz="4" w:space="0"/>
                    <w:right w:val="single" w:color="auto" w:sz="4" w:space="0"/>
                  </w:tcBorders>
                  <w:vAlign w:val="center"/>
                </w:tcPr>
                <w:p w14:paraId="20E543C0">
                  <w:pPr>
                    <w:adjustRightInd w:val="0"/>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color w:val="auto"/>
                      <w:sz w:val="18"/>
                      <w:szCs w:val="18"/>
                      <w:highlight w:val="none"/>
                    </w:rPr>
                    <w:t>边角料</w:t>
                  </w:r>
                </w:p>
              </w:tc>
              <w:tc>
                <w:tcPr>
                  <w:tcW w:w="707" w:type="pct"/>
                  <w:tcBorders>
                    <w:top w:val="single" w:color="auto" w:sz="4" w:space="0"/>
                    <w:left w:val="single" w:color="auto" w:sz="4" w:space="0"/>
                    <w:bottom w:val="single" w:color="auto" w:sz="4" w:space="0"/>
                    <w:right w:val="single" w:color="auto" w:sz="4" w:space="0"/>
                  </w:tcBorders>
                  <w:vAlign w:val="center"/>
                </w:tcPr>
                <w:p w14:paraId="0C0E3100">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1t/a</w:t>
                  </w:r>
                </w:p>
              </w:tc>
              <w:tc>
                <w:tcPr>
                  <w:tcW w:w="702" w:type="pct"/>
                  <w:tcBorders>
                    <w:top w:val="single" w:color="auto" w:sz="4" w:space="0"/>
                    <w:left w:val="single" w:color="auto" w:sz="4" w:space="0"/>
                    <w:bottom w:val="single" w:color="auto" w:sz="4" w:space="0"/>
                    <w:right w:val="single" w:color="auto" w:sz="4" w:space="0"/>
                  </w:tcBorders>
                  <w:vAlign w:val="center"/>
                </w:tcPr>
                <w:p w14:paraId="0B2E9BDD">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切割</w:t>
                  </w:r>
                </w:p>
              </w:tc>
              <w:tc>
                <w:tcPr>
                  <w:tcW w:w="456" w:type="pct"/>
                  <w:tcBorders>
                    <w:top w:val="single" w:color="auto" w:sz="4" w:space="0"/>
                    <w:left w:val="single" w:color="auto" w:sz="4" w:space="0"/>
                    <w:bottom w:val="single" w:color="auto" w:sz="4" w:space="0"/>
                    <w:right w:val="single" w:color="auto" w:sz="4" w:space="0"/>
                  </w:tcBorders>
                  <w:vAlign w:val="center"/>
                </w:tcPr>
                <w:p w14:paraId="12183748">
                  <w:pPr>
                    <w:pStyle w:val="37"/>
                    <w:adjustRightInd w:val="0"/>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7E5649A4">
                  <w:pPr>
                    <w:pStyle w:val="37"/>
                    <w:adjustRightInd w:val="0"/>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钢材</w:t>
                  </w:r>
                </w:p>
              </w:tc>
              <w:tc>
                <w:tcPr>
                  <w:tcW w:w="458" w:type="pct"/>
                  <w:vMerge w:val="restart"/>
                  <w:tcBorders>
                    <w:top w:val="single" w:color="auto" w:sz="4" w:space="0"/>
                    <w:left w:val="single" w:color="auto" w:sz="4" w:space="0"/>
                    <w:bottom w:val="single" w:color="auto" w:sz="4" w:space="0"/>
                    <w:right w:val="single" w:color="auto" w:sz="4" w:space="0"/>
                  </w:tcBorders>
                  <w:vAlign w:val="center"/>
                </w:tcPr>
                <w:p w14:paraId="453CE24D">
                  <w:pPr>
                    <w:pStyle w:val="37"/>
                    <w:adjustRightInd w:val="0"/>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一般固废</w:t>
                  </w:r>
                </w:p>
              </w:tc>
              <w:tc>
                <w:tcPr>
                  <w:tcW w:w="1158" w:type="pct"/>
                  <w:vMerge w:val="restart"/>
                  <w:tcBorders>
                    <w:top w:val="single" w:color="auto" w:sz="4" w:space="0"/>
                    <w:left w:val="single" w:color="auto" w:sz="4" w:space="0"/>
                    <w:right w:val="nil"/>
                  </w:tcBorders>
                  <w:vAlign w:val="center"/>
                </w:tcPr>
                <w:p w14:paraId="0CD957E5">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统一收集后暂存于一般固废暂存间，</w:t>
                  </w:r>
                  <w:r>
                    <w:rPr>
                      <w:rFonts w:ascii="Times New Roman" w:hAnsi="Times New Roman" w:eastAsia="宋体" w:cs="Times New Roman"/>
                      <w:bCs/>
                      <w:color w:val="auto"/>
                      <w:sz w:val="18"/>
                      <w:szCs w:val="18"/>
                      <w:highlight w:val="none"/>
                    </w:rPr>
                    <w:t>定期外售</w:t>
                  </w:r>
                </w:p>
              </w:tc>
            </w:tr>
            <w:tr w14:paraId="3D53408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31F2DC8F">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2</w:t>
                  </w:r>
                </w:p>
              </w:tc>
              <w:tc>
                <w:tcPr>
                  <w:tcW w:w="639" w:type="pct"/>
                  <w:tcBorders>
                    <w:top w:val="single" w:color="auto" w:sz="4" w:space="0"/>
                    <w:left w:val="single" w:color="auto" w:sz="4" w:space="0"/>
                    <w:bottom w:val="single" w:color="auto" w:sz="4" w:space="0"/>
                    <w:right w:val="single" w:color="auto" w:sz="4" w:space="0"/>
                  </w:tcBorders>
                  <w:vAlign w:val="center"/>
                </w:tcPr>
                <w:p w14:paraId="43146ED1">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焊渣</w:t>
                  </w:r>
                </w:p>
              </w:tc>
              <w:tc>
                <w:tcPr>
                  <w:tcW w:w="707" w:type="pct"/>
                  <w:tcBorders>
                    <w:top w:val="single" w:color="auto" w:sz="4" w:space="0"/>
                    <w:left w:val="single" w:color="auto" w:sz="4" w:space="0"/>
                    <w:bottom w:val="single" w:color="auto" w:sz="4" w:space="0"/>
                    <w:right w:val="single" w:color="auto" w:sz="4" w:space="0"/>
                  </w:tcBorders>
                  <w:vAlign w:val="center"/>
                </w:tcPr>
                <w:p w14:paraId="67E34655">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0.13</w:t>
                  </w:r>
                  <w:r>
                    <w:rPr>
                      <w:rFonts w:ascii="Times New Roman" w:hAnsi="Times New Roman" w:eastAsia="宋体" w:cs="Times New Roman"/>
                      <w:color w:val="auto"/>
                      <w:kern w:val="0"/>
                      <w:sz w:val="18"/>
                      <w:szCs w:val="18"/>
                      <w:highlight w:val="none"/>
                    </w:rPr>
                    <w:t>t/a</w:t>
                  </w:r>
                </w:p>
              </w:tc>
              <w:tc>
                <w:tcPr>
                  <w:tcW w:w="702" w:type="pct"/>
                  <w:tcBorders>
                    <w:top w:val="single" w:color="auto" w:sz="4" w:space="0"/>
                    <w:left w:val="single" w:color="auto" w:sz="4" w:space="0"/>
                    <w:bottom w:val="single" w:color="auto" w:sz="4" w:space="0"/>
                    <w:right w:val="single" w:color="auto" w:sz="4" w:space="0"/>
                  </w:tcBorders>
                  <w:vAlign w:val="center"/>
                </w:tcPr>
                <w:p w14:paraId="20BC9DCB">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废气治理</w:t>
                  </w:r>
                </w:p>
              </w:tc>
              <w:tc>
                <w:tcPr>
                  <w:tcW w:w="456" w:type="pct"/>
                  <w:tcBorders>
                    <w:top w:val="single" w:color="auto" w:sz="4" w:space="0"/>
                    <w:left w:val="single" w:color="auto" w:sz="4" w:space="0"/>
                    <w:bottom w:val="single" w:color="auto" w:sz="4" w:space="0"/>
                    <w:right w:val="single" w:color="auto" w:sz="4" w:space="0"/>
                  </w:tcBorders>
                  <w:vAlign w:val="center"/>
                </w:tcPr>
                <w:p w14:paraId="4060AAA7">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602B8E56">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焊丝</w:t>
                  </w:r>
                </w:p>
              </w:tc>
              <w:tc>
                <w:tcPr>
                  <w:tcW w:w="458" w:type="pct"/>
                  <w:vMerge w:val="continue"/>
                  <w:tcBorders>
                    <w:top w:val="single" w:color="auto" w:sz="4" w:space="0"/>
                    <w:left w:val="single" w:color="auto" w:sz="4" w:space="0"/>
                    <w:bottom w:val="single" w:color="auto" w:sz="4" w:space="0"/>
                    <w:right w:val="single" w:color="auto" w:sz="4" w:space="0"/>
                  </w:tcBorders>
                  <w:vAlign w:val="center"/>
                </w:tcPr>
                <w:p w14:paraId="3EF5F63A">
                  <w:pPr>
                    <w:pStyle w:val="37"/>
                    <w:snapToGrid w:val="0"/>
                    <w:spacing w:line="276" w:lineRule="auto"/>
                    <w:rPr>
                      <w:rFonts w:ascii="Times New Roman" w:hAnsi="Times New Roman" w:eastAsia="宋体" w:cs="Times New Roman"/>
                      <w:color w:val="auto"/>
                      <w:sz w:val="18"/>
                      <w:szCs w:val="18"/>
                      <w:highlight w:val="none"/>
                    </w:rPr>
                  </w:pPr>
                </w:p>
              </w:tc>
              <w:tc>
                <w:tcPr>
                  <w:tcW w:w="1158" w:type="pct"/>
                  <w:vMerge w:val="continue"/>
                  <w:tcBorders>
                    <w:left w:val="single" w:color="auto" w:sz="4" w:space="0"/>
                    <w:right w:val="nil"/>
                  </w:tcBorders>
                  <w:vAlign w:val="center"/>
                </w:tcPr>
                <w:p w14:paraId="64871288">
                  <w:pPr>
                    <w:pStyle w:val="37"/>
                    <w:snapToGrid w:val="0"/>
                    <w:spacing w:line="276" w:lineRule="auto"/>
                    <w:rPr>
                      <w:rFonts w:ascii="Times New Roman" w:hAnsi="Times New Roman" w:eastAsia="宋体" w:cs="Times New Roman"/>
                      <w:color w:val="auto"/>
                      <w:sz w:val="18"/>
                      <w:szCs w:val="18"/>
                      <w:highlight w:val="none"/>
                    </w:rPr>
                  </w:pPr>
                </w:p>
              </w:tc>
            </w:tr>
            <w:tr w14:paraId="02823B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07F1D9AE">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3</w:t>
                  </w:r>
                </w:p>
              </w:tc>
              <w:tc>
                <w:tcPr>
                  <w:tcW w:w="639" w:type="pct"/>
                  <w:tcBorders>
                    <w:top w:val="single" w:color="auto" w:sz="4" w:space="0"/>
                    <w:left w:val="single" w:color="auto" w:sz="4" w:space="0"/>
                    <w:bottom w:val="single" w:color="auto" w:sz="4" w:space="0"/>
                    <w:right w:val="single" w:color="auto" w:sz="4" w:space="0"/>
                  </w:tcBorders>
                  <w:vAlign w:val="center"/>
                </w:tcPr>
                <w:p w14:paraId="5FE52A1E">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废包装物</w:t>
                  </w:r>
                </w:p>
              </w:tc>
              <w:tc>
                <w:tcPr>
                  <w:tcW w:w="707" w:type="pct"/>
                  <w:tcBorders>
                    <w:top w:val="single" w:color="auto" w:sz="4" w:space="0"/>
                    <w:left w:val="single" w:color="auto" w:sz="4" w:space="0"/>
                    <w:bottom w:val="single" w:color="auto" w:sz="4" w:space="0"/>
                    <w:right w:val="single" w:color="auto" w:sz="4" w:space="0"/>
                  </w:tcBorders>
                  <w:vAlign w:val="center"/>
                </w:tcPr>
                <w:p w14:paraId="2F90F0E8">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0.05t/a</w:t>
                  </w:r>
                </w:p>
              </w:tc>
              <w:tc>
                <w:tcPr>
                  <w:tcW w:w="702" w:type="pct"/>
                  <w:tcBorders>
                    <w:top w:val="single" w:color="auto" w:sz="4" w:space="0"/>
                    <w:left w:val="single" w:color="auto" w:sz="4" w:space="0"/>
                    <w:bottom w:val="single" w:color="auto" w:sz="4" w:space="0"/>
                    <w:right w:val="single" w:color="auto" w:sz="4" w:space="0"/>
                  </w:tcBorders>
                  <w:vAlign w:val="center"/>
                </w:tcPr>
                <w:p w14:paraId="10739DF4">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包装</w:t>
                  </w:r>
                </w:p>
              </w:tc>
              <w:tc>
                <w:tcPr>
                  <w:tcW w:w="456" w:type="pct"/>
                  <w:tcBorders>
                    <w:top w:val="single" w:color="auto" w:sz="4" w:space="0"/>
                    <w:left w:val="single" w:color="auto" w:sz="4" w:space="0"/>
                    <w:bottom w:val="single" w:color="auto" w:sz="4" w:space="0"/>
                    <w:right w:val="single" w:color="auto" w:sz="4" w:space="0"/>
                  </w:tcBorders>
                  <w:vAlign w:val="center"/>
                </w:tcPr>
                <w:p w14:paraId="4366B1CB">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076455C1">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塑料、</w:t>
                  </w:r>
                  <w:r>
                    <w:rPr>
                      <w:rFonts w:hint="eastAsia" w:ascii="Times New Roman" w:hAnsi="Times New Roman" w:eastAsia="宋体" w:cs="Times New Roman"/>
                      <w:color w:val="auto"/>
                      <w:kern w:val="0"/>
                      <w:sz w:val="18"/>
                      <w:szCs w:val="18"/>
                      <w:highlight w:val="none"/>
                    </w:rPr>
                    <w:t>纸箱</w:t>
                  </w:r>
                </w:p>
              </w:tc>
              <w:tc>
                <w:tcPr>
                  <w:tcW w:w="458" w:type="pct"/>
                  <w:vMerge w:val="continue"/>
                  <w:tcBorders>
                    <w:top w:val="single" w:color="auto" w:sz="4" w:space="0"/>
                    <w:left w:val="single" w:color="auto" w:sz="4" w:space="0"/>
                    <w:bottom w:val="single" w:color="auto" w:sz="4" w:space="0"/>
                    <w:right w:val="single" w:color="auto" w:sz="4" w:space="0"/>
                  </w:tcBorders>
                  <w:vAlign w:val="center"/>
                </w:tcPr>
                <w:p w14:paraId="6445DDCC">
                  <w:pPr>
                    <w:pStyle w:val="37"/>
                    <w:snapToGrid w:val="0"/>
                    <w:spacing w:line="276" w:lineRule="auto"/>
                    <w:rPr>
                      <w:rFonts w:ascii="Times New Roman" w:hAnsi="Times New Roman" w:eastAsia="宋体" w:cs="Times New Roman"/>
                      <w:color w:val="auto"/>
                      <w:sz w:val="18"/>
                      <w:szCs w:val="18"/>
                      <w:highlight w:val="none"/>
                    </w:rPr>
                  </w:pPr>
                </w:p>
              </w:tc>
              <w:tc>
                <w:tcPr>
                  <w:tcW w:w="1158" w:type="pct"/>
                  <w:vMerge w:val="continue"/>
                  <w:tcBorders>
                    <w:left w:val="single" w:color="auto" w:sz="4" w:space="0"/>
                    <w:right w:val="nil"/>
                  </w:tcBorders>
                  <w:vAlign w:val="center"/>
                </w:tcPr>
                <w:p w14:paraId="1A0A2224">
                  <w:pPr>
                    <w:pStyle w:val="37"/>
                    <w:snapToGrid w:val="0"/>
                    <w:spacing w:line="276" w:lineRule="auto"/>
                    <w:rPr>
                      <w:rFonts w:ascii="Times New Roman" w:hAnsi="Times New Roman" w:eastAsia="宋体" w:cs="Times New Roman"/>
                      <w:color w:val="auto"/>
                      <w:sz w:val="18"/>
                      <w:szCs w:val="18"/>
                      <w:highlight w:val="none"/>
                    </w:rPr>
                  </w:pPr>
                </w:p>
              </w:tc>
            </w:tr>
            <w:tr w14:paraId="40A6AC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42F2F620">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4</w:t>
                  </w:r>
                </w:p>
              </w:tc>
              <w:tc>
                <w:tcPr>
                  <w:tcW w:w="639" w:type="pct"/>
                  <w:tcBorders>
                    <w:top w:val="single" w:color="auto" w:sz="4" w:space="0"/>
                    <w:left w:val="single" w:color="auto" w:sz="4" w:space="0"/>
                    <w:bottom w:val="single" w:color="auto" w:sz="4" w:space="0"/>
                    <w:right w:val="single" w:color="auto" w:sz="4" w:space="0"/>
                  </w:tcBorders>
                  <w:vAlign w:val="center"/>
                </w:tcPr>
                <w:p w14:paraId="72A3790B">
                  <w:pPr>
                    <w:snapToGrid w:val="0"/>
                    <w:spacing w:line="276" w:lineRule="auto"/>
                    <w:jc w:val="center"/>
                    <w:rPr>
                      <w:rFonts w:ascii="Times New Roman" w:hAnsi="Times New Roman" w:eastAsia="宋体" w:cs="Times New Roman"/>
                      <w:color w:val="auto"/>
                      <w:sz w:val="18"/>
                      <w:szCs w:val="18"/>
                      <w:highlight w:val="none"/>
                    </w:rPr>
                  </w:pPr>
                  <w:r>
                    <w:rPr>
                      <w:rFonts w:hint="eastAsia" w:ascii="Times New Roman" w:hAnsi="Times New Roman" w:eastAsia="宋体" w:cs="Times New Roman"/>
                      <w:color w:val="auto"/>
                      <w:sz w:val="18"/>
                      <w:szCs w:val="18"/>
                      <w:highlight w:val="none"/>
                    </w:rPr>
                    <w:t>废砂纸</w:t>
                  </w:r>
                </w:p>
              </w:tc>
              <w:tc>
                <w:tcPr>
                  <w:tcW w:w="707" w:type="pct"/>
                  <w:tcBorders>
                    <w:top w:val="single" w:color="auto" w:sz="4" w:space="0"/>
                    <w:left w:val="single" w:color="auto" w:sz="4" w:space="0"/>
                    <w:bottom w:val="single" w:color="auto" w:sz="4" w:space="0"/>
                    <w:right w:val="single" w:color="auto" w:sz="4" w:space="0"/>
                  </w:tcBorders>
                  <w:vAlign w:val="center"/>
                </w:tcPr>
                <w:p w14:paraId="2DA958AD">
                  <w:pPr>
                    <w:snapToGrid w:val="0"/>
                    <w:spacing w:line="276" w:lineRule="auto"/>
                    <w:jc w:val="center"/>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0.01t/a</w:t>
                  </w:r>
                </w:p>
              </w:tc>
              <w:tc>
                <w:tcPr>
                  <w:tcW w:w="702" w:type="pct"/>
                  <w:tcBorders>
                    <w:top w:val="single" w:color="auto" w:sz="4" w:space="0"/>
                    <w:left w:val="single" w:color="auto" w:sz="4" w:space="0"/>
                    <w:bottom w:val="single" w:color="auto" w:sz="4" w:space="0"/>
                    <w:right w:val="single" w:color="auto" w:sz="4" w:space="0"/>
                  </w:tcBorders>
                  <w:vAlign w:val="center"/>
                </w:tcPr>
                <w:p w14:paraId="20916205">
                  <w:pPr>
                    <w:pStyle w:val="37"/>
                    <w:snapToGrid w:val="0"/>
                    <w:spacing w:line="276" w:lineRule="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打磨</w:t>
                  </w:r>
                </w:p>
              </w:tc>
              <w:tc>
                <w:tcPr>
                  <w:tcW w:w="456" w:type="pct"/>
                  <w:tcBorders>
                    <w:top w:val="single" w:color="auto" w:sz="4" w:space="0"/>
                    <w:left w:val="single" w:color="auto" w:sz="4" w:space="0"/>
                    <w:bottom w:val="single" w:color="auto" w:sz="4" w:space="0"/>
                    <w:right w:val="single" w:color="auto" w:sz="4" w:space="0"/>
                  </w:tcBorders>
                  <w:vAlign w:val="center"/>
                </w:tcPr>
                <w:p w14:paraId="6AC5F6A1">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1EC4319B">
                  <w:pPr>
                    <w:pStyle w:val="37"/>
                    <w:snapToGrid w:val="0"/>
                    <w:spacing w:line="276" w:lineRule="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砂纸</w:t>
                  </w:r>
                </w:p>
              </w:tc>
              <w:tc>
                <w:tcPr>
                  <w:tcW w:w="458" w:type="pct"/>
                  <w:vMerge w:val="continue"/>
                  <w:tcBorders>
                    <w:top w:val="single" w:color="auto" w:sz="4" w:space="0"/>
                    <w:left w:val="single" w:color="auto" w:sz="4" w:space="0"/>
                    <w:bottom w:val="single" w:color="auto" w:sz="4" w:space="0"/>
                    <w:right w:val="single" w:color="auto" w:sz="4" w:space="0"/>
                  </w:tcBorders>
                  <w:vAlign w:val="center"/>
                </w:tcPr>
                <w:p w14:paraId="119C6BB9">
                  <w:pPr>
                    <w:pStyle w:val="37"/>
                    <w:snapToGrid w:val="0"/>
                    <w:spacing w:line="276" w:lineRule="auto"/>
                    <w:rPr>
                      <w:rFonts w:ascii="Times New Roman" w:hAnsi="Times New Roman" w:eastAsia="宋体" w:cs="Times New Roman"/>
                      <w:color w:val="auto"/>
                      <w:sz w:val="18"/>
                      <w:szCs w:val="18"/>
                      <w:highlight w:val="none"/>
                    </w:rPr>
                  </w:pPr>
                </w:p>
              </w:tc>
              <w:tc>
                <w:tcPr>
                  <w:tcW w:w="1158" w:type="pct"/>
                  <w:vMerge w:val="continue"/>
                  <w:tcBorders>
                    <w:left w:val="single" w:color="auto" w:sz="4" w:space="0"/>
                    <w:bottom w:val="single" w:color="000000" w:sz="4" w:space="0"/>
                    <w:right w:val="nil"/>
                  </w:tcBorders>
                  <w:vAlign w:val="center"/>
                </w:tcPr>
                <w:p w14:paraId="239856A0">
                  <w:pPr>
                    <w:pStyle w:val="37"/>
                    <w:snapToGrid w:val="0"/>
                    <w:spacing w:line="276" w:lineRule="auto"/>
                    <w:rPr>
                      <w:rFonts w:ascii="Times New Roman" w:hAnsi="Times New Roman" w:eastAsia="宋体" w:cs="Times New Roman"/>
                      <w:color w:val="auto"/>
                      <w:sz w:val="18"/>
                      <w:szCs w:val="18"/>
                      <w:highlight w:val="none"/>
                    </w:rPr>
                  </w:pPr>
                </w:p>
              </w:tc>
            </w:tr>
            <w:tr w14:paraId="44B335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1675B348">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5</w:t>
                  </w:r>
                </w:p>
              </w:tc>
              <w:tc>
                <w:tcPr>
                  <w:tcW w:w="639" w:type="pct"/>
                  <w:tcBorders>
                    <w:top w:val="single" w:color="auto" w:sz="4" w:space="0"/>
                    <w:left w:val="single" w:color="auto" w:sz="4" w:space="0"/>
                    <w:bottom w:val="single" w:color="auto" w:sz="4" w:space="0"/>
                    <w:right w:val="single" w:color="auto" w:sz="4" w:space="0"/>
                  </w:tcBorders>
                  <w:vAlign w:val="center"/>
                </w:tcPr>
                <w:p w14:paraId="731188C9">
                  <w:pPr>
                    <w:snapToGrid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废塑粉</w:t>
                  </w:r>
                </w:p>
              </w:tc>
              <w:tc>
                <w:tcPr>
                  <w:tcW w:w="707" w:type="pct"/>
                  <w:tcBorders>
                    <w:top w:val="single" w:color="auto" w:sz="4" w:space="0"/>
                    <w:left w:val="single" w:color="auto" w:sz="4" w:space="0"/>
                    <w:bottom w:val="single" w:color="auto" w:sz="4" w:space="0"/>
                    <w:right w:val="single" w:color="auto" w:sz="4" w:space="0"/>
                  </w:tcBorders>
                  <w:vAlign w:val="center"/>
                </w:tcPr>
                <w:p w14:paraId="10F4DF73">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kern w:val="0"/>
                      <w:sz w:val="18"/>
                      <w:szCs w:val="18"/>
                      <w:highlight w:val="none"/>
                    </w:rPr>
                    <w:t>30t/a</w:t>
                  </w:r>
                </w:p>
              </w:tc>
              <w:tc>
                <w:tcPr>
                  <w:tcW w:w="702" w:type="pct"/>
                  <w:tcBorders>
                    <w:top w:val="single" w:color="auto" w:sz="4" w:space="0"/>
                    <w:left w:val="single" w:color="auto" w:sz="4" w:space="0"/>
                    <w:bottom w:val="single" w:color="auto" w:sz="4" w:space="0"/>
                    <w:right w:val="single" w:color="auto" w:sz="4" w:space="0"/>
                  </w:tcBorders>
                  <w:vAlign w:val="center"/>
                </w:tcPr>
                <w:p w14:paraId="1D62D8B6">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喷塑</w:t>
                  </w:r>
                </w:p>
              </w:tc>
              <w:tc>
                <w:tcPr>
                  <w:tcW w:w="456" w:type="pct"/>
                  <w:tcBorders>
                    <w:top w:val="single" w:color="auto" w:sz="4" w:space="0"/>
                    <w:left w:val="single" w:color="auto" w:sz="4" w:space="0"/>
                    <w:bottom w:val="single" w:color="auto" w:sz="4" w:space="0"/>
                    <w:right w:val="single" w:color="auto" w:sz="4" w:space="0"/>
                  </w:tcBorders>
                  <w:vAlign w:val="center"/>
                </w:tcPr>
                <w:p w14:paraId="774E28CC">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23888F84">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塑粉</w:t>
                  </w:r>
                </w:p>
              </w:tc>
              <w:tc>
                <w:tcPr>
                  <w:tcW w:w="458" w:type="pct"/>
                  <w:vMerge w:val="continue"/>
                  <w:tcBorders>
                    <w:top w:val="single" w:color="auto" w:sz="4" w:space="0"/>
                    <w:left w:val="single" w:color="auto" w:sz="4" w:space="0"/>
                    <w:bottom w:val="single" w:color="auto" w:sz="4" w:space="0"/>
                    <w:right w:val="single" w:color="auto" w:sz="4" w:space="0"/>
                  </w:tcBorders>
                  <w:vAlign w:val="center"/>
                </w:tcPr>
                <w:p w14:paraId="6E100C9A">
                  <w:pPr>
                    <w:pStyle w:val="37"/>
                    <w:snapToGrid w:val="0"/>
                    <w:spacing w:line="276" w:lineRule="auto"/>
                    <w:rPr>
                      <w:rFonts w:ascii="Times New Roman" w:hAnsi="Times New Roman" w:eastAsia="宋体" w:cs="Times New Roman"/>
                      <w:color w:val="auto"/>
                      <w:sz w:val="18"/>
                      <w:szCs w:val="18"/>
                      <w:highlight w:val="none"/>
                    </w:rPr>
                  </w:pPr>
                </w:p>
              </w:tc>
              <w:tc>
                <w:tcPr>
                  <w:tcW w:w="1158" w:type="pct"/>
                  <w:tcBorders>
                    <w:top w:val="single" w:color="000000" w:sz="4" w:space="0"/>
                    <w:left w:val="single" w:color="auto" w:sz="4" w:space="0"/>
                    <w:right w:val="nil"/>
                  </w:tcBorders>
                  <w:vAlign w:val="center"/>
                </w:tcPr>
                <w:p w14:paraId="51F6745E">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回用于生产</w:t>
                  </w:r>
                </w:p>
              </w:tc>
            </w:tr>
            <w:tr w14:paraId="08CE928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5B63FF70">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6</w:t>
                  </w:r>
                </w:p>
              </w:tc>
              <w:tc>
                <w:tcPr>
                  <w:tcW w:w="639" w:type="pct"/>
                  <w:tcBorders>
                    <w:top w:val="single" w:color="auto" w:sz="4" w:space="0"/>
                    <w:left w:val="single" w:color="auto" w:sz="4" w:space="0"/>
                    <w:bottom w:val="single" w:color="auto" w:sz="4" w:space="0"/>
                    <w:right w:val="single" w:color="auto" w:sz="4" w:space="0"/>
                  </w:tcBorders>
                  <w:vAlign w:val="center"/>
                </w:tcPr>
                <w:p w14:paraId="56654D2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废机油</w:t>
                  </w:r>
                </w:p>
              </w:tc>
              <w:tc>
                <w:tcPr>
                  <w:tcW w:w="707" w:type="pct"/>
                  <w:tcBorders>
                    <w:top w:val="single" w:color="auto" w:sz="4" w:space="0"/>
                    <w:left w:val="single" w:color="auto" w:sz="4" w:space="0"/>
                    <w:bottom w:val="single" w:color="auto" w:sz="4" w:space="0"/>
                    <w:right w:val="single" w:color="auto" w:sz="4" w:space="0"/>
                  </w:tcBorders>
                  <w:vAlign w:val="center"/>
                </w:tcPr>
                <w:p w14:paraId="05B2115C">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0.5</w:t>
                  </w:r>
                  <w:r>
                    <w:rPr>
                      <w:rFonts w:ascii="Times New Roman" w:hAnsi="Times New Roman" w:eastAsia="宋体" w:cs="Times New Roman"/>
                      <w:color w:val="auto"/>
                      <w:kern w:val="0"/>
                      <w:sz w:val="18"/>
                      <w:szCs w:val="18"/>
                      <w:highlight w:val="none"/>
                    </w:rPr>
                    <w:t>t/a</w:t>
                  </w:r>
                </w:p>
              </w:tc>
              <w:tc>
                <w:tcPr>
                  <w:tcW w:w="702" w:type="pct"/>
                  <w:tcBorders>
                    <w:top w:val="single" w:color="auto" w:sz="4" w:space="0"/>
                    <w:left w:val="single" w:color="auto" w:sz="4" w:space="0"/>
                    <w:bottom w:val="single" w:color="auto" w:sz="4" w:space="0"/>
                    <w:right w:val="single" w:color="auto" w:sz="4" w:space="0"/>
                  </w:tcBorders>
                  <w:vAlign w:val="center"/>
                </w:tcPr>
                <w:p w14:paraId="081886A1">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设备维修</w:t>
                  </w:r>
                </w:p>
              </w:tc>
              <w:tc>
                <w:tcPr>
                  <w:tcW w:w="456" w:type="pct"/>
                  <w:tcBorders>
                    <w:top w:val="single" w:color="auto" w:sz="4" w:space="0"/>
                    <w:left w:val="single" w:color="auto" w:sz="4" w:space="0"/>
                    <w:bottom w:val="single" w:color="auto" w:sz="4" w:space="0"/>
                    <w:right w:val="single" w:color="auto" w:sz="4" w:space="0"/>
                  </w:tcBorders>
                  <w:vAlign w:val="center"/>
                </w:tcPr>
                <w:p w14:paraId="0909EC14">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液态</w:t>
                  </w:r>
                </w:p>
              </w:tc>
              <w:tc>
                <w:tcPr>
                  <w:tcW w:w="457" w:type="pct"/>
                  <w:tcBorders>
                    <w:top w:val="single" w:color="auto" w:sz="4" w:space="0"/>
                    <w:left w:val="single" w:color="auto" w:sz="4" w:space="0"/>
                    <w:bottom w:val="single" w:color="auto" w:sz="4" w:space="0"/>
                    <w:right w:val="single" w:color="auto" w:sz="4" w:space="0"/>
                  </w:tcBorders>
                  <w:vAlign w:val="center"/>
                </w:tcPr>
                <w:p w14:paraId="7820501A">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矿物油</w:t>
                  </w:r>
                </w:p>
              </w:tc>
              <w:tc>
                <w:tcPr>
                  <w:tcW w:w="458" w:type="pct"/>
                  <w:vMerge w:val="restart"/>
                  <w:tcBorders>
                    <w:top w:val="single" w:color="auto" w:sz="4" w:space="0"/>
                    <w:left w:val="single" w:color="auto" w:sz="4" w:space="0"/>
                    <w:right w:val="single" w:color="auto" w:sz="4" w:space="0"/>
                  </w:tcBorders>
                  <w:vAlign w:val="center"/>
                </w:tcPr>
                <w:p w14:paraId="03B4837A">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危险固废</w:t>
                  </w:r>
                </w:p>
              </w:tc>
              <w:tc>
                <w:tcPr>
                  <w:tcW w:w="1158" w:type="pct"/>
                  <w:vMerge w:val="restart"/>
                  <w:tcBorders>
                    <w:top w:val="single" w:color="auto" w:sz="4" w:space="0"/>
                    <w:left w:val="single" w:color="auto" w:sz="4" w:space="0"/>
                    <w:right w:val="nil"/>
                  </w:tcBorders>
                  <w:vAlign w:val="center"/>
                </w:tcPr>
                <w:p w14:paraId="3B25F972">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暂存于危废暂存库，定期委托有资质的单位处置</w:t>
                  </w:r>
                </w:p>
              </w:tc>
            </w:tr>
            <w:tr w14:paraId="273DB1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3EB9C7FE">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7</w:t>
                  </w:r>
                </w:p>
              </w:tc>
              <w:tc>
                <w:tcPr>
                  <w:tcW w:w="639" w:type="pct"/>
                  <w:tcBorders>
                    <w:top w:val="single" w:color="auto" w:sz="4" w:space="0"/>
                    <w:left w:val="single" w:color="auto" w:sz="4" w:space="0"/>
                    <w:bottom w:val="single" w:color="auto" w:sz="4" w:space="0"/>
                    <w:right w:val="single" w:color="auto" w:sz="4" w:space="0"/>
                  </w:tcBorders>
                  <w:vAlign w:val="center"/>
                </w:tcPr>
                <w:p w14:paraId="33908EAA">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机油桶</w:t>
                  </w:r>
                </w:p>
              </w:tc>
              <w:tc>
                <w:tcPr>
                  <w:tcW w:w="707" w:type="pct"/>
                  <w:tcBorders>
                    <w:top w:val="single" w:color="auto" w:sz="4" w:space="0"/>
                    <w:left w:val="single" w:color="auto" w:sz="4" w:space="0"/>
                    <w:bottom w:val="single" w:color="auto" w:sz="4" w:space="0"/>
                    <w:right w:val="single" w:color="auto" w:sz="4" w:space="0"/>
                  </w:tcBorders>
                  <w:vAlign w:val="center"/>
                </w:tcPr>
                <w:p w14:paraId="04569F91">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0.03t/a</w:t>
                  </w:r>
                </w:p>
              </w:tc>
              <w:tc>
                <w:tcPr>
                  <w:tcW w:w="702" w:type="pct"/>
                  <w:tcBorders>
                    <w:top w:val="single" w:color="auto" w:sz="4" w:space="0"/>
                    <w:left w:val="single" w:color="auto" w:sz="4" w:space="0"/>
                    <w:bottom w:val="single" w:color="auto" w:sz="4" w:space="0"/>
                    <w:right w:val="single" w:color="auto" w:sz="4" w:space="0"/>
                  </w:tcBorders>
                  <w:vAlign w:val="center"/>
                </w:tcPr>
                <w:p w14:paraId="27E60D34">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包装</w:t>
                  </w:r>
                </w:p>
              </w:tc>
              <w:tc>
                <w:tcPr>
                  <w:tcW w:w="456" w:type="pct"/>
                  <w:tcBorders>
                    <w:top w:val="single" w:color="auto" w:sz="4" w:space="0"/>
                    <w:left w:val="single" w:color="auto" w:sz="4" w:space="0"/>
                    <w:bottom w:val="single" w:color="auto" w:sz="4" w:space="0"/>
                    <w:right w:val="single" w:color="auto" w:sz="4" w:space="0"/>
                  </w:tcBorders>
                  <w:vAlign w:val="center"/>
                </w:tcPr>
                <w:p w14:paraId="09C5BFF6">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228E81EC">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包装桶</w:t>
                  </w:r>
                </w:p>
              </w:tc>
              <w:tc>
                <w:tcPr>
                  <w:tcW w:w="458" w:type="pct"/>
                  <w:vMerge w:val="continue"/>
                  <w:tcBorders>
                    <w:left w:val="single" w:color="auto" w:sz="4" w:space="0"/>
                    <w:right w:val="single" w:color="auto" w:sz="4" w:space="0"/>
                  </w:tcBorders>
                  <w:vAlign w:val="center"/>
                </w:tcPr>
                <w:p w14:paraId="6C68A3EB">
                  <w:pPr>
                    <w:pStyle w:val="37"/>
                    <w:snapToGrid w:val="0"/>
                    <w:spacing w:line="276" w:lineRule="auto"/>
                    <w:rPr>
                      <w:rFonts w:ascii="Times New Roman" w:hAnsi="Times New Roman" w:eastAsia="宋体" w:cs="Times New Roman"/>
                      <w:color w:val="auto"/>
                      <w:sz w:val="18"/>
                      <w:szCs w:val="18"/>
                      <w:highlight w:val="none"/>
                    </w:rPr>
                  </w:pPr>
                </w:p>
              </w:tc>
              <w:tc>
                <w:tcPr>
                  <w:tcW w:w="1158" w:type="pct"/>
                  <w:vMerge w:val="continue"/>
                  <w:tcBorders>
                    <w:left w:val="single" w:color="auto" w:sz="4" w:space="0"/>
                    <w:right w:val="nil"/>
                  </w:tcBorders>
                  <w:vAlign w:val="center"/>
                </w:tcPr>
                <w:p w14:paraId="1F032CC9">
                  <w:pPr>
                    <w:pStyle w:val="37"/>
                    <w:snapToGrid w:val="0"/>
                    <w:spacing w:line="276" w:lineRule="auto"/>
                    <w:rPr>
                      <w:rFonts w:ascii="Times New Roman" w:hAnsi="Times New Roman" w:eastAsia="宋体" w:cs="Times New Roman"/>
                      <w:color w:val="auto"/>
                      <w:sz w:val="18"/>
                      <w:szCs w:val="18"/>
                      <w:highlight w:val="none"/>
                    </w:rPr>
                  </w:pPr>
                </w:p>
              </w:tc>
            </w:tr>
            <w:tr w14:paraId="72081AC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4" w:space="0"/>
                    <w:right w:val="single" w:color="auto" w:sz="4" w:space="0"/>
                  </w:tcBorders>
                  <w:vAlign w:val="center"/>
                </w:tcPr>
                <w:p w14:paraId="754F45AE">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8</w:t>
                  </w:r>
                </w:p>
              </w:tc>
              <w:tc>
                <w:tcPr>
                  <w:tcW w:w="639" w:type="pct"/>
                  <w:tcBorders>
                    <w:top w:val="single" w:color="auto" w:sz="4" w:space="0"/>
                    <w:left w:val="single" w:color="auto" w:sz="4" w:space="0"/>
                    <w:bottom w:val="single" w:color="auto" w:sz="4" w:space="0"/>
                    <w:right w:val="single" w:color="auto" w:sz="4" w:space="0"/>
                  </w:tcBorders>
                  <w:vAlign w:val="center"/>
                </w:tcPr>
                <w:p w14:paraId="6F4AC1A4">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废活性炭</w:t>
                  </w:r>
                </w:p>
              </w:tc>
              <w:tc>
                <w:tcPr>
                  <w:tcW w:w="707" w:type="pct"/>
                  <w:tcBorders>
                    <w:top w:val="single" w:color="auto" w:sz="4" w:space="0"/>
                    <w:left w:val="single" w:color="auto" w:sz="4" w:space="0"/>
                    <w:bottom w:val="single" w:color="auto" w:sz="4" w:space="0"/>
                    <w:right w:val="single" w:color="auto" w:sz="4" w:space="0"/>
                  </w:tcBorders>
                  <w:vAlign w:val="center"/>
                </w:tcPr>
                <w:p w14:paraId="50CE140B">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0.5</w:t>
                  </w:r>
                  <w:r>
                    <w:rPr>
                      <w:rFonts w:hint="eastAsia" w:ascii="Times New Roman" w:hAnsi="Times New Roman" w:eastAsia="宋体" w:cs="Times New Roman"/>
                      <w:color w:val="auto"/>
                      <w:sz w:val="18"/>
                      <w:szCs w:val="18"/>
                      <w:highlight w:val="none"/>
                    </w:rPr>
                    <w:t>19</w:t>
                  </w:r>
                  <w:r>
                    <w:rPr>
                      <w:rFonts w:ascii="Times New Roman" w:hAnsi="Times New Roman" w:eastAsia="宋体" w:cs="Times New Roman"/>
                      <w:color w:val="auto"/>
                      <w:sz w:val="18"/>
                      <w:szCs w:val="18"/>
                      <w:highlight w:val="none"/>
                    </w:rPr>
                    <w:t>t/a</w:t>
                  </w:r>
                </w:p>
              </w:tc>
              <w:tc>
                <w:tcPr>
                  <w:tcW w:w="702" w:type="pct"/>
                  <w:tcBorders>
                    <w:top w:val="single" w:color="auto" w:sz="4" w:space="0"/>
                    <w:left w:val="single" w:color="auto" w:sz="4" w:space="0"/>
                    <w:bottom w:val="single" w:color="auto" w:sz="4" w:space="0"/>
                    <w:right w:val="single" w:color="auto" w:sz="4" w:space="0"/>
                  </w:tcBorders>
                  <w:vAlign w:val="center"/>
                </w:tcPr>
                <w:p w14:paraId="6EB12EE5">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废气处理</w:t>
                  </w:r>
                </w:p>
              </w:tc>
              <w:tc>
                <w:tcPr>
                  <w:tcW w:w="456" w:type="pct"/>
                  <w:tcBorders>
                    <w:top w:val="single" w:color="auto" w:sz="4" w:space="0"/>
                    <w:left w:val="single" w:color="auto" w:sz="4" w:space="0"/>
                    <w:bottom w:val="single" w:color="auto" w:sz="4" w:space="0"/>
                    <w:right w:val="single" w:color="auto" w:sz="4" w:space="0"/>
                  </w:tcBorders>
                  <w:vAlign w:val="center"/>
                </w:tcPr>
                <w:p w14:paraId="057F6CC9">
                  <w:pPr>
                    <w:pStyle w:val="37"/>
                    <w:snapToGrid w:val="0"/>
                    <w:spacing w:line="276" w:lineRule="auto"/>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固态</w:t>
                  </w:r>
                </w:p>
              </w:tc>
              <w:tc>
                <w:tcPr>
                  <w:tcW w:w="457" w:type="pct"/>
                  <w:tcBorders>
                    <w:top w:val="single" w:color="auto" w:sz="4" w:space="0"/>
                    <w:left w:val="single" w:color="auto" w:sz="4" w:space="0"/>
                    <w:bottom w:val="single" w:color="auto" w:sz="4" w:space="0"/>
                    <w:right w:val="single" w:color="auto" w:sz="4" w:space="0"/>
                  </w:tcBorders>
                  <w:vAlign w:val="center"/>
                </w:tcPr>
                <w:p w14:paraId="6E8A45E6">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有机物</w:t>
                  </w:r>
                </w:p>
              </w:tc>
              <w:tc>
                <w:tcPr>
                  <w:tcW w:w="458" w:type="pct"/>
                  <w:vMerge w:val="continue"/>
                  <w:tcBorders>
                    <w:left w:val="single" w:color="auto" w:sz="4" w:space="0"/>
                    <w:bottom w:val="single" w:color="auto" w:sz="4" w:space="0"/>
                    <w:right w:val="single" w:color="auto" w:sz="4" w:space="0"/>
                  </w:tcBorders>
                  <w:vAlign w:val="center"/>
                </w:tcPr>
                <w:p w14:paraId="26651B68">
                  <w:pPr>
                    <w:pStyle w:val="37"/>
                    <w:snapToGrid w:val="0"/>
                    <w:spacing w:line="276" w:lineRule="auto"/>
                    <w:rPr>
                      <w:rFonts w:ascii="Times New Roman" w:hAnsi="Times New Roman" w:eastAsia="宋体" w:cs="Times New Roman"/>
                      <w:color w:val="auto"/>
                      <w:sz w:val="18"/>
                      <w:szCs w:val="18"/>
                      <w:highlight w:val="none"/>
                    </w:rPr>
                  </w:pPr>
                </w:p>
              </w:tc>
              <w:tc>
                <w:tcPr>
                  <w:tcW w:w="1158" w:type="pct"/>
                  <w:vMerge w:val="continue"/>
                  <w:tcBorders>
                    <w:left w:val="single" w:color="auto" w:sz="4" w:space="0"/>
                    <w:bottom w:val="single" w:color="auto" w:sz="4" w:space="0"/>
                    <w:right w:val="nil"/>
                  </w:tcBorders>
                  <w:vAlign w:val="center"/>
                </w:tcPr>
                <w:p w14:paraId="38EDB0CD">
                  <w:pPr>
                    <w:pStyle w:val="37"/>
                    <w:snapToGrid w:val="0"/>
                    <w:spacing w:line="276" w:lineRule="auto"/>
                    <w:rPr>
                      <w:rFonts w:ascii="Times New Roman" w:hAnsi="Times New Roman" w:eastAsia="宋体" w:cs="Times New Roman"/>
                      <w:color w:val="auto"/>
                      <w:sz w:val="18"/>
                      <w:szCs w:val="18"/>
                      <w:highlight w:val="none"/>
                    </w:rPr>
                  </w:pPr>
                </w:p>
              </w:tc>
            </w:tr>
            <w:tr w14:paraId="288819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9" w:type="pct"/>
                  <w:tcBorders>
                    <w:top w:val="single" w:color="auto" w:sz="4" w:space="0"/>
                    <w:left w:val="nil"/>
                    <w:bottom w:val="single" w:color="auto" w:sz="8" w:space="0"/>
                    <w:right w:val="single" w:color="auto" w:sz="4" w:space="0"/>
                  </w:tcBorders>
                  <w:vAlign w:val="center"/>
                </w:tcPr>
                <w:p w14:paraId="7BB89D67">
                  <w:pPr>
                    <w:pStyle w:val="37"/>
                    <w:snapToGrid w:val="0"/>
                    <w:spacing w:line="276" w:lineRule="auto"/>
                    <w:rPr>
                      <w:rFonts w:ascii="Times New Roman" w:hAnsi="Times New Roman" w:eastAsia="宋体" w:cs="Times New Roman"/>
                      <w:color w:val="auto"/>
                      <w:kern w:val="0"/>
                      <w:sz w:val="18"/>
                      <w:szCs w:val="18"/>
                      <w:highlight w:val="none"/>
                    </w:rPr>
                  </w:pPr>
                  <w:r>
                    <w:rPr>
                      <w:rFonts w:hint="eastAsia" w:ascii="Times New Roman" w:hAnsi="Times New Roman" w:eastAsia="宋体" w:cs="Times New Roman"/>
                      <w:color w:val="auto"/>
                      <w:kern w:val="0"/>
                      <w:sz w:val="18"/>
                      <w:szCs w:val="18"/>
                      <w:highlight w:val="none"/>
                    </w:rPr>
                    <w:t>9</w:t>
                  </w:r>
                </w:p>
              </w:tc>
              <w:tc>
                <w:tcPr>
                  <w:tcW w:w="639" w:type="pct"/>
                  <w:tcBorders>
                    <w:top w:val="single" w:color="auto" w:sz="4" w:space="0"/>
                    <w:left w:val="single" w:color="auto" w:sz="4" w:space="0"/>
                    <w:bottom w:val="single" w:color="auto" w:sz="8" w:space="0"/>
                    <w:right w:val="single" w:color="auto" w:sz="4" w:space="0"/>
                  </w:tcBorders>
                  <w:vAlign w:val="center"/>
                </w:tcPr>
                <w:p w14:paraId="078957AE">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生活垃圾</w:t>
                  </w:r>
                </w:p>
              </w:tc>
              <w:tc>
                <w:tcPr>
                  <w:tcW w:w="707" w:type="pct"/>
                  <w:tcBorders>
                    <w:top w:val="single" w:color="auto" w:sz="4" w:space="0"/>
                    <w:left w:val="single" w:color="auto" w:sz="4" w:space="0"/>
                    <w:bottom w:val="single" w:color="auto" w:sz="8" w:space="0"/>
                    <w:right w:val="single" w:color="auto" w:sz="4" w:space="0"/>
                  </w:tcBorders>
                  <w:vAlign w:val="center"/>
                </w:tcPr>
                <w:p w14:paraId="1B461730">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6.75</w:t>
                  </w:r>
                  <w:r>
                    <w:rPr>
                      <w:rFonts w:ascii="Times New Roman" w:hAnsi="Times New Roman" w:eastAsia="宋体" w:cs="Times New Roman"/>
                      <w:color w:val="auto"/>
                      <w:kern w:val="0"/>
                      <w:sz w:val="18"/>
                      <w:szCs w:val="18"/>
                      <w:highlight w:val="none"/>
                    </w:rPr>
                    <w:t>t/a</w:t>
                  </w:r>
                </w:p>
              </w:tc>
              <w:tc>
                <w:tcPr>
                  <w:tcW w:w="702" w:type="pct"/>
                  <w:tcBorders>
                    <w:top w:val="single" w:color="auto" w:sz="4" w:space="0"/>
                    <w:left w:val="single" w:color="auto" w:sz="4" w:space="0"/>
                    <w:bottom w:val="single" w:color="auto" w:sz="8" w:space="0"/>
                    <w:right w:val="single" w:color="auto" w:sz="4" w:space="0"/>
                  </w:tcBorders>
                  <w:vAlign w:val="center"/>
                </w:tcPr>
                <w:p w14:paraId="3C07177A">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员工生活</w:t>
                  </w:r>
                </w:p>
              </w:tc>
              <w:tc>
                <w:tcPr>
                  <w:tcW w:w="456" w:type="pct"/>
                  <w:tcBorders>
                    <w:top w:val="single" w:color="auto" w:sz="4" w:space="0"/>
                    <w:left w:val="single" w:color="auto" w:sz="4" w:space="0"/>
                    <w:bottom w:val="single" w:color="auto" w:sz="8" w:space="0"/>
                    <w:right w:val="single" w:color="auto" w:sz="4" w:space="0"/>
                  </w:tcBorders>
                  <w:vAlign w:val="center"/>
                </w:tcPr>
                <w:p w14:paraId="4BE42A98">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sz w:val="18"/>
                      <w:szCs w:val="18"/>
                      <w:highlight w:val="none"/>
                    </w:rPr>
                    <w:t>固态</w:t>
                  </w:r>
                </w:p>
              </w:tc>
              <w:tc>
                <w:tcPr>
                  <w:tcW w:w="457" w:type="pct"/>
                  <w:tcBorders>
                    <w:top w:val="single" w:color="auto" w:sz="4" w:space="0"/>
                    <w:left w:val="single" w:color="auto" w:sz="4" w:space="0"/>
                    <w:bottom w:val="single" w:color="auto" w:sz="8" w:space="0"/>
                    <w:right w:val="single" w:color="auto" w:sz="4" w:space="0"/>
                  </w:tcBorders>
                  <w:vAlign w:val="center"/>
                </w:tcPr>
                <w:p w14:paraId="5B5CC946">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w:t>
                  </w:r>
                </w:p>
              </w:tc>
              <w:tc>
                <w:tcPr>
                  <w:tcW w:w="458" w:type="pct"/>
                  <w:tcBorders>
                    <w:top w:val="single" w:color="auto" w:sz="4" w:space="0"/>
                    <w:left w:val="single" w:color="auto" w:sz="4" w:space="0"/>
                    <w:bottom w:val="single" w:color="auto" w:sz="8" w:space="0"/>
                    <w:right w:val="single" w:color="auto" w:sz="4" w:space="0"/>
                  </w:tcBorders>
                  <w:vAlign w:val="center"/>
                </w:tcPr>
                <w:p w14:paraId="71BD900A">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w:t>
                  </w:r>
                </w:p>
              </w:tc>
              <w:tc>
                <w:tcPr>
                  <w:tcW w:w="1158" w:type="pct"/>
                  <w:tcBorders>
                    <w:top w:val="single" w:color="auto" w:sz="4" w:space="0"/>
                    <w:left w:val="single" w:color="auto" w:sz="4" w:space="0"/>
                    <w:bottom w:val="single" w:color="auto" w:sz="8" w:space="0"/>
                    <w:right w:val="nil"/>
                  </w:tcBorders>
                  <w:vAlign w:val="center"/>
                </w:tcPr>
                <w:p w14:paraId="5D4F91BB">
                  <w:pPr>
                    <w:pStyle w:val="37"/>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环卫部门清运</w:t>
                  </w:r>
                </w:p>
              </w:tc>
            </w:tr>
          </w:tbl>
          <w:p w14:paraId="15D464DD">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表4-12  项目危险废物汇总表</w:t>
            </w:r>
          </w:p>
          <w:tbl>
            <w:tblPr>
              <w:tblStyle w:val="18"/>
              <w:tblW w:w="4996"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492"/>
              <w:gridCol w:w="862"/>
              <w:gridCol w:w="882"/>
              <w:gridCol w:w="1119"/>
              <w:gridCol w:w="835"/>
              <w:gridCol w:w="1216"/>
              <w:gridCol w:w="602"/>
              <w:gridCol w:w="968"/>
              <w:gridCol w:w="924"/>
            </w:tblGrid>
            <w:tr w14:paraId="09F7669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 w:type="pct"/>
                  <w:tcBorders>
                    <w:top w:val="single" w:color="auto" w:sz="8" w:space="0"/>
                    <w:bottom w:val="single" w:color="auto" w:sz="4" w:space="0"/>
                    <w:right w:val="single" w:color="auto" w:sz="4" w:space="0"/>
                  </w:tcBorders>
                  <w:vAlign w:val="center"/>
                </w:tcPr>
                <w:p w14:paraId="43958840">
                  <w:pPr>
                    <w:pStyle w:val="44"/>
                    <w:spacing w:before="0" w:line="276" w:lineRule="auto"/>
                    <w:rPr>
                      <w:rFonts w:cs="Times New Roman"/>
                      <w:b/>
                      <w:bCs/>
                      <w:color w:val="auto"/>
                      <w:szCs w:val="18"/>
                      <w:highlight w:val="none"/>
                    </w:rPr>
                  </w:pPr>
                  <w:r>
                    <w:rPr>
                      <w:rFonts w:cs="Times New Roman"/>
                      <w:b/>
                      <w:bCs/>
                      <w:color w:val="auto"/>
                      <w:szCs w:val="18"/>
                      <w:highlight w:val="none"/>
                    </w:rPr>
                    <w:t>序号</w:t>
                  </w:r>
                </w:p>
              </w:tc>
              <w:tc>
                <w:tcPr>
                  <w:tcW w:w="545" w:type="pct"/>
                  <w:tcBorders>
                    <w:top w:val="single" w:color="auto" w:sz="8" w:space="0"/>
                    <w:left w:val="single" w:color="auto" w:sz="4" w:space="0"/>
                    <w:bottom w:val="single" w:color="auto" w:sz="4" w:space="0"/>
                    <w:right w:val="single" w:color="auto" w:sz="4" w:space="0"/>
                  </w:tcBorders>
                  <w:vAlign w:val="center"/>
                </w:tcPr>
                <w:p w14:paraId="372B198E">
                  <w:pPr>
                    <w:pStyle w:val="44"/>
                    <w:spacing w:before="0" w:line="276" w:lineRule="auto"/>
                    <w:rPr>
                      <w:rFonts w:cs="Times New Roman"/>
                      <w:b/>
                      <w:bCs/>
                      <w:color w:val="auto"/>
                      <w:szCs w:val="18"/>
                      <w:highlight w:val="none"/>
                    </w:rPr>
                  </w:pPr>
                  <w:r>
                    <w:rPr>
                      <w:rFonts w:cs="Times New Roman"/>
                      <w:b/>
                      <w:bCs/>
                      <w:color w:val="auto"/>
                      <w:szCs w:val="18"/>
                      <w:highlight w:val="none"/>
                    </w:rPr>
                    <w:t>危险废物名称</w:t>
                  </w:r>
                </w:p>
              </w:tc>
              <w:tc>
                <w:tcPr>
                  <w:tcW w:w="558" w:type="pct"/>
                  <w:tcBorders>
                    <w:top w:val="single" w:color="auto" w:sz="8" w:space="0"/>
                    <w:left w:val="single" w:color="auto" w:sz="4" w:space="0"/>
                    <w:bottom w:val="single" w:color="auto" w:sz="4" w:space="0"/>
                    <w:right w:val="single" w:color="auto" w:sz="4" w:space="0"/>
                  </w:tcBorders>
                  <w:vAlign w:val="center"/>
                </w:tcPr>
                <w:p w14:paraId="2C706D80">
                  <w:pPr>
                    <w:pStyle w:val="44"/>
                    <w:spacing w:before="0" w:line="276" w:lineRule="auto"/>
                    <w:rPr>
                      <w:rFonts w:cs="Times New Roman"/>
                      <w:b/>
                      <w:bCs/>
                      <w:color w:val="auto"/>
                      <w:szCs w:val="18"/>
                      <w:highlight w:val="none"/>
                    </w:rPr>
                  </w:pPr>
                  <w:r>
                    <w:rPr>
                      <w:rFonts w:cs="Times New Roman"/>
                      <w:b/>
                      <w:bCs/>
                      <w:color w:val="auto"/>
                      <w:szCs w:val="18"/>
                      <w:highlight w:val="none"/>
                    </w:rPr>
                    <w:t>废物</w:t>
                  </w:r>
                </w:p>
                <w:p w14:paraId="6492B54F">
                  <w:pPr>
                    <w:pStyle w:val="44"/>
                    <w:spacing w:before="0" w:line="276" w:lineRule="auto"/>
                    <w:rPr>
                      <w:rFonts w:cs="Times New Roman"/>
                      <w:b/>
                      <w:bCs/>
                      <w:color w:val="auto"/>
                      <w:szCs w:val="18"/>
                      <w:highlight w:val="none"/>
                    </w:rPr>
                  </w:pPr>
                  <w:r>
                    <w:rPr>
                      <w:rFonts w:cs="Times New Roman"/>
                      <w:b/>
                      <w:bCs/>
                      <w:color w:val="auto"/>
                      <w:szCs w:val="18"/>
                      <w:highlight w:val="none"/>
                    </w:rPr>
                    <w:t>类别</w:t>
                  </w:r>
                </w:p>
              </w:tc>
              <w:tc>
                <w:tcPr>
                  <w:tcW w:w="708" w:type="pct"/>
                  <w:tcBorders>
                    <w:top w:val="single" w:color="auto" w:sz="8" w:space="0"/>
                    <w:left w:val="single" w:color="auto" w:sz="4" w:space="0"/>
                    <w:bottom w:val="single" w:color="auto" w:sz="4" w:space="0"/>
                    <w:right w:val="single" w:color="auto" w:sz="4" w:space="0"/>
                  </w:tcBorders>
                  <w:vAlign w:val="center"/>
                </w:tcPr>
                <w:p w14:paraId="06325582">
                  <w:pPr>
                    <w:pStyle w:val="44"/>
                    <w:spacing w:before="0" w:line="276" w:lineRule="auto"/>
                    <w:rPr>
                      <w:rFonts w:cs="Times New Roman"/>
                      <w:b/>
                      <w:bCs/>
                      <w:color w:val="auto"/>
                      <w:szCs w:val="18"/>
                      <w:highlight w:val="none"/>
                    </w:rPr>
                  </w:pPr>
                  <w:r>
                    <w:rPr>
                      <w:rFonts w:cs="Times New Roman"/>
                      <w:b/>
                      <w:bCs/>
                      <w:color w:val="auto"/>
                      <w:szCs w:val="18"/>
                      <w:highlight w:val="none"/>
                    </w:rPr>
                    <w:t>废物代码</w:t>
                  </w:r>
                </w:p>
              </w:tc>
              <w:tc>
                <w:tcPr>
                  <w:tcW w:w="528" w:type="pct"/>
                  <w:tcBorders>
                    <w:top w:val="single" w:color="auto" w:sz="8" w:space="0"/>
                    <w:left w:val="single" w:color="auto" w:sz="4" w:space="0"/>
                    <w:bottom w:val="single" w:color="auto" w:sz="4" w:space="0"/>
                    <w:right w:val="single" w:color="auto" w:sz="4" w:space="0"/>
                  </w:tcBorders>
                  <w:vAlign w:val="center"/>
                </w:tcPr>
                <w:p w14:paraId="1B4BDAF0">
                  <w:pPr>
                    <w:pStyle w:val="44"/>
                    <w:spacing w:before="0" w:line="276" w:lineRule="auto"/>
                    <w:rPr>
                      <w:rFonts w:cs="Times New Roman"/>
                      <w:b/>
                      <w:bCs/>
                      <w:color w:val="auto"/>
                      <w:szCs w:val="18"/>
                      <w:highlight w:val="none"/>
                    </w:rPr>
                  </w:pPr>
                  <w:r>
                    <w:rPr>
                      <w:rFonts w:cs="Times New Roman"/>
                      <w:b/>
                      <w:bCs/>
                      <w:color w:val="auto"/>
                      <w:szCs w:val="18"/>
                      <w:highlight w:val="none"/>
                    </w:rPr>
                    <w:t>产生量</w:t>
                  </w:r>
                </w:p>
              </w:tc>
              <w:tc>
                <w:tcPr>
                  <w:tcW w:w="769" w:type="pct"/>
                  <w:tcBorders>
                    <w:top w:val="single" w:color="auto" w:sz="8" w:space="0"/>
                    <w:left w:val="single" w:color="auto" w:sz="4" w:space="0"/>
                    <w:bottom w:val="single" w:color="auto" w:sz="4" w:space="0"/>
                    <w:right w:val="single" w:color="auto" w:sz="4" w:space="0"/>
                  </w:tcBorders>
                  <w:vAlign w:val="center"/>
                </w:tcPr>
                <w:p w14:paraId="616D570A">
                  <w:pPr>
                    <w:pStyle w:val="44"/>
                    <w:spacing w:before="0" w:line="276" w:lineRule="auto"/>
                    <w:rPr>
                      <w:rFonts w:cs="Times New Roman"/>
                      <w:b/>
                      <w:bCs/>
                      <w:color w:val="auto"/>
                      <w:szCs w:val="18"/>
                      <w:highlight w:val="none"/>
                    </w:rPr>
                  </w:pPr>
                  <w:r>
                    <w:rPr>
                      <w:rFonts w:cs="Times New Roman"/>
                      <w:b/>
                      <w:bCs/>
                      <w:color w:val="auto"/>
                      <w:szCs w:val="18"/>
                      <w:highlight w:val="none"/>
                    </w:rPr>
                    <w:t>贮存场所（设施）名称</w:t>
                  </w:r>
                </w:p>
              </w:tc>
              <w:tc>
                <w:tcPr>
                  <w:tcW w:w="381" w:type="pct"/>
                  <w:tcBorders>
                    <w:top w:val="single" w:color="auto" w:sz="8" w:space="0"/>
                    <w:left w:val="single" w:color="auto" w:sz="4" w:space="0"/>
                    <w:bottom w:val="single" w:color="auto" w:sz="4" w:space="0"/>
                    <w:right w:val="single" w:color="auto" w:sz="4" w:space="0"/>
                  </w:tcBorders>
                  <w:vAlign w:val="center"/>
                </w:tcPr>
                <w:p w14:paraId="3BB9F965">
                  <w:pPr>
                    <w:pStyle w:val="44"/>
                    <w:spacing w:before="0" w:line="276" w:lineRule="auto"/>
                    <w:rPr>
                      <w:rFonts w:cs="Times New Roman"/>
                      <w:b/>
                      <w:bCs/>
                      <w:color w:val="auto"/>
                      <w:szCs w:val="18"/>
                      <w:highlight w:val="none"/>
                    </w:rPr>
                  </w:pPr>
                  <w:r>
                    <w:rPr>
                      <w:rFonts w:cs="Times New Roman"/>
                      <w:b/>
                      <w:bCs/>
                      <w:color w:val="auto"/>
                      <w:szCs w:val="18"/>
                      <w:highlight w:val="none"/>
                    </w:rPr>
                    <w:t>贮存能力</w:t>
                  </w:r>
                </w:p>
              </w:tc>
              <w:tc>
                <w:tcPr>
                  <w:tcW w:w="612" w:type="pct"/>
                  <w:tcBorders>
                    <w:top w:val="single" w:color="auto" w:sz="8" w:space="0"/>
                    <w:left w:val="single" w:color="auto" w:sz="4" w:space="0"/>
                    <w:bottom w:val="single" w:color="auto" w:sz="4" w:space="0"/>
                    <w:right w:val="single" w:color="auto" w:sz="4" w:space="0"/>
                  </w:tcBorders>
                  <w:vAlign w:val="center"/>
                </w:tcPr>
                <w:p w14:paraId="0DC997D9">
                  <w:pPr>
                    <w:pStyle w:val="44"/>
                    <w:spacing w:before="0" w:line="276" w:lineRule="auto"/>
                    <w:rPr>
                      <w:rFonts w:cs="Times New Roman"/>
                      <w:b/>
                      <w:bCs/>
                      <w:color w:val="auto"/>
                      <w:szCs w:val="18"/>
                      <w:highlight w:val="none"/>
                    </w:rPr>
                  </w:pPr>
                  <w:r>
                    <w:rPr>
                      <w:rFonts w:cs="Times New Roman"/>
                      <w:b/>
                      <w:bCs/>
                      <w:color w:val="auto"/>
                      <w:szCs w:val="18"/>
                      <w:highlight w:val="none"/>
                    </w:rPr>
                    <w:t>贮存周期</w:t>
                  </w:r>
                </w:p>
              </w:tc>
              <w:tc>
                <w:tcPr>
                  <w:tcW w:w="584" w:type="pct"/>
                  <w:tcBorders>
                    <w:top w:val="single" w:color="auto" w:sz="8" w:space="0"/>
                    <w:left w:val="single" w:color="auto" w:sz="4" w:space="0"/>
                    <w:bottom w:val="single" w:color="auto" w:sz="4" w:space="0"/>
                  </w:tcBorders>
                  <w:vAlign w:val="center"/>
                </w:tcPr>
                <w:p w14:paraId="24370936">
                  <w:pPr>
                    <w:pStyle w:val="44"/>
                    <w:spacing w:before="0" w:line="276" w:lineRule="auto"/>
                    <w:rPr>
                      <w:rFonts w:cs="Times New Roman"/>
                      <w:b/>
                      <w:bCs/>
                      <w:color w:val="auto"/>
                      <w:szCs w:val="18"/>
                      <w:highlight w:val="none"/>
                    </w:rPr>
                  </w:pPr>
                  <w:r>
                    <w:rPr>
                      <w:rFonts w:cs="Times New Roman"/>
                      <w:b/>
                      <w:bCs/>
                      <w:color w:val="auto"/>
                      <w:szCs w:val="18"/>
                      <w:highlight w:val="none"/>
                    </w:rPr>
                    <w:t>污染防治措施</w:t>
                  </w:r>
                </w:p>
              </w:tc>
            </w:tr>
            <w:tr w14:paraId="307BB96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 w:type="pct"/>
                  <w:tcBorders>
                    <w:top w:val="single" w:color="auto" w:sz="4" w:space="0"/>
                    <w:bottom w:val="single" w:color="auto" w:sz="4" w:space="0"/>
                    <w:right w:val="single" w:color="auto" w:sz="4" w:space="0"/>
                  </w:tcBorders>
                  <w:vAlign w:val="center"/>
                </w:tcPr>
                <w:p w14:paraId="4F4295F8">
                  <w:pPr>
                    <w:pStyle w:val="44"/>
                    <w:spacing w:before="0" w:line="276" w:lineRule="auto"/>
                    <w:rPr>
                      <w:rFonts w:cs="Times New Roman"/>
                      <w:color w:val="auto"/>
                      <w:szCs w:val="18"/>
                      <w:highlight w:val="none"/>
                    </w:rPr>
                  </w:pPr>
                  <w:r>
                    <w:rPr>
                      <w:rFonts w:cs="Times New Roman"/>
                      <w:color w:val="auto"/>
                      <w:szCs w:val="18"/>
                      <w:highlight w:val="none"/>
                    </w:rPr>
                    <w:t>1</w:t>
                  </w:r>
                </w:p>
              </w:tc>
              <w:tc>
                <w:tcPr>
                  <w:tcW w:w="545" w:type="pct"/>
                  <w:tcBorders>
                    <w:top w:val="single" w:color="auto" w:sz="4" w:space="0"/>
                    <w:left w:val="single" w:color="auto" w:sz="4" w:space="0"/>
                    <w:bottom w:val="single" w:color="auto" w:sz="4" w:space="0"/>
                    <w:right w:val="single" w:color="auto" w:sz="4" w:space="0"/>
                  </w:tcBorders>
                  <w:vAlign w:val="center"/>
                </w:tcPr>
                <w:p w14:paraId="2C578D7A">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废机油</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2E98D68B">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HW08</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14:paraId="465F35D8">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900-2</w:t>
                  </w:r>
                  <w:r>
                    <w:rPr>
                      <w:rFonts w:hint="eastAsia" w:ascii="Times New Roman" w:hAnsi="Times New Roman" w:eastAsia="宋体" w:cs="Times New Roman"/>
                      <w:color w:val="auto"/>
                      <w:sz w:val="18"/>
                      <w:szCs w:val="18"/>
                      <w:highlight w:val="none"/>
                      <w:lang w:val="en-US" w:eastAsia="zh-CN"/>
                    </w:rPr>
                    <w:t>14</w:t>
                  </w:r>
                  <w:r>
                    <w:rPr>
                      <w:rFonts w:ascii="Times New Roman" w:hAnsi="Times New Roman" w:eastAsia="宋体" w:cs="Times New Roman"/>
                      <w:color w:val="auto"/>
                      <w:sz w:val="18"/>
                      <w:szCs w:val="18"/>
                      <w:highlight w:val="none"/>
                    </w:rPr>
                    <w:t>-08</w:t>
                  </w:r>
                </w:p>
              </w:tc>
              <w:tc>
                <w:tcPr>
                  <w:tcW w:w="528" w:type="pct"/>
                  <w:tcBorders>
                    <w:top w:val="single" w:color="auto" w:sz="4" w:space="0"/>
                    <w:left w:val="single" w:color="auto" w:sz="4" w:space="0"/>
                    <w:bottom w:val="single" w:color="auto" w:sz="4" w:space="0"/>
                    <w:right w:val="single" w:color="auto" w:sz="4" w:space="0"/>
                  </w:tcBorders>
                  <w:vAlign w:val="center"/>
                </w:tcPr>
                <w:p w14:paraId="0370777F">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0.5</w:t>
                  </w:r>
                  <w:r>
                    <w:rPr>
                      <w:rFonts w:ascii="Times New Roman" w:hAnsi="Times New Roman" w:eastAsia="宋体" w:cs="Times New Roman"/>
                      <w:bCs/>
                      <w:color w:val="auto"/>
                      <w:sz w:val="18"/>
                      <w:szCs w:val="18"/>
                      <w:highlight w:val="none"/>
                    </w:rPr>
                    <w:t>t/a</w:t>
                  </w:r>
                </w:p>
              </w:tc>
              <w:tc>
                <w:tcPr>
                  <w:tcW w:w="769" w:type="pct"/>
                  <w:tcBorders>
                    <w:top w:val="single" w:color="auto" w:sz="4" w:space="0"/>
                    <w:left w:val="single" w:color="auto" w:sz="4" w:space="0"/>
                    <w:bottom w:val="single" w:color="auto" w:sz="4" w:space="0"/>
                    <w:right w:val="single" w:color="auto" w:sz="4" w:space="0"/>
                  </w:tcBorders>
                  <w:vAlign w:val="center"/>
                </w:tcPr>
                <w:p w14:paraId="35845C1D">
                  <w:pPr>
                    <w:pStyle w:val="44"/>
                    <w:spacing w:before="0" w:line="276" w:lineRule="auto"/>
                    <w:rPr>
                      <w:rFonts w:cs="Times New Roman"/>
                      <w:color w:val="auto"/>
                      <w:szCs w:val="18"/>
                      <w:highlight w:val="none"/>
                    </w:rPr>
                  </w:pPr>
                  <w:r>
                    <w:rPr>
                      <w:rFonts w:cs="Times New Roman"/>
                      <w:color w:val="auto"/>
                      <w:szCs w:val="18"/>
                      <w:highlight w:val="none"/>
                    </w:rPr>
                    <w:t>危废暂存库</w:t>
                  </w:r>
                </w:p>
              </w:tc>
              <w:tc>
                <w:tcPr>
                  <w:tcW w:w="381" w:type="pct"/>
                  <w:tcBorders>
                    <w:top w:val="single" w:color="auto" w:sz="4" w:space="0"/>
                    <w:left w:val="single" w:color="auto" w:sz="4" w:space="0"/>
                    <w:bottom w:val="single" w:color="auto" w:sz="4" w:space="0"/>
                    <w:right w:val="single" w:color="auto" w:sz="4" w:space="0"/>
                  </w:tcBorders>
                  <w:vAlign w:val="center"/>
                </w:tcPr>
                <w:p w14:paraId="639526B4">
                  <w:pPr>
                    <w:pStyle w:val="44"/>
                    <w:spacing w:before="0" w:line="276" w:lineRule="auto"/>
                    <w:rPr>
                      <w:rFonts w:cs="Times New Roman"/>
                      <w:color w:val="auto"/>
                      <w:szCs w:val="18"/>
                      <w:highlight w:val="none"/>
                    </w:rPr>
                  </w:pPr>
                  <w:r>
                    <w:rPr>
                      <w:rFonts w:cs="Times New Roman"/>
                      <w:color w:val="auto"/>
                      <w:szCs w:val="18"/>
                      <w:highlight w:val="none"/>
                    </w:rPr>
                    <w:t>1t</w:t>
                  </w:r>
                </w:p>
              </w:tc>
              <w:tc>
                <w:tcPr>
                  <w:tcW w:w="612" w:type="pct"/>
                  <w:tcBorders>
                    <w:top w:val="single" w:color="auto" w:sz="4" w:space="0"/>
                    <w:left w:val="single" w:color="auto" w:sz="4" w:space="0"/>
                    <w:bottom w:val="single" w:color="auto" w:sz="4" w:space="0"/>
                    <w:right w:val="single" w:color="auto" w:sz="4" w:space="0"/>
                  </w:tcBorders>
                  <w:vAlign w:val="center"/>
                </w:tcPr>
                <w:p w14:paraId="45404AC0">
                  <w:pPr>
                    <w:pStyle w:val="44"/>
                    <w:spacing w:before="0" w:line="276" w:lineRule="auto"/>
                    <w:rPr>
                      <w:rFonts w:cs="Times New Roman"/>
                      <w:color w:val="auto"/>
                      <w:szCs w:val="18"/>
                      <w:highlight w:val="none"/>
                    </w:rPr>
                  </w:pPr>
                  <w:r>
                    <w:rPr>
                      <w:rFonts w:hint="eastAsia" w:cs="Times New Roman"/>
                      <w:color w:val="auto"/>
                      <w:szCs w:val="18"/>
                      <w:highlight w:val="none"/>
                    </w:rPr>
                    <w:t>半年</w:t>
                  </w:r>
                </w:p>
              </w:tc>
              <w:tc>
                <w:tcPr>
                  <w:tcW w:w="584" w:type="pct"/>
                  <w:vMerge w:val="restart"/>
                  <w:tcBorders>
                    <w:top w:val="single" w:color="auto" w:sz="4" w:space="0"/>
                    <w:left w:val="single" w:color="auto" w:sz="4" w:space="0"/>
                    <w:bottom w:val="single" w:color="auto" w:sz="4" w:space="0"/>
                    <w:right w:val="single" w:color="auto" w:sz="4" w:space="0"/>
                  </w:tcBorders>
                  <w:vAlign w:val="center"/>
                </w:tcPr>
                <w:p w14:paraId="43C6C8A7">
                  <w:pPr>
                    <w:pStyle w:val="44"/>
                    <w:spacing w:before="0" w:line="276" w:lineRule="auto"/>
                    <w:rPr>
                      <w:rFonts w:cs="Times New Roman"/>
                      <w:color w:val="auto"/>
                      <w:szCs w:val="18"/>
                      <w:highlight w:val="none"/>
                    </w:rPr>
                  </w:pPr>
                  <w:r>
                    <w:rPr>
                      <w:rFonts w:cs="Times New Roman"/>
                      <w:color w:val="auto"/>
                      <w:szCs w:val="18"/>
                      <w:highlight w:val="none"/>
                    </w:rPr>
                    <w:t>定期委托有资质的单位处置</w:t>
                  </w:r>
                </w:p>
              </w:tc>
            </w:tr>
            <w:tr w14:paraId="19588D91">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PrEx>
              <w:trPr>
                <w:trHeight w:val="397" w:hRule="atLeast"/>
                <w:jc w:val="center"/>
              </w:trPr>
              <w:tc>
                <w:tcPr>
                  <w:tcW w:w="311" w:type="pct"/>
                  <w:tcBorders>
                    <w:top w:val="single" w:color="auto" w:sz="4" w:space="0"/>
                    <w:bottom w:val="single" w:color="auto" w:sz="4" w:space="0"/>
                    <w:right w:val="single" w:color="auto" w:sz="4" w:space="0"/>
                  </w:tcBorders>
                  <w:vAlign w:val="center"/>
                </w:tcPr>
                <w:p w14:paraId="2CECCE45">
                  <w:pPr>
                    <w:pStyle w:val="44"/>
                    <w:spacing w:before="0" w:line="276" w:lineRule="auto"/>
                    <w:rPr>
                      <w:rFonts w:cs="Times New Roman"/>
                      <w:color w:val="auto"/>
                      <w:szCs w:val="18"/>
                      <w:highlight w:val="none"/>
                    </w:rPr>
                  </w:pPr>
                  <w:r>
                    <w:rPr>
                      <w:rFonts w:cs="Times New Roman"/>
                      <w:color w:val="auto"/>
                      <w:szCs w:val="18"/>
                      <w:highlight w:val="none"/>
                    </w:rPr>
                    <w:t>2</w:t>
                  </w:r>
                </w:p>
              </w:tc>
              <w:tc>
                <w:tcPr>
                  <w:tcW w:w="545" w:type="pct"/>
                  <w:tcBorders>
                    <w:top w:val="single" w:color="auto" w:sz="4" w:space="0"/>
                    <w:left w:val="single" w:color="auto" w:sz="4" w:space="0"/>
                    <w:bottom w:val="single" w:color="auto" w:sz="4" w:space="0"/>
                    <w:right w:val="single" w:color="auto" w:sz="4" w:space="0"/>
                  </w:tcBorders>
                  <w:vAlign w:val="center"/>
                </w:tcPr>
                <w:p w14:paraId="6798E06F">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机油桶</w:t>
                  </w:r>
                </w:p>
              </w:tc>
              <w:tc>
                <w:tcPr>
                  <w:tcW w:w="558" w:type="pct"/>
                  <w:tcBorders>
                    <w:top w:val="single" w:color="auto" w:sz="4" w:space="0"/>
                    <w:left w:val="single" w:color="auto" w:sz="4" w:space="0"/>
                    <w:bottom w:val="single" w:color="auto" w:sz="4" w:space="0"/>
                    <w:right w:val="single" w:color="auto" w:sz="4" w:space="0"/>
                  </w:tcBorders>
                  <w:shd w:val="clear" w:color="auto" w:fill="auto"/>
                  <w:vAlign w:val="center"/>
                </w:tcPr>
                <w:p w14:paraId="1B640438">
                  <w:pPr>
                    <w:adjustRightInd w:val="0"/>
                    <w:snapToGrid w:val="0"/>
                    <w:spacing w:line="276" w:lineRule="auto"/>
                    <w:jc w:val="center"/>
                    <w:rPr>
                      <w:rFonts w:hint="default" w:ascii="Times New Roman" w:hAnsi="Times New Roman" w:eastAsia="宋体" w:cs="Times New Roman"/>
                      <w:color w:val="auto"/>
                      <w:sz w:val="18"/>
                      <w:szCs w:val="18"/>
                      <w:highlight w:val="none"/>
                      <w:lang w:val="en-US" w:eastAsia="zh-CN"/>
                    </w:rPr>
                  </w:pPr>
                  <w:r>
                    <w:rPr>
                      <w:rFonts w:ascii="Times New Roman" w:hAnsi="Times New Roman" w:eastAsia="宋体" w:cs="Times New Roman"/>
                      <w:color w:val="auto"/>
                      <w:sz w:val="18"/>
                      <w:szCs w:val="18"/>
                      <w:highlight w:val="none"/>
                    </w:rPr>
                    <w:t>HW</w:t>
                  </w:r>
                  <w:r>
                    <w:rPr>
                      <w:rFonts w:hint="eastAsia" w:ascii="Times New Roman" w:hAnsi="Times New Roman" w:eastAsia="宋体" w:cs="Times New Roman"/>
                      <w:color w:val="auto"/>
                      <w:sz w:val="18"/>
                      <w:szCs w:val="18"/>
                      <w:highlight w:val="none"/>
                      <w:lang w:val="en-US" w:eastAsia="zh-CN"/>
                    </w:rPr>
                    <w:t>08</w:t>
                  </w:r>
                </w:p>
              </w:tc>
              <w:tc>
                <w:tcPr>
                  <w:tcW w:w="708" w:type="pct"/>
                  <w:tcBorders>
                    <w:top w:val="single" w:color="auto" w:sz="4" w:space="0"/>
                    <w:left w:val="single" w:color="auto" w:sz="4" w:space="0"/>
                    <w:bottom w:val="single" w:color="auto" w:sz="4" w:space="0"/>
                    <w:right w:val="single" w:color="auto" w:sz="4" w:space="0"/>
                  </w:tcBorders>
                  <w:shd w:val="clear" w:color="auto" w:fill="auto"/>
                  <w:vAlign w:val="center"/>
                </w:tcPr>
                <w:p w14:paraId="6277740E">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900-249-08</w:t>
                  </w:r>
                </w:p>
              </w:tc>
              <w:tc>
                <w:tcPr>
                  <w:tcW w:w="528" w:type="pct"/>
                  <w:tcBorders>
                    <w:top w:val="single" w:color="auto" w:sz="4" w:space="0"/>
                    <w:left w:val="single" w:color="auto" w:sz="4" w:space="0"/>
                    <w:bottom w:val="single" w:color="auto" w:sz="4" w:space="0"/>
                    <w:right w:val="single" w:color="auto" w:sz="4" w:space="0"/>
                  </w:tcBorders>
                  <w:vAlign w:val="center"/>
                </w:tcPr>
                <w:p w14:paraId="24BF0797">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0.03t/a</w:t>
                  </w:r>
                </w:p>
              </w:tc>
              <w:tc>
                <w:tcPr>
                  <w:tcW w:w="769" w:type="pct"/>
                  <w:tcBorders>
                    <w:top w:val="single" w:color="auto" w:sz="4" w:space="0"/>
                    <w:left w:val="single" w:color="auto" w:sz="4" w:space="0"/>
                    <w:bottom w:val="single" w:color="auto" w:sz="4" w:space="0"/>
                    <w:right w:val="single" w:color="auto" w:sz="4" w:space="0"/>
                  </w:tcBorders>
                  <w:vAlign w:val="center"/>
                </w:tcPr>
                <w:p w14:paraId="48F6CA8A">
                  <w:pPr>
                    <w:pStyle w:val="44"/>
                    <w:spacing w:before="0" w:line="276" w:lineRule="auto"/>
                    <w:rPr>
                      <w:rFonts w:cs="Times New Roman"/>
                      <w:color w:val="auto"/>
                      <w:szCs w:val="18"/>
                      <w:highlight w:val="none"/>
                    </w:rPr>
                  </w:pPr>
                  <w:r>
                    <w:rPr>
                      <w:rFonts w:cs="Times New Roman"/>
                      <w:color w:val="auto"/>
                      <w:szCs w:val="18"/>
                      <w:highlight w:val="none"/>
                    </w:rPr>
                    <w:t>危废暂存库</w:t>
                  </w:r>
                </w:p>
              </w:tc>
              <w:tc>
                <w:tcPr>
                  <w:tcW w:w="381" w:type="pct"/>
                  <w:tcBorders>
                    <w:top w:val="single" w:color="auto" w:sz="4" w:space="0"/>
                    <w:left w:val="single" w:color="auto" w:sz="4" w:space="0"/>
                    <w:bottom w:val="single" w:color="auto" w:sz="4" w:space="0"/>
                    <w:right w:val="single" w:color="auto" w:sz="4" w:space="0"/>
                  </w:tcBorders>
                  <w:vAlign w:val="center"/>
                </w:tcPr>
                <w:p w14:paraId="5D60A7B1">
                  <w:pPr>
                    <w:pStyle w:val="44"/>
                    <w:spacing w:before="0" w:line="276" w:lineRule="auto"/>
                    <w:rPr>
                      <w:rFonts w:cs="Times New Roman"/>
                      <w:color w:val="auto"/>
                      <w:szCs w:val="18"/>
                      <w:highlight w:val="none"/>
                    </w:rPr>
                  </w:pPr>
                  <w:r>
                    <w:rPr>
                      <w:rFonts w:cs="Times New Roman"/>
                      <w:color w:val="auto"/>
                      <w:szCs w:val="18"/>
                      <w:highlight w:val="none"/>
                    </w:rPr>
                    <w:t>1t</w:t>
                  </w:r>
                </w:p>
              </w:tc>
              <w:tc>
                <w:tcPr>
                  <w:tcW w:w="612" w:type="pct"/>
                  <w:tcBorders>
                    <w:top w:val="single" w:color="auto" w:sz="4" w:space="0"/>
                    <w:left w:val="single" w:color="auto" w:sz="4" w:space="0"/>
                    <w:bottom w:val="single" w:color="auto" w:sz="4" w:space="0"/>
                    <w:right w:val="single" w:color="auto" w:sz="4" w:space="0"/>
                  </w:tcBorders>
                  <w:vAlign w:val="center"/>
                </w:tcPr>
                <w:p w14:paraId="47F52E2F">
                  <w:pPr>
                    <w:pStyle w:val="44"/>
                    <w:spacing w:before="0" w:line="276" w:lineRule="auto"/>
                    <w:rPr>
                      <w:rFonts w:cs="Times New Roman"/>
                      <w:color w:val="auto"/>
                      <w:szCs w:val="18"/>
                      <w:highlight w:val="none"/>
                    </w:rPr>
                  </w:pPr>
                  <w:r>
                    <w:rPr>
                      <w:rFonts w:hint="eastAsia" w:cs="Times New Roman"/>
                      <w:color w:val="auto"/>
                      <w:szCs w:val="18"/>
                      <w:highlight w:val="none"/>
                    </w:rPr>
                    <w:t>半年</w:t>
                  </w:r>
                </w:p>
              </w:tc>
              <w:tc>
                <w:tcPr>
                  <w:tcW w:w="584" w:type="pct"/>
                  <w:vMerge w:val="continue"/>
                  <w:tcBorders>
                    <w:top w:val="single" w:color="auto" w:sz="4" w:space="0"/>
                    <w:left w:val="single" w:color="auto" w:sz="4" w:space="0"/>
                    <w:right w:val="single" w:color="auto" w:sz="4" w:space="0"/>
                  </w:tcBorders>
                  <w:vAlign w:val="center"/>
                </w:tcPr>
                <w:p w14:paraId="1800FE9B">
                  <w:pPr>
                    <w:pStyle w:val="44"/>
                    <w:spacing w:before="0" w:line="276" w:lineRule="auto"/>
                    <w:rPr>
                      <w:rFonts w:cs="Times New Roman"/>
                      <w:color w:val="auto"/>
                      <w:szCs w:val="18"/>
                      <w:highlight w:val="none"/>
                    </w:rPr>
                  </w:pPr>
                </w:p>
              </w:tc>
            </w:tr>
            <w:tr w14:paraId="5E9663B8">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11" w:type="pct"/>
                  <w:tcBorders>
                    <w:top w:val="single" w:color="auto" w:sz="4" w:space="0"/>
                    <w:bottom w:val="single" w:color="auto" w:sz="8" w:space="0"/>
                    <w:right w:val="single" w:color="auto" w:sz="4" w:space="0"/>
                  </w:tcBorders>
                  <w:vAlign w:val="center"/>
                </w:tcPr>
                <w:p w14:paraId="4FD96651">
                  <w:pPr>
                    <w:pStyle w:val="44"/>
                    <w:spacing w:before="0" w:line="276" w:lineRule="auto"/>
                    <w:rPr>
                      <w:rFonts w:cs="Times New Roman"/>
                      <w:color w:val="auto"/>
                      <w:szCs w:val="18"/>
                      <w:highlight w:val="none"/>
                    </w:rPr>
                  </w:pPr>
                  <w:r>
                    <w:rPr>
                      <w:rFonts w:cs="Times New Roman"/>
                      <w:color w:val="auto"/>
                      <w:szCs w:val="18"/>
                      <w:highlight w:val="none"/>
                    </w:rPr>
                    <w:t>3</w:t>
                  </w:r>
                </w:p>
              </w:tc>
              <w:tc>
                <w:tcPr>
                  <w:tcW w:w="545" w:type="pct"/>
                  <w:tcBorders>
                    <w:top w:val="single" w:color="auto" w:sz="4" w:space="0"/>
                    <w:left w:val="single" w:color="auto" w:sz="4" w:space="0"/>
                    <w:bottom w:val="single" w:color="auto" w:sz="8" w:space="0"/>
                    <w:right w:val="single" w:color="auto" w:sz="4" w:space="0"/>
                  </w:tcBorders>
                  <w:vAlign w:val="center"/>
                </w:tcPr>
                <w:p w14:paraId="1753B018">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废活性炭</w:t>
                  </w:r>
                </w:p>
              </w:tc>
              <w:tc>
                <w:tcPr>
                  <w:tcW w:w="558" w:type="pct"/>
                  <w:tcBorders>
                    <w:top w:val="single" w:color="auto" w:sz="4" w:space="0"/>
                    <w:left w:val="single" w:color="auto" w:sz="4" w:space="0"/>
                    <w:bottom w:val="single" w:color="auto" w:sz="8" w:space="0"/>
                    <w:right w:val="single" w:color="auto" w:sz="4" w:space="0"/>
                  </w:tcBorders>
                  <w:shd w:val="clear" w:color="auto" w:fill="auto"/>
                  <w:vAlign w:val="center"/>
                </w:tcPr>
                <w:p w14:paraId="4774B3A6">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HW49</w:t>
                  </w:r>
                </w:p>
              </w:tc>
              <w:tc>
                <w:tcPr>
                  <w:tcW w:w="708" w:type="pct"/>
                  <w:tcBorders>
                    <w:top w:val="single" w:color="auto" w:sz="4" w:space="0"/>
                    <w:left w:val="single" w:color="auto" w:sz="4" w:space="0"/>
                    <w:bottom w:val="single" w:color="auto" w:sz="8" w:space="0"/>
                    <w:right w:val="single" w:color="auto" w:sz="4" w:space="0"/>
                  </w:tcBorders>
                  <w:shd w:val="clear" w:color="auto" w:fill="auto"/>
                  <w:vAlign w:val="center"/>
                </w:tcPr>
                <w:p w14:paraId="04B61C14">
                  <w:pPr>
                    <w:adjustRightInd w:val="0"/>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900-0</w:t>
                  </w:r>
                  <w:r>
                    <w:rPr>
                      <w:rFonts w:hint="eastAsia" w:ascii="Times New Roman" w:hAnsi="Times New Roman" w:eastAsia="宋体" w:cs="Times New Roman"/>
                      <w:color w:val="auto"/>
                      <w:sz w:val="18"/>
                      <w:szCs w:val="18"/>
                      <w:highlight w:val="none"/>
                    </w:rPr>
                    <w:t>39</w:t>
                  </w:r>
                  <w:r>
                    <w:rPr>
                      <w:rFonts w:ascii="Times New Roman" w:hAnsi="Times New Roman" w:eastAsia="宋体" w:cs="Times New Roman"/>
                      <w:color w:val="auto"/>
                      <w:sz w:val="18"/>
                      <w:szCs w:val="18"/>
                      <w:highlight w:val="none"/>
                    </w:rPr>
                    <w:t>-49</w:t>
                  </w:r>
                </w:p>
              </w:tc>
              <w:tc>
                <w:tcPr>
                  <w:tcW w:w="528" w:type="pct"/>
                  <w:tcBorders>
                    <w:top w:val="single" w:color="auto" w:sz="4" w:space="0"/>
                    <w:left w:val="single" w:color="auto" w:sz="4" w:space="0"/>
                    <w:bottom w:val="single" w:color="auto" w:sz="8" w:space="0"/>
                    <w:right w:val="single" w:color="auto" w:sz="4" w:space="0"/>
                  </w:tcBorders>
                  <w:vAlign w:val="center"/>
                </w:tcPr>
                <w:p w14:paraId="43649D4D">
                  <w:pPr>
                    <w:pStyle w:val="37"/>
                    <w:adjustRightInd w:val="0"/>
                    <w:snapToGrid w:val="0"/>
                    <w:spacing w:line="276" w:lineRule="auto"/>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0.5</w:t>
                  </w:r>
                  <w:r>
                    <w:rPr>
                      <w:rFonts w:hint="eastAsia" w:ascii="Times New Roman" w:hAnsi="Times New Roman" w:eastAsia="宋体" w:cs="Times New Roman"/>
                      <w:color w:val="auto"/>
                      <w:kern w:val="0"/>
                      <w:sz w:val="18"/>
                      <w:szCs w:val="18"/>
                      <w:highlight w:val="none"/>
                    </w:rPr>
                    <w:t>19</w:t>
                  </w:r>
                  <w:r>
                    <w:rPr>
                      <w:rFonts w:ascii="Times New Roman" w:hAnsi="Times New Roman" w:eastAsia="宋体" w:cs="Times New Roman"/>
                      <w:color w:val="auto"/>
                      <w:kern w:val="0"/>
                      <w:sz w:val="18"/>
                      <w:szCs w:val="18"/>
                      <w:highlight w:val="none"/>
                    </w:rPr>
                    <w:t>/a</w:t>
                  </w:r>
                </w:p>
              </w:tc>
              <w:tc>
                <w:tcPr>
                  <w:tcW w:w="769" w:type="pct"/>
                  <w:tcBorders>
                    <w:top w:val="single" w:color="auto" w:sz="4" w:space="0"/>
                    <w:left w:val="single" w:color="auto" w:sz="4" w:space="0"/>
                    <w:bottom w:val="single" w:color="auto" w:sz="8" w:space="0"/>
                    <w:right w:val="single" w:color="auto" w:sz="4" w:space="0"/>
                  </w:tcBorders>
                  <w:vAlign w:val="center"/>
                </w:tcPr>
                <w:p w14:paraId="521091D1">
                  <w:pPr>
                    <w:pStyle w:val="44"/>
                    <w:spacing w:before="0" w:line="276" w:lineRule="auto"/>
                    <w:rPr>
                      <w:rFonts w:cs="Times New Roman"/>
                      <w:color w:val="auto"/>
                      <w:szCs w:val="18"/>
                      <w:highlight w:val="none"/>
                    </w:rPr>
                  </w:pPr>
                  <w:r>
                    <w:rPr>
                      <w:rFonts w:cs="Times New Roman"/>
                      <w:color w:val="auto"/>
                      <w:szCs w:val="18"/>
                      <w:highlight w:val="none"/>
                    </w:rPr>
                    <w:t>危废暂存库</w:t>
                  </w:r>
                </w:p>
              </w:tc>
              <w:tc>
                <w:tcPr>
                  <w:tcW w:w="381" w:type="pct"/>
                  <w:tcBorders>
                    <w:top w:val="single" w:color="auto" w:sz="4" w:space="0"/>
                    <w:left w:val="single" w:color="auto" w:sz="4" w:space="0"/>
                    <w:bottom w:val="single" w:color="auto" w:sz="8" w:space="0"/>
                    <w:right w:val="single" w:color="auto" w:sz="4" w:space="0"/>
                  </w:tcBorders>
                  <w:vAlign w:val="center"/>
                </w:tcPr>
                <w:p w14:paraId="4DF6E301">
                  <w:pPr>
                    <w:pStyle w:val="44"/>
                    <w:spacing w:before="0" w:line="276" w:lineRule="auto"/>
                    <w:rPr>
                      <w:rFonts w:cs="Times New Roman"/>
                      <w:color w:val="auto"/>
                      <w:szCs w:val="18"/>
                      <w:highlight w:val="none"/>
                    </w:rPr>
                  </w:pPr>
                  <w:r>
                    <w:rPr>
                      <w:rFonts w:cs="Times New Roman"/>
                      <w:color w:val="auto"/>
                      <w:szCs w:val="18"/>
                      <w:highlight w:val="none"/>
                    </w:rPr>
                    <w:t>1t</w:t>
                  </w:r>
                </w:p>
              </w:tc>
              <w:tc>
                <w:tcPr>
                  <w:tcW w:w="612" w:type="pct"/>
                  <w:tcBorders>
                    <w:top w:val="single" w:color="auto" w:sz="4" w:space="0"/>
                    <w:left w:val="single" w:color="auto" w:sz="4" w:space="0"/>
                    <w:bottom w:val="single" w:color="auto" w:sz="8" w:space="0"/>
                    <w:right w:val="single" w:color="auto" w:sz="4" w:space="0"/>
                  </w:tcBorders>
                  <w:vAlign w:val="center"/>
                </w:tcPr>
                <w:p w14:paraId="13278843">
                  <w:pPr>
                    <w:pStyle w:val="44"/>
                    <w:spacing w:before="0" w:line="276" w:lineRule="auto"/>
                    <w:rPr>
                      <w:rFonts w:cs="Times New Roman"/>
                      <w:color w:val="auto"/>
                      <w:szCs w:val="18"/>
                      <w:highlight w:val="none"/>
                    </w:rPr>
                  </w:pPr>
                  <w:r>
                    <w:rPr>
                      <w:rFonts w:hint="eastAsia" w:cs="Times New Roman"/>
                      <w:color w:val="auto"/>
                      <w:szCs w:val="18"/>
                      <w:highlight w:val="none"/>
                    </w:rPr>
                    <w:t>半年</w:t>
                  </w:r>
                </w:p>
              </w:tc>
              <w:tc>
                <w:tcPr>
                  <w:tcW w:w="584" w:type="pct"/>
                  <w:vMerge w:val="continue"/>
                  <w:tcBorders>
                    <w:left w:val="single" w:color="auto" w:sz="4" w:space="0"/>
                    <w:bottom w:val="single" w:color="auto" w:sz="8" w:space="0"/>
                    <w:right w:val="single" w:color="auto" w:sz="4" w:space="0"/>
                  </w:tcBorders>
                  <w:vAlign w:val="center"/>
                </w:tcPr>
                <w:p w14:paraId="60B3443B">
                  <w:pPr>
                    <w:pStyle w:val="44"/>
                    <w:spacing w:before="0" w:line="276" w:lineRule="auto"/>
                    <w:rPr>
                      <w:rFonts w:cs="Times New Roman"/>
                      <w:color w:val="auto"/>
                      <w:szCs w:val="18"/>
                      <w:highlight w:val="none"/>
                    </w:rPr>
                  </w:pPr>
                </w:p>
              </w:tc>
            </w:tr>
          </w:tbl>
          <w:p w14:paraId="40475D86">
            <w:pPr>
              <w:spacing w:line="360" w:lineRule="auto"/>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bCs/>
                <w:color w:val="auto"/>
                <w:sz w:val="24"/>
                <w:szCs w:val="24"/>
                <w:highlight w:val="none"/>
              </w:rPr>
              <w:t>运营期固废环境保护措施</w:t>
            </w:r>
          </w:p>
          <w:p w14:paraId="5FD7F118">
            <w:pPr>
              <w:spacing w:line="360" w:lineRule="auto"/>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（1）贮存场所（设施）污染防治设施</w:t>
            </w:r>
          </w:p>
          <w:p w14:paraId="74A99CE2">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所有纳入危险废物范畴的固体废物在企业内的存放地设置符合《危险废物贮存污染控制标准》（GB18597-2023）的专用标志。危险废物必须使用专用的容器贮存，除非在常温常压下不水解、不挥发的固体危险废物可在贮存设施内分别堆放。贮存容器应有明显标志，并且标明废物的特性，是否具有耐腐蚀、与所贮存的废物发生反应等特性。贮存场所严格按照“四防”（防风、防雨、防晒、防渗漏）要求进行设置，有集排水设施且贮存场所符合消防要求，贮存场所内采用安全照明设施，并设置观察窗口。</w:t>
            </w:r>
          </w:p>
          <w:p w14:paraId="48D145BD">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①一般固废暂存间</w:t>
            </w:r>
          </w:p>
          <w:p w14:paraId="172ED3A0">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一般固废暂存间按照《一般工业固体废物贮存和填埋污染控制标准》</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GB18599-2020</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要求设置，一般工业固体废物不得露天堆放，应做好</w:t>
            </w:r>
            <w:r>
              <w:rPr>
                <w:rFonts w:hint="eastAsia" w:ascii="Times New Roman" w:hAnsi="Times New Roman" w:eastAsia="宋体" w:cs="Times New Roman"/>
                <w:color w:val="auto"/>
                <w:sz w:val="24"/>
                <w:highlight w:val="none"/>
                <w:lang w:eastAsia="zh-CN"/>
              </w:rPr>
              <w:t>防风</w:t>
            </w:r>
            <w:r>
              <w:rPr>
                <w:rFonts w:ascii="Times New Roman" w:hAnsi="Times New Roman" w:eastAsia="宋体" w:cs="Times New Roman"/>
                <w:color w:val="auto"/>
                <w:sz w:val="24"/>
                <w:highlight w:val="none"/>
              </w:rPr>
              <w:t>、防雨、防晒设施，防外水入侵要求。</w:t>
            </w:r>
          </w:p>
          <w:p w14:paraId="7E6CE7C1">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②危废暂存库</w:t>
            </w:r>
          </w:p>
          <w:p w14:paraId="567C9B65">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a、库房内部各类危废划区堆放；同时应建有堵截泄漏的裙脚；地面与裙脚要用坚固防渗的材料建造；应有隔离设施、报警装置和防风、防晒、防雨设施。</w:t>
            </w:r>
          </w:p>
          <w:p w14:paraId="47581D96">
            <w:pPr>
              <w:spacing w:line="360" w:lineRule="auto"/>
              <w:ind w:firstLine="480" w:firstLineChars="200"/>
              <w:rPr>
                <w:rStyle w:val="24"/>
                <w:color w:val="auto"/>
                <w:highlight w:val="none"/>
              </w:rPr>
            </w:pPr>
            <w:r>
              <w:rPr>
                <w:rFonts w:ascii="Times New Roman" w:hAnsi="Times New Roman" w:eastAsia="宋体" w:cs="Times New Roman"/>
                <w:color w:val="auto"/>
                <w:sz w:val="24"/>
                <w:highlight w:val="none"/>
              </w:rPr>
              <w:t>b、各类危废干湿分区，不同种类危废存放区域贴/挂</w:t>
            </w:r>
            <w:r>
              <w:rPr>
                <w:rFonts w:hint="eastAsia" w:ascii="Times New Roman" w:hAnsi="Times New Roman" w:eastAsia="宋体" w:cs="Times New Roman"/>
                <w:color w:val="auto"/>
                <w:sz w:val="24"/>
                <w:highlight w:val="none"/>
                <w:lang w:eastAsia="zh-CN"/>
              </w:rPr>
              <w:t>标识</w:t>
            </w:r>
            <w:r>
              <w:rPr>
                <w:rFonts w:ascii="Times New Roman" w:hAnsi="Times New Roman" w:eastAsia="宋体" w:cs="Times New Roman"/>
                <w:color w:val="auto"/>
                <w:sz w:val="24"/>
                <w:highlight w:val="none"/>
              </w:rPr>
              <w:t>标牌。</w:t>
            </w:r>
          </w:p>
          <w:p w14:paraId="2D9DBF15">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c、危废库内</w:t>
            </w:r>
            <w:r>
              <w:rPr>
                <w:rFonts w:ascii="Times New Roman" w:hAnsi="Times New Roman" w:eastAsia="宋体" w:cs="Times New Roman"/>
                <w:color w:val="auto"/>
                <w:sz w:val="24"/>
                <w:highlight w:val="none"/>
              </w:rPr>
              <w:t>地面进行防腐、防渗处理，参照《危险废物贮存污染控制标准》（GB18597-2023）相关要求，基础防渗层为黏土层时，其厚度应达1m以上，渗透系数应小于10</w:t>
            </w:r>
            <w:r>
              <w:rPr>
                <w:rFonts w:ascii="Times New Roman" w:hAnsi="Times New Roman" w:eastAsia="宋体" w:cs="Times New Roman"/>
                <w:color w:val="auto"/>
                <w:sz w:val="24"/>
                <w:highlight w:val="none"/>
                <w:vertAlign w:val="superscript"/>
              </w:rPr>
              <w:t>-7</w:t>
            </w:r>
            <w:r>
              <w:rPr>
                <w:rFonts w:ascii="Times New Roman" w:hAnsi="Times New Roman" w:eastAsia="宋体" w:cs="Times New Roman"/>
                <w:color w:val="auto"/>
                <w:sz w:val="24"/>
                <w:highlight w:val="none"/>
              </w:rPr>
              <w:t>cm/s；基础防渗层亦可用厚度2mm以上的高密度聚乙烯和其他人工防渗材料组成，渗透系数应小于10</w:t>
            </w:r>
            <w:r>
              <w:rPr>
                <w:rFonts w:ascii="Times New Roman" w:hAnsi="Times New Roman" w:eastAsia="宋体" w:cs="Times New Roman"/>
                <w:color w:val="auto"/>
                <w:sz w:val="24"/>
                <w:highlight w:val="none"/>
                <w:vertAlign w:val="superscript"/>
              </w:rPr>
              <w:t>-1</w:t>
            </w:r>
            <w:r>
              <w:rPr>
                <w:rFonts w:ascii="Times New Roman" w:hAnsi="Times New Roman" w:eastAsia="宋体" w:cs="Times New Roman"/>
                <w:color w:val="auto"/>
                <w:sz w:val="24"/>
                <w:highlight w:val="none"/>
              </w:rPr>
              <w:t>cm/s。</w:t>
            </w:r>
          </w:p>
          <w:p w14:paraId="2DCE2834">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d</w:t>
            </w:r>
            <w:r>
              <w:rPr>
                <w:rFonts w:ascii="Times New Roman" w:hAnsi="Times New Roman" w:eastAsia="宋体" w:cs="Times New Roman"/>
                <w:color w:val="auto"/>
                <w:sz w:val="24"/>
                <w:highlight w:val="none"/>
              </w:rPr>
              <w:t>、暂存区外围周边贴挂明显的</w:t>
            </w:r>
            <w:r>
              <w:rPr>
                <w:rFonts w:hint="eastAsia" w:ascii="Times New Roman" w:hAnsi="Times New Roman" w:eastAsia="宋体" w:cs="Times New Roman"/>
                <w:color w:val="auto"/>
                <w:sz w:val="24"/>
                <w:highlight w:val="none"/>
                <w:lang w:eastAsia="zh-CN"/>
              </w:rPr>
              <w:t>标识</w:t>
            </w:r>
            <w:r>
              <w:rPr>
                <w:rFonts w:ascii="Times New Roman" w:hAnsi="Times New Roman" w:eastAsia="宋体" w:cs="Times New Roman"/>
                <w:color w:val="auto"/>
                <w:sz w:val="24"/>
                <w:highlight w:val="none"/>
              </w:rPr>
              <w:t>标牌，注明主要暂存危废的种类、数量、危废编号等信息。</w:t>
            </w:r>
          </w:p>
          <w:p w14:paraId="0A3AA0A1">
            <w:pPr>
              <w:spacing w:line="360" w:lineRule="auto"/>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lang w:val="en-US" w:eastAsia="zh-CN"/>
              </w:rPr>
              <w:t>e</w:t>
            </w:r>
            <w:r>
              <w:rPr>
                <w:rFonts w:ascii="Times New Roman" w:hAnsi="Times New Roman" w:eastAsia="宋体" w:cs="Times New Roman"/>
                <w:color w:val="auto"/>
                <w:sz w:val="24"/>
                <w:highlight w:val="none"/>
              </w:rPr>
              <w:t>、合理选择危废包装物。危废贮存容器、材质满足相应的强度要求，日常确保完好无损；容器材质和衬里与危险废物相容；盛装液体废物的桶开孔直径应不超过70mm，并有放气孔。</w:t>
            </w:r>
          </w:p>
          <w:p w14:paraId="0EB05494">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（2）运输过程污染防治措施</w:t>
            </w:r>
          </w:p>
          <w:p w14:paraId="3E928880">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项目所处理的危险废物采用专门的车辆，密闭运输，严格禁止抛洒滴漏，杜绝在运输过程中造成环境的二次污染。在危险废物的运输中执行《危险废物转移联单管理办法》中有关的规定和要求。</w:t>
            </w:r>
          </w:p>
          <w:p w14:paraId="075F06DD">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（3）日常管理要求</w:t>
            </w:r>
          </w:p>
          <w:p w14:paraId="44F0C98B">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项目固废处置时，尽可能采用减量化、资源化利用措施。委托处置的应与处置单位签订委托处理合同，报生态环境主管部门备案。危险废物转移需执行报批和转移联单等制度。各固废在外运处置前，须在厂内安全暂存，确保固废不产生二次污染。</w:t>
            </w:r>
          </w:p>
          <w:p w14:paraId="410BA5EB">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①履行申报登记制度；</w:t>
            </w:r>
          </w:p>
          <w:p w14:paraId="59ECEC8B">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②建立台账管理制度，企业须做好危险废物情况的记录，记录上需注明危险废物的名称、来源、数量、特性和包装容器的类别；</w:t>
            </w:r>
          </w:p>
          <w:p w14:paraId="2550F6A5">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③委托处置应执行报批和转移联单等制度；</w:t>
            </w:r>
          </w:p>
          <w:p w14:paraId="0CDB77C9">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④定期对暂存的危险废物包装容器及贮存设施进行检查，及早发现破损，及时采取措施清理更换；</w:t>
            </w:r>
          </w:p>
          <w:p w14:paraId="1FD593D9">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⑤直接从事收集、贮存、运输、利用、处置危险废物的人员，应当接受专业培训，经考核合格，方可从事该项工作；</w:t>
            </w:r>
          </w:p>
          <w:p w14:paraId="0651DC6E">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⑥固废贮存（处置）场所规范化设置，固体废物贮存（处置）场所应在醒目处设置标志牌；</w:t>
            </w:r>
          </w:p>
          <w:p w14:paraId="0814F550">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⑦危废应根据其化学特性选择合适的容器和存放地点，通过密闭容器存放，不可混合贮存，容器标签必须标明废物种类、贮存时间，定期处理；</w:t>
            </w:r>
          </w:p>
          <w:p w14:paraId="1A6B1E86">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⑧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14:paraId="75FDFE8B">
            <w:pPr>
              <w:spacing w:line="360" w:lineRule="auto"/>
              <w:ind w:firstLine="482" w:firstLineChars="200"/>
              <w:rPr>
                <w:rFonts w:ascii="Times New Roman" w:hAnsi="Times New Roman" w:eastAsia="宋体" w:cs="Times New Roman"/>
                <w:b/>
                <w:snapToGrid w:val="0"/>
                <w:color w:val="auto"/>
                <w:sz w:val="24"/>
                <w:szCs w:val="24"/>
                <w:highlight w:val="none"/>
              </w:rPr>
            </w:pPr>
            <w:r>
              <w:rPr>
                <w:rFonts w:ascii="Times New Roman" w:hAnsi="Times New Roman" w:eastAsia="宋体" w:cs="Times New Roman"/>
                <w:b/>
                <w:snapToGrid w:val="0"/>
                <w:color w:val="auto"/>
                <w:sz w:val="24"/>
                <w:szCs w:val="24"/>
                <w:highlight w:val="none"/>
              </w:rPr>
              <w:t>视频监控设施的必要性分析</w:t>
            </w:r>
          </w:p>
          <w:p w14:paraId="524D5CE0">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本项目产生的危废中废机油易燃，并且当废机油</w:t>
            </w:r>
            <w:r>
              <w:rPr>
                <w:rFonts w:hint="eastAsia" w:ascii="Times New Roman" w:hAnsi="Times New Roman" w:eastAsia="宋体" w:cs="Times New Roman"/>
                <w:color w:val="auto"/>
                <w:sz w:val="24"/>
                <w:highlight w:val="none"/>
                <w:lang w:eastAsia="zh-CN"/>
              </w:rPr>
              <w:t>存储</w:t>
            </w:r>
            <w:r>
              <w:rPr>
                <w:rFonts w:ascii="Times New Roman" w:hAnsi="Times New Roman" w:eastAsia="宋体" w:cs="Times New Roman"/>
                <w:color w:val="auto"/>
                <w:sz w:val="24"/>
                <w:highlight w:val="none"/>
              </w:rPr>
              <w:t>装置破损导致泄漏，会对地表水、土壤、大气环境造成污染。因此，需在危废暂存库和厂区重要位置安装视频监控设施。综上所述，厂区内安装视频监控设施是必要的。</w:t>
            </w:r>
          </w:p>
          <w:p w14:paraId="1A201A2E">
            <w:pPr>
              <w:spacing w:line="360" w:lineRule="auto"/>
              <w:ind w:firstLine="482" w:firstLineChars="200"/>
              <w:rPr>
                <w:rFonts w:ascii="Times New Roman" w:hAnsi="Times New Roman" w:eastAsia="宋体" w:cs="Times New Roman"/>
                <w:snapToGrid w:val="0"/>
                <w:color w:val="auto"/>
                <w:sz w:val="24"/>
                <w:szCs w:val="24"/>
                <w:highlight w:val="none"/>
              </w:rPr>
            </w:pPr>
            <w:r>
              <w:rPr>
                <w:rFonts w:ascii="Times New Roman" w:hAnsi="Times New Roman" w:eastAsia="宋体" w:cs="Times New Roman"/>
                <w:b/>
                <w:snapToGrid w:val="0"/>
                <w:color w:val="auto"/>
                <w:sz w:val="24"/>
                <w:szCs w:val="24"/>
                <w:highlight w:val="none"/>
              </w:rPr>
              <w:t>5、土壤、</w:t>
            </w:r>
            <w:r>
              <w:rPr>
                <w:rFonts w:ascii="Times New Roman" w:hAnsi="Times New Roman" w:eastAsia="宋体" w:cs="Times New Roman"/>
                <w:b/>
                <w:color w:val="auto"/>
                <w:sz w:val="24"/>
                <w:szCs w:val="24"/>
                <w:highlight w:val="none"/>
              </w:rPr>
              <w:t>地下水环境影响和保护措施</w:t>
            </w:r>
          </w:p>
          <w:p w14:paraId="0FD27FBC">
            <w:pPr>
              <w:spacing w:line="360" w:lineRule="auto"/>
              <w:ind w:firstLine="480" w:firstLineChars="200"/>
              <w:rPr>
                <w:rFonts w:ascii="Times New Roman" w:hAnsi="Times New Roman" w:eastAsia="宋体" w:cs="Times New Roman"/>
                <w:bCs/>
                <w:color w:val="auto"/>
                <w:sz w:val="24"/>
                <w:highlight w:val="none"/>
                <w:lang w:val="en-GB"/>
              </w:rPr>
            </w:pPr>
            <w:r>
              <w:rPr>
                <w:rFonts w:ascii="Times New Roman" w:hAnsi="Times New Roman" w:eastAsia="宋体" w:cs="Times New Roman"/>
                <w:color w:val="auto"/>
                <w:sz w:val="24"/>
                <w:szCs w:val="24"/>
                <w:highlight w:val="none"/>
              </w:rPr>
              <w:t>项目正常生产情况下，排水实行雨污分流制。</w:t>
            </w:r>
            <w:r>
              <w:rPr>
                <w:rFonts w:ascii="Times New Roman" w:hAnsi="Times New Roman" w:eastAsia="宋体" w:cs="Times New Roman"/>
                <w:color w:val="auto"/>
                <w:sz w:val="24"/>
                <w:szCs w:val="24"/>
                <w:highlight w:val="none"/>
                <w:lang w:val="en-GB"/>
              </w:rPr>
              <w:t>本项目雨水排入市政雨水管网；</w:t>
            </w:r>
            <w:r>
              <w:rPr>
                <w:rFonts w:ascii="Times New Roman" w:hAnsi="Times New Roman" w:eastAsia="宋体" w:cs="Times New Roman"/>
                <w:color w:val="auto"/>
                <w:sz w:val="24"/>
                <w:szCs w:val="24"/>
                <w:highlight w:val="none"/>
              </w:rPr>
              <w:t>生活污水经化粪池处理后接管至市政污水管网，送至八公山污水处理厂处理后排入淮河</w:t>
            </w:r>
            <w:r>
              <w:rPr>
                <w:rFonts w:ascii="Times New Roman" w:hAnsi="Times New Roman" w:eastAsia="宋体" w:cs="Times New Roman"/>
                <w:bCs/>
                <w:color w:val="auto"/>
                <w:sz w:val="24"/>
                <w:highlight w:val="none"/>
              </w:rPr>
              <w:t>。</w:t>
            </w:r>
          </w:p>
          <w:p w14:paraId="767C30E2">
            <w:pPr>
              <w:spacing w:line="360" w:lineRule="auto"/>
              <w:ind w:firstLine="480" w:firstLineChars="200"/>
              <w:rPr>
                <w:rFonts w:ascii="Times New Roman" w:hAnsi="Times New Roman" w:eastAsia="宋体" w:cs="Times New Roman"/>
                <w:snapToGrid w:val="0"/>
                <w:color w:val="auto"/>
                <w:sz w:val="24"/>
                <w:highlight w:val="none"/>
              </w:rPr>
            </w:pPr>
            <w:r>
              <w:rPr>
                <w:rFonts w:ascii="Times New Roman" w:hAnsi="Times New Roman" w:eastAsia="宋体" w:cs="Times New Roman"/>
                <w:snapToGrid w:val="0"/>
                <w:color w:val="auto"/>
                <w:sz w:val="24"/>
                <w:highlight w:val="none"/>
              </w:rPr>
              <w:t>为防止本项目污染地下水、土壤，在项目设计和施工过程中，应对厂区进行专项防渗设计和分区防渗处理。根据《环境影响评价技术导则 地下水环境》</w:t>
            </w:r>
            <w:r>
              <w:rPr>
                <w:rFonts w:hint="eastAsia" w:ascii="Times New Roman" w:hAnsi="Times New Roman" w:eastAsia="宋体" w:cs="Times New Roman"/>
                <w:snapToGrid w:val="0"/>
                <w:color w:val="auto"/>
                <w:sz w:val="24"/>
                <w:highlight w:val="none"/>
                <w:lang w:eastAsia="zh-CN"/>
              </w:rPr>
              <w:t>（</w:t>
            </w:r>
            <w:r>
              <w:rPr>
                <w:rFonts w:ascii="Times New Roman" w:hAnsi="Times New Roman" w:eastAsia="宋体" w:cs="Times New Roman"/>
                <w:snapToGrid w:val="0"/>
                <w:color w:val="auto"/>
                <w:sz w:val="24"/>
                <w:highlight w:val="none"/>
              </w:rPr>
              <w:t>HJ 610-2016</w:t>
            </w:r>
            <w:r>
              <w:rPr>
                <w:rFonts w:hint="eastAsia" w:ascii="Times New Roman" w:hAnsi="Times New Roman" w:eastAsia="宋体" w:cs="Times New Roman"/>
                <w:snapToGrid w:val="0"/>
                <w:color w:val="auto"/>
                <w:sz w:val="24"/>
                <w:highlight w:val="none"/>
                <w:lang w:eastAsia="zh-CN"/>
              </w:rPr>
              <w:t>）</w:t>
            </w:r>
            <w:r>
              <w:rPr>
                <w:rFonts w:ascii="Times New Roman" w:hAnsi="Times New Roman" w:eastAsia="宋体" w:cs="Times New Roman"/>
                <w:snapToGrid w:val="0"/>
                <w:color w:val="auto"/>
                <w:sz w:val="24"/>
                <w:highlight w:val="none"/>
              </w:rPr>
              <w:t>，污染防治区可分为重点防渗区、一般防渗区和简单防渗区。</w:t>
            </w:r>
          </w:p>
          <w:p w14:paraId="3CE43355">
            <w:pP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snapToGrid w:val="0"/>
                <w:color w:val="auto"/>
                <w:sz w:val="24"/>
                <w:highlight w:val="none"/>
              </w:rPr>
              <w:t>参照（HJ 610-2016）要求，并根据厂区可能</w:t>
            </w:r>
            <w:r>
              <w:rPr>
                <w:rFonts w:hint="eastAsia" w:ascii="Times New Roman" w:hAnsi="Times New Roman" w:eastAsia="宋体" w:cs="Times New Roman"/>
                <w:snapToGrid w:val="0"/>
                <w:color w:val="auto"/>
                <w:sz w:val="24"/>
                <w:highlight w:val="none"/>
                <w:lang w:eastAsia="zh-CN"/>
              </w:rPr>
              <w:t>泄漏</w:t>
            </w:r>
            <w:r>
              <w:rPr>
                <w:rFonts w:ascii="Times New Roman" w:hAnsi="Times New Roman" w:eastAsia="宋体" w:cs="Times New Roman"/>
                <w:snapToGrid w:val="0"/>
                <w:color w:val="auto"/>
                <w:sz w:val="24"/>
                <w:highlight w:val="none"/>
              </w:rPr>
              <w:t>至地面区域污染物的性质以及各设施及建构筑物污染物难易控制程度进行分级，本项目分区防渗情况如下。</w:t>
            </w:r>
          </w:p>
          <w:p w14:paraId="718D8BC7">
            <w:pP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重点防渗区：重点防渗区指可能会对地下水和土壤造成污染，风险程度较高，需要重点防治的区域，主要为危废暂存库区域。重点防渗区的防渗技术要求为等效黏土防渗层Mb≥6.0m，K≤10</w:t>
            </w:r>
            <w:r>
              <w:rPr>
                <w:rFonts w:ascii="Times New Roman" w:hAnsi="Times New Roman" w:eastAsia="宋体" w:cs="Times New Roman"/>
                <w:color w:val="auto"/>
                <w:sz w:val="24"/>
                <w:szCs w:val="20"/>
                <w:highlight w:val="none"/>
                <w:vertAlign w:val="superscript"/>
              </w:rPr>
              <w:t>-7</w:t>
            </w:r>
            <w:r>
              <w:rPr>
                <w:rFonts w:ascii="Times New Roman" w:hAnsi="Times New Roman" w:eastAsia="宋体" w:cs="Times New Roman"/>
                <w:color w:val="auto"/>
                <w:sz w:val="24"/>
                <w:szCs w:val="20"/>
                <w:highlight w:val="none"/>
              </w:rPr>
              <w:t>cm/s。其中危废暂存库还需要满足《危险废物贮存污染控制标准》（GB18597-2023）中防渗要求：基础必须防渗，防渗层为至少1m厚粘土层（渗透系数K≤10</w:t>
            </w:r>
            <w:r>
              <w:rPr>
                <w:rFonts w:ascii="Times New Roman" w:hAnsi="Times New Roman" w:eastAsia="宋体" w:cs="Times New Roman"/>
                <w:color w:val="auto"/>
                <w:sz w:val="24"/>
                <w:szCs w:val="20"/>
                <w:highlight w:val="none"/>
                <w:vertAlign w:val="superscript"/>
              </w:rPr>
              <w:t>-7</w:t>
            </w:r>
            <w:r>
              <w:rPr>
                <w:rFonts w:ascii="Times New Roman" w:hAnsi="Times New Roman" w:eastAsia="宋体" w:cs="Times New Roman"/>
                <w:color w:val="auto"/>
                <w:sz w:val="24"/>
                <w:szCs w:val="20"/>
                <w:highlight w:val="none"/>
              </w:rPr>
              <w:t>cm/s），或2mm厚高密度聚乙烯，或至少2mm厚的</w:t>
            </w:r>
            <w:r>
              <w:rPr>
                <w:rFonts w:hint="eastAsia" w:ascii="Times New Roman" w:hAnsi="Times New Roman" w:eastAsia="宋体" w:cs="Times New Roman"/>
                <w:color w:val="auto"/>
                <w:sz w:val="24"/>
                <w:szCs w:val="20"/>
                <w:highlight w:val="none"/>
                <w:lang w:eastAsia="zh-CN"/>
              </w:rPr>
              <w:t>其他人工</w:t>
            </w:r>
            <w:r>
              <w:rPr>
                <w:rFonts w:ascii="Times New Roman" w:hAnsi="Times New Roman" w:eastAsia="宋体" w:cs="Times New Roman"/>
                <w:color w:val="auto"/>
                <w:sz w:val="24"/>
                <w:szCs w:val="20"/>
                <w:highlight w:val="none"/>
              </w:rPr>
              <w:t>材料，渗透系数K≤10</w:t>
            </w:r>
            <w:r>
              <w:rPr>
                <w:rFonts w:ascii="Times New Roman" w:hAnsi="Times New Roman" w:eastAsia="宋体" w:cs="Times New Roman"/>
                <w:color w:val="auto"/>
                <w:sz w:val="24"/>
                <w:szCs w:val="20"/>
                <w:highlight w:val="none"/>
                <w:vertAlign w:val="superscript"/>
              </w:rPr>
              <w:t>-10</w:t>
            </w:r>
            <w:r>
              <w:rPr>
                <w:rFonts w:ascii="Times New Roman" w:hAnsi="Times New Roman" w:eastAsia="宋体" w:cs="Times New Roman"/>
                <w:color w:val="auto"/>
                <w:sz w:val="24"/>
                <w:szCs w:val="20"/>
                <w:highlight w:val="none"/>
              </w:rPr>
              <w:t>cm/s。</w:t>
            </w:r>
          </w:p>
          <w:p w14:paraId="67D7D585">
            <w:pPr>
              <w:spacing w:line="360" w:lineRule="auto"/>
              <w:ind w:firstLine="480" w:firstLineChars="200"/>
              <w:rPr>
                <w:rFonts w:ascii="Times New Roman" w:hAnsi="Times New Roman" w:eastAsia="宋体" w:cs="Times New Roman"/>
                <w:color w:val="auto"/>
                <w:sz w:val="24"/>
                <w:szCs w:val="20"/>
                <w:highlight w:val="none"/>
              </w:rPr>
            </w:pPr>
            <w:r>
              <w:rPr>
                <w:rFonts w:ascii="Times New Roman" w:hAnsi="Times New Roman" w:eastAsia="宋体" w:cs="Times New Roman"/>
                <w:color w:val="auto"/>
                <w:sz w:val="24"/>
                <w:szCs w:val="20"/>
                <w:highlight w:val="none"/>
              </w:rPr>
              <w:t>一般防渗区：一般防渗区是指可能会对地下水和土壤造成污染，但危害性或风险程度相对较低的区域，主要为生产区域、养护区、一般固废暂存间。一般防渗区的防渗技术要求：等效黏土防渗层Mb≥1.5m，K≤10</w:t>
            </w:r>
            <w:r>
              <w:rPr>
                <w:rFonts w:ascii="Times New Roman" w:hAnsi="Times New Roman" w:eastAsia="宋体" w:cs="Times New Roman"/>
                <w:color w:val="auto"/>
                <w:sz w:val="24"/>
                <w:szCs w:val="20"/>
                <w:highlight w:val="none"/>
                <w:vertAlign w:val="superscript"/>
              </w:rPr>
              <w:t>-7</w:t>
            </w:r>
            <w:r>
              <w:rPr>
                <w:rFonts w:ascii="Times New Roman" w:hAnsi="Times New Roman" w:eastAsia="宋体" w:cs="Times New Roman"/>
                <w:color w:val="auto"/>
                <w:sz w:val="24"/>
                <w:szCs w:val="20"/>
                <w:highlight w:val="none"/>
              </w:rPr>
              <w:t>cm/s。</w:t>
            </w:r>
          </w:p>
          <w:p w14:paraId="169FC5B8">
            <w:pPr>
              <w:wordWrap w:val="0"/>
              <w:autoSpaceDE w:val="0"/>
              <w:autoSpaceDN w:val="0"/>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针对不同区域采取相应的防渗措施，具体见下表。</w:t>
            </w:r>
          </w:p>
          <w:p w14:paraId="3C0BDEA3">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表4-13  本项目分区防渗一览表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55"/>
              <w:gridCol w:w="1527"/>
              <w:gridCol w:w="4621"/>
            </w:tblGrid>
            <w:tr w14:paraId="4B1DD9D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10" w:type="pct"/>
                  <w:tcBorders>
                    <w:top w:val="single" w:color="auto" w:sz="8" w:space="0"/>
                    <w:bottom w:val="single" w:color="auto" w:sz="4" w:space="0"/>
                    <w:right w:val="single" w:color="auto" w:sz="4" w:space="0"/>
                  </w:tcBorders>
                  <w:vAlign w:val="center"/>
                </w:tcPr>
                <w:p w14:paraId="226E03BD">
                  <w:pPr>
                    <w:autoSpaceDE w:val="0"/>
                    <w:autoSpaceDN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区域</w:t>
                  </w:r>
                </w:p>
              </w:tc>
              <w:tc>
                <w:tcPr>
                  <w:tcW w:w="966" w:type="pct"/>
                  <w:tcBorders>
                    <w:top w:val="single" w:color="auto" w:sz="8" w:space="0"/>
                    <w:left w:val="single" w:color="auto" w:sz="4" w:space="0"/>
                    <w:bottom w:val="single" w:color="auto" w:sz="4" w:space="0"/>
                    <w:right w:val="single" w:color="auto" w:sz="4" w:space="0"/>
                  </w:tcBorders>
                  <w:vAlign w:val="center"/>
                </w:tcPr>
                <w:p w14:paraId="204D06A5">
                  <w:pPr>
                    <w:autoSpaceDE w:val="0"/>
                    <w:autoSpaceDN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防渗等级</w:t>
                  </w:r>
                </w:p>
              </w:tc>
              <w:tc>
                <w:tcPr>
                  <w:tcW w:w="2923" w:type="pct"/>
                  <w:tcBorders>
                    <w:top w:val="single" w:color="auto" w:sz="8" w:space="0"/>
                    <w:left w:val="single" w:color="auto" w:sz="4" w:space="0"/>
                    <w:bottom w:val="single" w:color="auto" w:sz="4" w:space="0"/>
                  </w:tcBorders>
                  <w:vAlign w:val="center"/>
                </w:tcPr>
                <w:p w14:paraId="3403B577">
                  <w:pPr>
                    <w:autoSpaceDE w:val="0"/>
                    <w:autoSpaceDN w:val="0"/>
                    <w:spacing w:line="276" w:lineRule="auto"/>
                    <w:jc w:val="center"/>
                    <w:rPr>
                      <w:rFonts w:ascii="Times New Roman" w:hAnsi="Times New Roman" w:eastAsia="宋体" w:cs="Times New Roman"/>
                      <w:b/>
                      <w:color w:val="auto"/>
                      <w:kern w:val="0"/>
                      <w:sz w:val="18"/>
                      <w:szCs w:val="18"/>
                      <w:highlight w:val="none"/>
                    </w:rPr>
                  </w:pPr>
                  <w:r>
                    <w:rPr>
                      <w:rFonts w:ascii="Times New Roman" w:hAnsi="Times New Roman" w:eastAsia="宋体" w:cs="Times New Roman"/>
                      <w:b/>
                      <w:color w:val="auto"/>
                      <w:kern w:val="0"/>
                      <w:sz w:val="18"/>
                      <w:szCs w:val="18"/>
                      <w:highlight w:val="none"/>
                    </w:rPr>
                    <w:t>防渗技术要求</w:t>
                  </w:r>
                </w:p>
              </w:tc>
            </w:tr>
            <w:tr w14:paraId="07F909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15" w:hRule="atLeast"/>
              </w:trPr>
              <w:tc>
                <w:tcPr>
                  <w:tcW w:w="1110" w:type="pct"/>
                  <w:tcBorders>
                    <w:top w:val="single" w:color="auto" w:sz="4" w:space="0"/>
                    <w:bottom w:val="single" w:color="auto" w:sz="4" w:space="0"/>
                    <w:right w:val="single" w:color="auto" w:sz="4" w:space="0"/>
                  </w:tcBorders>
                  <w:vAlign w:val="center"/>
                </w:tcPr>
                <w:p w14:paraId="59C88392">
                  <w:pPr>
                    <w:autoSpaceDE w:val="0"/>
                    <w:autoSpaceDN w:val="0"/>
                    <w:spacing w:line="276" w:lineRule="auto"/>
                    <w:jc w:val="center"/>
                    <w:rPr>
                      <w:rFonts w:ascii="Times New Roman" w:hAnsi="Times New Roman" w:cs="Times New Roman"/>
                      <w:color w:val="auto"/>
                      <w:kern w:val="0"/>
                      <w:sz w:val="18"/>
                      <w:szCs w:val="18"/>
                      <w:highlight w:val="none"/>
                    </w:rPr>
                  </w:pPr>
                  <w:r>
                    <w:rPr>
                      <w:rFonts w:ascii="Times New Roman" w:hAnsi="Times New Roman" w:eastAsia="宋体" w:cs="Times New Roman"/>
                      <w:color w:val="auto"/>
                      <w:kern w:val="0"/>
                      <w:sz w:val="18"/>
                      <w:szCs w:val="18"/>
                      <w:highlight w:val="none"/>
                    </w:rPr>
                    <w:t>危废暂存库</w:t>
                  </w:r>
                </w:p>
              </w:tc>
              <w:tc>
                <w:tcPr>
                  <w:tcW w:w="966" w:type="pct"/>
                  <w:tcBorders>
                    <w:top w:val="single" w:color="auto" w:sz="4" w:space="0"/>
                    <w:left w:val="single" w:color="auto" w:sz="4" w:space="0"/>
                    <w:bottom w:val="single" w:color="auto" w:sz="4" w:space="0"/>
                    <w:right w:val="single" w:color="auto" w:sz="4" w:space="0"/>
                  </w:tcBorders>
                  <w:vAlign w:val="center"/>
                </w:tcPr>
                <w:p w14:paraId="29D1BCBF">
                  <w:pPr>
                    <w:autoSpaceDE w:val="0"/>
                    <w:autoSpaceDN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重点防渗区</w:t>
                  </w:r>
                </w:p>
              </w:tc>
              <w:tc>
                <w:tcPr>
                  <w:tcW w:w="2923" w:type="pct"/>
                  <w:tcBorders>
                    <w:top w:val="single" w:color="auto" w:sz="4" w:space="0"/>
                    <w:left w:val="single" w:color="auto" w:sz="4" w:space="0"/>
                    <w:bottom w:val="single" w:color="auto" w:sz="4" w:space="0"/>
                  </w:tcBorders>
                  <w:vAlign w:val="center"/>
                </w:tcPr>
                <w:p w14:paraId="399EB094">
                  <w:pPr>
                    <w:autoSpaceDE w:val="0"/>
                    <w:autoSpaceDN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参照《危险废物贮存污染控制标准》（GB18597-2023）中防渗要求执行，基础必须防渗，防渗层为至少1m厚粘土层（渗透系数≤10</w:t>
                  </w:r>
                  <w:r>
                    <w:rPr>
                      <w:rFonts w:ascii="Times New Roman" w:hAnsi="Times New Roman" w:eastAsia="宋体" w:cs="Times New Roman"/>
                      <w:color w:val="auto"/>
                      <w:kern w:val="0"/>
                      <w:sz w:val="18"/>
                      <w:szCs w:val="18"/>
                      <w:highlight w:val="none"/>
                      <w:vertAlign w:val="superscript"/>
                    </w:rPr>
                    <w:t>-7</w:t>
                  </w:r>
                  <w:r>
                    <w:rPr>
                      <w:rFonts w:ascii="Times New Roman" w:hAnsi="Times New Roman" w:eastAsia="宋体" w:cs="Times New Roman"/>
                      <w:color w:val="auto"/>
                      <w:kern w:val="0"/>
                      <w:sz w:val="18"/>
                      <w:szCs w:val="18"/>
                      <w:highlight w:val="none"/>
                    </w:rPr>
                    <w:t>cm/s），或2mm厚高密度聚乙烯，或至少2mm厚的其他人工材料，渗透系数≤10</w:t>
                  </w:r>
                  <w:r>
                    <w:rPr>
                      <w:rFonts w:ascii="Times New Roman" w:hAnsi="Times New Roman" w:eastAsia="宋体" w:cs="Times New Roman"/>
                      <w:color w:val="auto"/>
                      <w:kern w:val="0"/>
                      <w:sz w:val="18"/>
                      <w:szCs w:val="18"/>
                      <w:highlight w:val="none"/>
                      <w:vertAlign w:val="superscript"/>
                    </w:rPr>
                    <w:t>-10</w:t>
                  </w:r>
                  <w:r>
                    <w:rPr>
                      <w:rFonts w:ascii="Times New Roman" w:hAnsi="Times New Roman" w:eastAsia="宋体" w:cs="Times New Roman"/>
                      <w:color w:val="auto"/>
                      <w:kern w:val="0"/>
                      <w:sz w:val="18"/>
                      <w:szCs w:val="18"/>
                      <w:highlight w:val="none"/>
                    </w:rPr>
                    <w:t>cm/s</w:t>
                  </w:r>
                </w:p>
              </w:tc>
            </w:tr>
            <w:tr w14:paraId="06F721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10" w:type="pct"/>
                  <w:tcBorders>
                    <w:top w:val="single" w:color="auto" w:sz="4" w:space="0"/>
                    <w:bottom w:val="single" w:color="auto" w:sz="8" w:space="0"/>
                    <w:right w:val="single" w:color="auto" w:sz="4" w:space="0"/>
                  </w:tcBorders>
                  <w:vAlign w:val="center"/>
                </w:tcPr>
                <w:p w14:paraId="747EDB26">
                  <w:pPr>
                    <w:autoSpaceDE w:val="0"/>
                    <w:autoSpaceDN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生产车间、化粪池、一般固废暂存间</w:t>
                  </w:r>
                </w:p>
              </w:tc>
              <w:tc>
                <w:tcPr>
                  <w:tcW w:w="966" w:type="pct"/>
                  <w:tcBorders>
                    <w:top w:val="single" w:color="auto" w:sz="4" w:space="0"/>
                    <w:left w:val="single" w:color="auto" w:sz="4" w:space="0"/>
                    <w:bottom w:val="single" w:color="auto" w:sz="8" w:space="0"/>
                    <w:right w:val="single" w:color="auto" w:sz="4" w:space="0"/>
                  </w:tcBorders>
                  <w:vAlign w:val="center"/>
                </w:tcPr>
                <w:p w14:paraId="2981875F">
                  <w:pPr>
                    <w:autoSpaceDE w:val="0"/>
                    <w:autoSpaceDN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kern w:val="0"/>
                      <w:sz w:val="18"/>
                      <w:szCs w:val="18"/>
                      <w:highlight w:val="none"/>
                    </w:rPr>
                    <w:t>一般防渗区</w:t>
                  </w:r>
                </w:p>
              </w:tc>
              <w:tc>
                <w:tcPr>
                  <w:tcW w:w="2923" w:type="pct"/>
                  <w:tcBorders>
                    <w:top w:val="single" w:color="auto" w:sz="4" w:space="0"/>
                    <w:left w:val="single" w:color="auto" w:sz="4" w:space="0"/>
                    <w:bottom w:val="single" w:color="auto" w:sz="8" w:space="0"/>
                  </w:tcBorders>
                  <w:vAlign w:val="center"/>
                </w:tcPr>
                <w:p w14:paraId="38F33C5F">
                  <w:pPr>
                    <w:autoSpaceDE w:val="0"/>
                    <w:autoSpaceDN w:val="0"/>
                    <w:spacing w:line="276" w:lineRule="auto"/>
                    <w:jc w:val="center"/>
                    <w:rPr>
                      <w:rFonts w:ascii="Times New Roman" w:hAnsi="Times New Roman" w:eastAsia="宋体" w:cs="Times New Roman"/>
                      <w:color w:val="auto"/>
                      <w:kern w:val="0"/>
                      <w:sz w:val="18"/>
                      <w:szCs w:val="18"/>
                      <w:highlight w:val="none"/>
                    </w:rPr>
                  </w:pPr>
                  <w:r>
                    <w:rPr>
                      <w:rFonts w:ascii="Times New Roman" w:hAnsi="Times New Roman" w:eastAsia="宋体" w:cs="Times New Roman"/>
                      <w:color w:val="auto"/>
                      <w:sz w:val="18"/>
                      <w:szCs w:val="18"/>
                      <w:highlight w:val="none"/>
                    </w:rPr>
                    <w:t>等效黏土防渗层Mb≥1.5m，K≤1×10</w:t>
                  </w:r>
                  <w:r>
                    <w:rPr>
                      <w:rFonts w:ascii="Times New Roman" w:hAnsi="Times New Roman" w:eastAsia="宋体" w:cs="Times New Roman"/>
                      <w:color w:val="auto"/>
                      <w:sz w:val="18"/>
                      <w:szCs w:val="18"/>
                      <w:highlight w:val="none"/>
                      <w:vertAlign w:val="superscript"/>
                    </w:rPr>
                    <w:t>-7</w:t>
                  </w:r>
                  <w:r>
                    <w:rPr>
                      <w:rFonts w:ascii="Times New Roman" w:hAnsi="Times New Roman" w:eastAsia="宋体" w:cs="Times New Roman"/>
                      <w:color w:val="auto"/>
                      <w:sz w:val="18"/>
                      <w:szCs w:val="18"/>
                      <w:highlight w:val="none"/>
                    </w:rPr>
                    <w:t>cm/s</w:t>
                  </w:r>
                </w:p>
              </w:tc>
            </w:tr>
          </w:tbl>
          <w:p w14:paraId="2A2069D7">
            <w:pPr>
              <w:spacing w:line="440" w:lineRule="exact"/>
              <w:ind w:firstLine="470" w:firstLineChars="196"/>
              <w:rPr>
                <w:rFonts w:ascii="Times New Roman" w:hAnsi="Times New Roman" w:eastAsia="宋体" w:cs="Times New Roman"/>
                <w:b/>
                <w:color w:val="auto"/>
                <w:sz w:val="24"/>
                <w:szCs w:val="24"/>
                <w:highlight w:val="none"/>
              </w:rPr>
            </w:pPr>
            <w:r>
              <w:rPr>
                <w:rFonts w:ascii="Times New Roman" w:hAnsi="Times New Roman" w:eastAsia="宋体" w:cs="Times New Roman"/>
                <w:color w:val="auto"/>
                <w:sz w:val="24"/>
                <w:szCs w:val="20"/>
                <w:highlight w:val="none"/>
              </w:rPr>
              <w:t>因此，在落实各项防渗措施后，项目不会对区域地下水、土壤环境产生明显影响。</w:t>
            </w:r>
          </w:p>
          <w:p w14:paraId="7AA9A539">
            <w:pPr>
              <w:spacing w:line="440" w:lineRule="exact"/>
              <w:ind w:firstLine="472" w:firstLineChars="196"/>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6、环境风险评价</w:t>
            </w:r>
          </w:p>
          <w:p w14:paraId="48698041">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（1）危险物质识别</w:t>
            </w:r>
          </w:p>
          <w:p w14:paraId="60F43A9A">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拟建项目使用的原辅材料主要为钢板、塑粉；厂内废水主</w:t>
            </w:r>
            <w:r>
              <w:rPr>
                <w:rFonts w:hint="eastAsia" w:ascii="Times New Roman" w:hAnsi="Times New Roman" w:eastAsia="宋体" w:cs="Times New Roman"/>
                <w:bCs/>
                <w:color w:val="auto"/>
                <w:sz w:val="24"/>
                <w:szCs w:val="24"/>
                <w:highlight w:val="none"/>
                <w:lang w:eastAsia="zh-CN"/>
              </w:rPr>
              <w:t>要为</w:t>
            </w:r>
            <w:r>
              <w:rPr>
                <w:rFonts w:ascii="Times New Roman" w:hAnsi="Times New Roman" w:eastAsia="宋体" w:cs="Times New Roman"/>
                <w:bCs/>
                <w:color w:val="auto"/>
                <w:sz w:val="24"/>
                <w:szCs w:val="24"/>
                <w:highlight w:val="none"/>
              </w:rPr>
              <w:t>生活污水；涉及的固体废物为</w:t>
            </w:r>
            <w:r>
              <w:rPr>
                <w:rFonts w:ascii="Times New Roman" w:hAnsi="Times New Roman" w:eastAsia="宋体" w:cs="Times New Roman"/>
                <w:color w:val="auto"/>
                <w:kern w:val="0"/>
                <w:sz w:val="24"/>
                <w:szCs w:val="24"/>
                <w:highlight w:val="none"/>
              </w:rPr>
              <w:t>边角料、焊渣、废塑粉、废包装物、废活性炭、废机油、机油桶和生活垃圾</w:t>
            </w:r>
            <w:r>
              <w:rPr>
                <w:rFonts w:ascii="Times New Roman" w:hAnsi="Times New Roman" w:eastAsia="宋体" w:cs="Times New Roman"/>
                <w:bCs/>
                <w:color w:val="auto"/>
                <w:sz w:val="24"/>
                <w:szCs w:val="24"/>
                <w:highlight w:val="none"/>
              </w:rPr>
              <w:t xml:space="preserve">。 </w:t>
            </w:r>
          </w:p>
          <w:p w14:paraId="70033A50">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根据《危险化学品名录》和《建设项目环境风险评价技术导则》（HJ 169-2018）附录B中突发环境事件风险物质及临界值表，本项目涉及的危险物质为废机油和机油。</w:t>
            </w:r>
          </w:p>
          <w:p w14:paraId="1FAAC98E">
            <w:pPr>
              <w:spacing w:line="360" w:lineRule="auto"/>
              <w:ind w:firstLine="480" w:firstLineChars="200"/>
              <w:rPr>
                <w:rFonts w:ascii="Times New Roman" w:hAnsi="Times New Roman" w:eastAsia="宋体" w:cs="Times New Roman"/>
                <w:bCs/>
                <w:color w:val="auto"/>
                <w:sz w:val="24"/>
                <w:szCs w:val="24"/>
                <w:highlight w:val="none"/>
              </w:rPr>
            </w:pPr>
            <w:r>
              <w:rPr>
                <w:rFonts w:ascii="Times New Roman" w:hAnsi="Times New Roman" w:eastAsia="宋体" w:cs="Times New Roman"/>
                <w:bCs/>
                <w:color w:val="auto"/>
                <w:sz w:val="24"/>
                <w:szCs w:val="24"/>
                <w:highlight w:val="none"/>
              </w:rPr>
              <w:t>本项目涉及危险物质情况详见下表。</w:t>
            </w:r>
          </w:p>
          <w:p w14:paraId="669DC420">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表4-14  本项目涉及的危险物质情况一览表</w:t>
            </w:r>
          </w:p>
          <w:tbl>
            <w:tblPr>
              <w:tblStyle w:val="18"/>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149"/>
              <w:gridCol w:w="1937"/>
              <w:gridCol w:w="1294"/>
            </w:tblGrid>
            <w:tr w14:paraId="41C875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pct"/>
                  <w:tcBorders>
                    <w:tl2br w:val="nil"/>
                    <w:tr2bl w:val="nil"/>
                  </w:tcBorders>
                  <w:vAlign w:val="center"/>
                </w:tcPr>
                <w:p w14:paraId="2A9FA500">
                  <w:pPr>
                    <w:autoSpaceDE w:val="0"/>
                    <w:autoSpaceDN w:val="0"/>
                    <w:spacing w:line="276" w:lineRule="auto"/>
                    <w:jc w:val="center"/>
                    <w:rPr>
                      <w:rFonts w:ascii="Times New Roman" w:hAnsi="Times New Roman" w:eastAsia="宋体" w:cs="Times New Roman"/>
                      <w:b/>
                      <w:bCs/>
                      <w:color w:val="auto"/>
                      <w:sz w:val="18"/>
                      <w:szCs w:val="18"/>
                      <w:highlight w:val="none"/>
                      <w:lang w:val="zh-CN"/>
                    </w:rPr>
                  </w:pPr>
                  <w:r>
                    <w:rPr>
                      <w:rFonts w:ascii="Times New Roman" w:hAnsi="Times New Roman" w:eastAsia="宋体" w:cs="Times New Roman"/>
                      <w:b/>
                      <w:bCs/>
                      <w:color w:val="auto"/>
                      <w:sz w:val="18"/>
                      <w:szCs w:val="18"/>
                      <w:highlight w:val="none"/>
                      <w:lang w:val="zh-CN"/>
                    </w:rPr>
                    <w:t>物质名称</w:t>
                  </w:r>
                </w:p>
              </w:tc>
              <w:tc>
                <w:tcPr>
                  <w:tcW w:w="1991" w:type="pct"/>
                  <w:tcBorders>
                    <w:tl2br w:val="nil"/>
                    <w:tr2bl w:val="nil"/>
                  </w:tcBorders>
                  <w:vAlign w:val="center"/>
                </w:tcPr>
                <w:p w14:paraId="19298300">
                  <w:pPr>
                    <w:autoSpaceDE w:val="0"/>
                    <w:autoSpaceDN w:val="0"/>
                    <w:spacing w:line="276" w:lineRule="auto"/>
                    <w:jc w:val="center"/>
                    <w:rPr>
                      <w:rFonts w:ascii="Times New Roman" w:hAnsi="Times New Roman" w:eastAsia="宋体" w:cs="Times New Roman"/>
                      <w:b/>
                      <w:bCs/>
                      <w:color w:val="auto"/>
                      <w:sz w:val="18"/>
                      <w:szCs w:val="18"/>
                      <w:highlight w:val="none"/>
                      <w:lang w:val="zh-CN"/>
                    </w:rPr>
                  </w:pPr>
                  <w:r>
                    <w:rPr>
                      <w:rFonts w:ascii="Times New Roman" w:hAnsi="Times New Roman" w:eastAsia="宋体" w:cs="Times New Roman"/>
                      <w:b/>
                      <w:bCs/>
                      <w:color w:val="auto"/>
                      <w:sz w:val="18"/>
                      <w:szCs w:val="18"/>
                      <w:highlight w:val="none"/>
                      <w:lang w:val="zh-CN"/>
                    </w:rPr>
                    <w:t>厂区最大存在量（t）</w:t>
                  </w:r>
                </w:p>
              </w:tc>
              <w:tc>
                <w:tcPr>
                  <w:tcW w:w="1224" w:type="pct"/>
                  <w:tcBorders>
                    <w:tl2br w:val="nil"/>
                    <w:tr2bl w:val="nil"/>
                  </w:tcBorders>
                  <w:vAlign w:val="center"/>
                </w:tcPr>
                <w:p w14:paraId="47425194">
                  <w:pPr>
                    <w:autoSpaceDE w:val="0"/>
                    <w:autoSpaceDN w:val="0"/>
                    <w:spacing w:line="276" w:lineRule="auto"/>
                    <w:jc w:val="center"/>
                    <w:rPr>
                      <w:rFonts w:ascii="Times New Roman" w:hAnsi="Times New Roman" w:eastAsia="宋体" w:cs="Times New Roman"/>
                      <w:b/>
                      <w:bCs/>
                      <w:color w:val="auto"/>
                      <w:sz w:val="18"/>
                      <w:szCs w:val="18"/>
                      <w:highlight w:val="none"/>
                      <w:lang w:val="zh-CN"/>
                    </w:rPr>
                  </w:pPr>
                  <w:r>
                    <w:rPr>
                      <w:rFonts w:ascii="Times New Roman" w:hAnsi="Times New Roman" w:eastAsia="宋体" w:cs="Times New Roman"/>
                      <w:b/>
                      <w:color w:val="auto"/>
                      <w:sz w:val="18"/>
                      <w:szCs w:val="18"/>
                      <w:highlight w:val="none"/>
                    </w:rPr>
                    <w:t>临界量</w:t>
                  </w:r>
                  <w:r>
                    <w:rPr>
                      <w:rFonts w:ascii="Times New Roman" w:hAnsi="Times New Roman" w:eastAsia="宋体" w:cs="Times New Roman"/>
                      <w:b/>
                      <w:bCs/>
                      <w:color w:val="auto"/>
                      <w:sz w:val="18"/>
                      <w:szCs w:val="18"/>
                      <w:highlight w:val="none"/>
                      <w:lang w:val="zh-CN"/>
                    </w:rPr>
                    <w:t>（t）</w:t>
                  </w:r>
                </w:p>
              </w:tc>
              <w:tc>
                <w:tcPr>
                  <w:tcW w:w="818" w:type="pct"/>
                  <w:tcBorders>
                    <w:tl2br w:val="nil"/>
                    <w:tr2bl w:val="nil"/>
                  </w:tcBorders>
                  <w:vAlign w:val="center"/>
                </w:tcPr>
                <w:p w14:paraId="64465510">
                  <w:pPr>
                    <w:autoSpaceDE w:val="0"/>
                    <w:autoSpaceDN w:val="0"/>
                    <w:spacing w:line="276" w:lineRule="auto"/>
                    <w:jc w:val="center"/>
                    <w:rPr>
                      <w:rFonts w:ascii="Times New Roman" w:hAnsi="Times New Roman" w:eastAsia="宋体" w:cs="Times New Roman"/>
                      <w:b/>
                      <w:bCs/>
                      <w:color w:val="auto"/>
                      <w:sz w:val="18"/>
                      <w:szCs w:val="18"/>
                      <w:highlight w:val="none"/>
                      <w:lang w:val="zh-CN"/>
                    </w:rPr>
                  </w:pPr>
                  <w:r>
                    <w:rPr>
                      <w:rFonts w:ascii="Times New Roman" w:hAnsi="Times New Roman" w:eastAsia="宋体" w:cs="Times New Roman"/>
                      <w:b/>
                      <w:bCs/>
                      <w:color w:val="auto"/>
                      <w:sz w:val="18"/>
                      <w:szCs w:val="18"/>
                      <w:highlight w:val="none"/>
                      <w:lang w:val="zh-CN"/>
                    </w:rPr>
                    <w:t>Q值</w:t>
                  </w:r>
                </w:p>
              </w:tc>
            </w:tr>
            <w:tr w14:paraId="0303B9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pct"/>
                  <w:tcBorders>
                    <w:tl2br w:val="nil"/>
                    <w:tr2bl w:val="nil"/>
                  </w:tcBorders>
                  <w:vAlign w:val="center"/>
                </w:tcPr>
                <w:p w14:paraId="3498AC2C">
                  <w:pPr>
                    <w:autoSpaceDE w:val="0"/>
                    <w:autoSpaceDN w:val="0"/>
                    <w:spacing w:line="276" w:lineRule="auto"/>
                    <w:jc w:val="center"/>
                    <w:rPr>
                      <w:rFonts w:ascii="Times New Roman" w:hAnsi="Times New Roman" w:eastAsia="宋体" w:cs="Times New Roman"/>
                      <w:bCs/>
                      <w:color w:val="auto"/>
                      <w:sz w:val="18"/>
                      <w:szCs w:val="18"/>
                      <w:highlight w:val="none"/>
                      <w:lang w:val="zh-CN"/>
                    </w:rPr>
                  </w:pPr>
                  <w:r>
                    <w:rPr>
                      <w:rFonts w:ascii="Times New Roman" w:hAnsi="Times New Roman" w:eastAsia="宋体" w:cs="Times New Roman"/>
                      <w:bCs/>
                      <w:color w:val="auto"/>
                      <w:sz w:val="18"/>
                      <w:szCs w:val="18"/>
                      <w:highlight w:val="none"/>
                      <w:lang w:val="zh-CN"/>
                    </w:rPr>
                    <w:t>废机油</w:t>
                  </w:r>
                </w:p>
              </w:tc>
              <w:tc>
                <w:tcPr>
                  <w:tcW w:w="1991" w:type="pct"/>
                  <w:tcBorders>
                    <w:tl2br w:val="nil"/>
                    <w:tr2bl w:val="nil"/>
                  </w:tcBorders>
                  <w:vAlign w:val="center"/>
                </w:tcPr>
                <w:p w14:paraId="78B46D05">
                  <w:pPr>
                    <w:autoSpaceDE w:val="0"/>
                    <w:autoSpaceDN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0.5</w:t>
                  </w:r>
                </w:p>
              </w:tc>
              <w:tc>
                <w:tcPr>
                  <w:tcW w:w="1224" w:type="pct"/>
                  <w:tcBorders>
                    <w:tl2br w:val="nil"/>
                    <w:tr2bl w:val="nil"/>
                  </w:tcBorders>
                  <w:vAlign w:val="center"/>
                </w:tcPr>
                <w:p w14:paraId="66FCB3CE">
                  <w:pPr>
                    <w:autoSpaceDE w:val="0"/>
                    <w:autoSpaceDN w:val="0"/>
                    <w:spacing w:line="276" w:lineRule="auto"/>
                    <w:jc w:val="center"/>
                    <w:rPr>
                      <w:rFonts w:ascii="Times New Roman" w:hAnsi="Times New Roman" w:eastAsia="宋体" w:cs="Times New Roman"/>
                      <w:bCs/>
                      <w:color w:val="auto"/>
                      <w:sz w:val="18"/>
                      <w:szCs w:val="18"/>
                      <w:highlight w:val="none"/>
                      <w:lang w:val="zh-CN"/>
                    </w:rPr>
                  </w:pPr>
                  <w:r>
                    <w:rPr>
                      <w:rFonts w:ascii="Times New Roman" w:hAnsi="Times New Roman" w:eastAsia="宋体" w:cs="Times New Roman"/>
                      <w:bCs/>
                      <w:color w:val="auto"/>
                      <w:sz w:val="18"/>
                      <w:szCs w:val="18"/>
                      <w:highlight w:val="none"/>
                      <w:lang w:val="zh-CN"/>
                    </w:rPr>
                    <w:t>2500</w:t>
                  </w:r>
                </w:p>
              </w:tc>
              <w:tc>
                <w:tcPr>
                  <w:tcW w:w="818" w:type="pct"/>
                  <w:tcBorders>
                    <w:tl2br w:val="nil"/>
                    <w:tr2bl w:val="nil"/>
                  </w:tcBorders>
                  <w:vAlign w:val="center"/>
                </w:tcPr>
                <w:p w14:paraId="292D6AAB">
                  <w:pPr>
                    <w:autoSpaceDE w:val="0"/>
                    <w:autoSpaceDN w:val="0"/>
                    <w:spacing w:line="276" w:lineRule="auto"/>
                    <w:jc w:val="center"/>
                    <w:rPr>
                      <w:rFonts w:ascii="Times New Roman" w:hAnsi="Times New Roman" w:eastAsia="宋体" w:cs="Times New Roman"/>
                      <w:bCs/>
                      <w:color w:val="auto"/>
                      <w:sz w:val="18"/>
                      <w:szCs w:val="18"/>
                      <w:highlight w:val="none"/>
                      <w:lang w:val="zh-CN"/>
                    </w:rPr>
                  </w:pPr>
                  <w:r>
                    <w:rPr>
                      <w:rFonts w:ascii="Times New Roman" w:hAnsi="Times New Roman" w:eastAsia="宋体" w:cs="Times New Roman"/>
                      <w:bCs/>
                      <w:color w:val="auto"/>
                      <w:sz w:val="18"/>
                      <w:szCs w:val="18"/>
                      <w:highlight w:val="none"/>
                      <w:lang w:val="zh-CN"/>
                    </w:rPr>
                    <w:t>0.000</w:t>
                  </w:r>
                  <w:r>
                    <w:rPr>
                      <w:rFonts w:hint="eastAsia" w:ascii="Times New Roman" w:hAnsi="Times New Roman" w:eastAsia="宋体" w:cs="Times New Roman"/>
                      <w:bCs/>
                      <w:color w:val="auto"/>
                      <w:sz w:val="18"/>
                      <w:szCs w:val="18"/>
                      <w:highlight w:val="none"/>
                    </w:rPr>
                    <w:t>1</w:t>
                  </w:r>
                </w:p>
              </w:tc>
            </w:tr>
            <w:tr w14:paraId="157DE8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65" w:type="pct"/>
                  <w:tcBorders>
                    <w:tl2br w:val="nil"/>
                    <w:tr2bl w:val="nil"/>
                  </w:tcBorders>
                  <w:vAlign w:val="center"/>
                </w:tcPr>
                <w:p w14:paraId="6D10AFD0">
                  <w:pPr>
                    <w:autoSpaceDE w:val="0"/>
                    <w:autoSpaceDN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rPr>
                    <w:t>机油</w:t>
                  </w:r>
                </w:p>
              </w:tc>
              <w:tc>
                <w:tcPr>
                  <w:tcW w:w="1991" w:type="pct"/>
                  <w:tcBorders>
                    <w:tl2br w:val="nil"/>
                    <w:tr2bl w:val="nil"/>
                  </w:tcBorders>
                  <w:vAlign w:val="center"/>
                </w:tcPr>
                <w:p w14:paraId="3E599947">
                  <w:pPr>
                    <w:autoSpaceDE w:val="0"/>
                    <w:autoSpaceDN w:val="0"/>
                    <w:spacing w:line="276" w:lineRule="auto"/>
                    <w:jc w:val="center"/>
                    <w:rPr>
                      <w:rFonts w:ascii="Times New Roman" w:hAnsi="Times New Roman" w:eastAsia="宋体" w:cs="Times New Roman"/>
                      <w:bCs/>
                      <w:color w:val="auto"/>
                      <w:sz w:val="18"/>
                      <w:szCs w:val="18"/>
                      <w:highlight w:val="none"/>
                    </w:rPr>
                  </w:pPr>
                  <w:r>
                    <w:rPr>
                      <w:rFonts w:hint="eastAsia" w:ascii="Times New Roman" w:hAnsi="Times New Roman" w:eastAsia="宋体" w:cs="Times New Roman"/>
                      <w:bCs/>
                      <w:color w:val="auto"/>
                      <w:sz w:val="18"/>
                      <w:szCs w:val="18"/>
                      <w:highlight w:val="none"/>
                    </w:rPr>
                    <w:t>0.01</w:t>
                  </w:r>
                </w:p>
              </w:tc>
              <w:tc>
                <w:tcPr>
                  <w:tcW w:w="1224" w:type="pct"/>
                  <w:tcBorders>
                    <w:tl2br w:val="nil"/>
                    <w:tr2bl w:val="nil"/>
                  </w:tcBorders>
                  <w:vAlign w:val="center"/>
                </w:tcPr>
                <w:p w14:paraId="7C8EC2FB">
                  <w:pPr>
                    <w:autoSpaceDE w:val="0"/>
                    <w:autoSpaceDN w:val="0"/>
                    <w:spacing w:line="276" w:lineRule="auto"/>
                    <w:jc w:val="center"/>
                    <w:rPr>
                      <w:rFonts w:ascii="Times New Roman" w:hAnsi="Times New Roman" w:eastAsia="宋体" w:cs="Times New Roman"/>
                      <w:bCs/>
                      <w:color w:val="auto"/>
                      <w:sz w:val="18"/>
                      <w:szCs w:val="18"/>
                      <w:highlight w:val="none"/>
                      <w:lang w:val="zh-CN"/>
                    </w:rPr>
                  </w:pPr>
                  <w:r>
                    <w:rPr>
                      <w:rFonts w:ascii="Times New Roman" w:hAnsi="Times New Roman" w:eastAsia="宋体" w:cs="Times New Roman"/>
                      <w:bCs/>
                      <w:color w:val="auto"/>
                      <w:sz w:val="18"/>
                      <w:szCs w:val="18"/>
                      <w:highlight w:val="none"/>
                      <w:lang w:val="zh-CN"/>
                    </w:rPr>
                    <w:t>2500</w:t>
                  </w:r>
                </w:p>
              </w:tc>
              <w:tc>
                <w:tcPr>
                  <w:tcW w:w="818" w:type="pct"/>
                  <w:tcBorders>
                    <w:tl2br w:val="nil"/>
                    <w:tr2bl w:val="nil"/>
                  </w:tcBorders>
                  <w:vAlign w:val="center"/>
                </w:tcPr>
                <w:p w14:paraId="0D6DB2D8">
                  <w:pPr>
                    <w:autoSpaceDE w:val="0"/>
                    <w:autoSpaceDN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lang w:val="zh-CN"/>
                    </w:rPr>
                    <w:t>0.000</w:t>
                  </w:r>
                  <w:r>
                    <w:rPr>
                      <w:rFonts w:hint="eastAsia" w:ascii="Times New Roman" w:hAnsi="Times New Roman" w:eastAsia="宋体" w:cs="Times New Roman"/>
                      <w:bCs/>
                      <w:color w:val="auto"/>
                      <w:sz w:val="18"/>
                      <w:szCs w:val="18"/>
                      <w:highlight w:val="none"/>
                    </w:rPr>
                    <w:t>004</w:t>
                  </w:r>
                </w:p>
              </w:tc>
            </w:tr>
            <w:tr w14:paraId="30295A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81" w:type="pct"/>
                  <w:gridSpan w:val="3"/>
                  <w:tcBorders>
                    <w:tl2br w:val="nil"/>
                    <w:tr2bl w:val="nil"/>
                  </w:tcBorders>
                  <w:vAlign w:val="center"/>
                </w:tcPr>
                <w:p w14:paraId="6AD45599">
                  <w:pPr>
                    <w:autoSpaceDE w:val="0"/>
                    <w:autoSpaceDN w:val="0"/>
                    <w:spacing w:line="276" w:lineRule="auto"/>
                    <w:jc w:val="center"/>
                    <w:rPr>
                      <w:rFonts w:ascii="Times New Roman" w:hAnsi="Times New Roman" w:eastAsia="宋体" w:cs="Times New Roman"/>
                      <w:bCs/>
                      <w:color w:val="auto"/>
                      <w:sz w:val="18"/>
                      <w:szCs w:val="18"/>
                      <w:highlight w:val="none"/>
                      <w:lang w:val="zh-CN"/>
                    </w:rPr>
                  </w:pPr>
                  <w:r>
                    <w:rPr>
                      <w:rFonts w:ascii="Times New Roman" w:hAnsi="Times New Roman" w:eastAsia="宋体" w:cs="Times New Roman"/>
                      <w:bCs/>
                      <w:color w:val="auto"/>
                      <w:sz w:val="18"/>
                      <w:szCs w:val="18"/>
                      <w:highlight w:val="none"/>
                      <w:lang w:val="zh-CN"/>
                    </w:rPr>
                    <w:t>合计</w:t>
                  </w:r>
                </w:p>
              </w:tc>
              <w:tc>
                <w:tcPr>
                  <w:tcW w:w="818" w:type="pct"/>
                  <w:tcBorders>
                    <w:tl2br w:val="nil"/>
                    <w:tr2bl w:val="nil"/>
                  </w:tcBorders>
                  <w:vAlign w:val="center"/>
                </w:tcPr>
                <w:p w14:paraId="532784E6">
                  <w:pPr>
                    <w:autoSpaceDE w:val="0"/>
                    <w:autoSpaceDN w:val="0"/>
                    <w:spacing w:line="276" w:lineRule="auto"/>
                    <w:jc w:val="center"/>
                    <w:rPr>
                      <w:rFonts w:ascii="Times New Roman" w:hAnsi="Times New Roman" w:eastAsia="宋体" w:cs="Times New Roman"/>
                      <w:bCs/>
                      <w:color w:val="auto"/>
                      <w:sz w:val="18"/>
                      <w:szCs w:val="18"/>
                      <w:highlight w:val="none"/>
                    </w:rPr>
                  </w:pPr>
                  <w:r>
                    <w:rPr>
                      <w:rFonts w:ascii="Times New Roman" w:hAnsi="Times New Roman" w:eastAsia="宋体" w:cs="Times New Roman"/>
                      <w:bCs/>
                      <w:color w:val="auto"/>
                      <w:sz w:val="18"/>
                      <w:szCs w:val="18"/>
                      <w:highlight w:val="none"/>
                      <w:lang w:val="zh-CN"/>
                    </w:rPr>
                    <w:t>0.000</w:t>
                  </w:r>
                  <w:r>
                    <w:rPr>
                      <w:rFonts w:hint="eastAsia" w:ascii="Times New Roman" w:hAnsi="Times New Roman" w:eastAsia="宋体" w:cs="Times New Roman"/>
                      <w:bCs/>
                      <w:color w:val="auto"/>
                      <w:sz w:val="18"/>
                      <w:szCs w:val="18"/>
                      <w:highlight w:val="none"/>
                    </w:rPr>
                    <w:t>104</w:t>
                  </w:r>
                </w:p>
              </w:tc>
            </w:tr>
          </w:tbl>
          <w:p w14:paraId="00AB43B6">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（2）危险物质及风险源分布情况</w:t>
            </w:r>
          </w:p>
          <w:p w14:paraId="154507EC">
            <w:pPr>
              <w:spacing w:line="360" w:lineRule="auto"/>
              <w:ind w:firstLine="480" w:firstLineChars="200"/>
              <w:rPr>
                <w:rFonts w:ascii="Times New Roman" w:hAnsi="Times New Roman" w:eastAsia="宋体" w:cs="Times New Roman"/>
                <w:color w:val="auto"/>
                <w:sz w:val="24"/>
                <w:szCs w:val="28"/>
                <w:highlight w:val="none"/>
              </w:rPr>
            </w:pPr>
            <w:r>
              <w:rPr>
                <w:rFonts w:ascii="Times New Roman" w:hAnsi="Times New Roman" w:eastAsia="宋体" w:cs="Times New Roman"/>
                <w:color w:val="auto"/>
                <w:sz w:val="24"/>
                <w:szCs w:val="28"/>
                <w:highlight w:val="none"/>
              </w:rPr>
              <w:t>本项目危险物质主要为机油、废机油，其中机油</w:t>
            </w:r>
            <w:r>
              <w:rPr>
                <w:rFonts w:hint="eastAsia" w:ascii="Times New Roman" w:hAnsi="Times New Roman" w:eastAsia="宋体" w:cs="Times New Roman"/>
                <w:color w:val="auto"/>
                <w:sz w:val="24"/>
                <w:szCs w:val="28"/>
                <w:highlight w:val="none"/>
              </w:rPr>
              <w:t>由设备维护厂家检修时提供，不在场内</w:t>
            </w:r>
            <w:r>
              <w:rPr>
                <w:rFonts w:hint="eastAsia" w:ascii="Times New Roman" w:hAnsi="Times New Roman" w:eastAsia="宋体" w:cs="Times New Roman"/>
                <w:color w:val="auto"/>
                <w:sz w:val="24"/>
                <w:szCs w:val="28"/>
                <w:highlight w:val="none"/>
                <w:lang w:val="en-US" w:eastAsia="zh-CN"/>
              </w:rPr>
              <w:t>贮存</w:t>
            </w:r>
            <w:r>
              <w:rPr>
                <w:rFonts w:ascii="Times New Roman" w:hAnsi="Times New Roman" w:eastAsia="宋体" w:cs="Times New Roman"/>
                <w:color w:val="auto"/>
                <w:sz w:val="24"/>
                <w:szCs w:val="28"/>
                <w:highlight w:val="none"/>
              </w:rPr>
              <w:t>，废机油储存在危废暂存库，</w:t>
            </w:r>
            <w:r>
              <w:rPr>
                <w:rFonts w:hint="eastAsia" w:ascii="Times New Roman" w:hAnsi="Times New Roman" w:eastAsia="宋体" w:cs="Times New Roman"/>
                <w:color w:val="auto"/>
                <w:sz w:val="24"/>
                <w:szCs w:val="28"/>
                <w:highlight w:val="none"/>
              </w:rPr>
              <w:t>因此</w:t>
            </w:r>
            <w:r>
              <w:rPr>
                <w:rFonts w:ascii="Times New Roman" w:hAnsi="Times New Roman" w:eastAsia="宋体" w:cs="Times New Roman"/>
                <w:color w:val="auto"/>
                <w:sz w:val="24"/>
                <w:szCs w:val="28"/>
                <w:highlight w:val="none"/>
              </w:rPr>
              <w:t>危废暂存库采取重点防渗措施，确保对地下水及土壤环境影响可接受。</w:t>
            </w:r>
          </w:p>
          <w:p w14:paraId="1AFB18D8">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（3）可能影响途径</w:t>
            </w:r>
          </w:p>
          <w:p w14:paraId="6715722F">
            <w:pPr>
              <w:spacing w:line="360" w:lineRule="auto"/>
              <w:ind w:firstLine="480" w:firstLineChars="200"/>
              <w:rPr>
                <w:rFonts w:ascii="Times New Roman" w:hAnsi="Times New Roman" w:eastAsia="宋体" w:cs="Times New Roman"/>
                <w:color w:val="auto"/>
                <w:sz w:val="24"/>
                <w:szCs w:val="28"/>
                <w:highlight w:val="none"/>
              </w:rPr>
            </w:pPr>
            <w:r>
              <w:rPr>
                <w:rFonts w:ascii="Times New Roman" w:hAnsi="Times New Roman" w:eastAsia="宋体" w:cs="Times New Roman"/>
                <w:color w:val="auto"/>
                <w:sz w:val="24"/>
                <w:szCs w:val="28"/>
                <w:highlight w:val="none"/>
              </w:rPr>
              <w:t>拟建项目运营期风险源分布情况见下表。</w:t>
            </w:r>
          </w:p>
          <w:p w14:paraId="12EB1CA2">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表4-15  环境风险识别一览表</w:t>
            </w:r>
          </w:p>
          <w:tbl>
            <w:tblPr>
              <w:tblStyle w:val="18"/>
              <w:tblW w:w="499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792"/>
              <w:gridCol w:w="904"/>
              <w:gridCol w:w="1133"/>
              <w:gridCol w:w="2968"/>
              <w:gridCol w:w="1450"/>
            </w:tblGrid>
            <w:tr w14:paraId="793F8B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tcBorders>
                    <w:tl2br w:val="nil"/>
                    <w:tr2bl w:val="nil"/>
                  </w:tcBorders>
                  <w:vAlign w:val="center"/>
                </w:tcPr>
                <w:p w14:paraId="184CCF72">
                  <w:pPr>
                    <w:pStyle w:val="26"/>
                    <w:adjustRightInd/>
                    <w:snapToGrid w:val="0"/>
                    <w:spacing w:before="0" w:after="0" w:line="276" w:lineRule="auto"/>
                    <w:jc w:val="center"/>
                    <w:rPr>
                      <w:rFonts w:ascii="Times New Roman" w:hAnsi="Times New Roman" w:eastAsia="宋体"/>
                      <w:b/>
                      <w:color w:val="auto"/>
                      <w:sz w:val="18"/>
                      <w:szCs w:val="18"/>
                      <w:highlight w:val="none"/>
                    </w:rPr>
                  </w:pPr>
                  <w:r>
                    <w:rPr>
                      <w:rFonts w:ascii="Times New Roman" w:hAnsi="Times New Roman" w:eastAsia="宋体"/>
                      <w:b/>
                      <w:color w:val="auto"/>
                      <w:sz w:val="18"/>
                      <w:szCs w:val="18"/>
                      <w:highlight w:val="none"/>
                    </w:rPr>
                    <w:t>系统名称</w:t>
                  </w:r>
                </w:p>
              </w:tc>
              <w:tc>
                <w:tcPr>
                  <w:tcW w:w="501" w:type="pct"/>
                  <w:tcBorders>
                    <w:tl2br w:val="nil"/>
                    <w:tr2bl w:val="nil"/>
                  </w:tcBorders>
                  <w:vAlign w:val="center"/>
                </w:tcPr>
                <w:p w14:paraId="1BBE0835">
                  <w:pPr>
                    <w:pStyle w:val="26"/>
                    <w:adjustRightInd/>
                    <w:snapToGrid w:val="0"/>
                    <w:spacing w:before="0" w:after="0" w:line="276" w:lineRule="auto"/>
                    <w:jc w:val="center"/>
                    <w:rPr>
                      <w:rFonts w:ascii="Times New Roman" w:hAnsi="Times New Roman" w:eastAsia="宋体"/>
                      <w:b/>
                      <w:color w:val="auto"/>
                      <w:sz w:val="18"/>
                      <w:szCs w:val="18"/>
                      <w:highlight w:val="none"/>
                    </w:rPr>
                  </w:pPr>
                  <w:r>
                    <w:rPr>
                      <w:rFonts w:ascii="Times New Roman" w:hAnsi="Times New Roman" w:eastAsia="宋体"/>
                      <w:b/>
                      <w:color w:val="auto"/>
                      <w:sz w:val="18"/>
                      <w:szCs w:val="18"/>
                      <w:highlight w:val="none"/>
                    </w:rPr>
                    <w:t>危险单元</w:t>
                  </w:r>
                </w:p>
              </w:tc>
              <w:tc>
                <w:tcPr>
                  <w:tcW w:w="572" w:type="pct"/>
                  <w:tcBorders>
                    <w:tl2br w:val="nil"/>
                    <w:tr2bl w:val="nil"/>
                  </w:tcBorders>
                  <w:vAlign w:val="center"/>
                </w:tcPr>
                <w:p w14:paraId="3AD981EA">
                  <w:pPr>
                    <w:pStyle w:val="26"/>
                    <w:adjustRightInd/>
                    <w:snapToGrid w:val="0"/>
                    <w:spacing w:before="0" w:after="0" w:line="276" w:lineRule="auto"/>
                    <w:jc w:val="center"/>
                    <w:rPr>
                      <w:rFonts w:ascii="Times New Roman" w:hAnsi="Times New Roman" w:eastAsia="宋体"/>
                      <w:b/>
                      <w:color w:val="auto"/>
                      <w:sz w:val="18"/>
                      <w:szCs w:val="18"/>
                      <w:highlight w:val="none"/>
                    </w:rPr>
                  </w:pPr>
                  <w:r>
                    <w:rPr>
                      <w:rFonts w:ascii="Times New Roman" w:hAnsi="Times New Roman" w:eastAsia="宋体"/>
                      <w:b/>
                      <w:color w:val="auto"/>
                      <w:sz w:val="18"/>
                      <w:szCs w:val="18"/>
                      <w:highlight w:val="none"/>
                    </w:rPr>
                    <w:t>主要危险物质</w:t>
                  </w:r>
                </w:p>
              </w:tc>
              <w:tc>
                <w:tcPr>
                  <w:tcW w:w="717" w:type="pct"/>
                  <w:tcBorders>
                    <w:tl2br w:val="nil"/>
                    <w:tr2bl w:val="nil"/>
                  </w:tcBorders>
                  <w:vAlign w:val="center"/>
                </w:tcPr>
                <w:p w14:paraId="49BDF2CC">
                  <w:pPr>
                    <w:pStyle w:val="26"/>
                    <w:adjustRightInd/>
                    <w:snapToGrid w:val="0"/>
                    <w:spacing w:before="0" w:after="0" w:line="276" w:lineRule="auto"/>
                    <w:jc w:val="center"/>
                    <w:rPr>
                      <w:rFonts w:ascii="Times New Roman" w:hAnsi="Times New Roman" w:eastAsia="宋体"/>
                      <w:b/>
                      <w:color w:val="auto"/>
                      <w:sz w:val="18"/>
                      <w:szCs w:val="18"/>
                      <w:highlight w:val="none"/>
                    </w:rPr>
                  </w:pPr>
                  <w:r>
                    <w:rPr>
                      <w:rFonts w:ascii="Times New Roman" w:hAnsi="Times New Roman" w:eastAsia="宋体"/>
                      <w:b/>
                      <w:color w:val="auto"/>
                      <w:sz w:val="18"/>
                      <w:szCs w:val="18"/>
                      <w:highlight w:val="none"/>
                    </w:rPr>
                    <w:t>环境风险类型</w:t>
                  </w:r>
                </w:p>
              </w:tc>
              <w:tc>
                <w:tcPr>
                  <w:tcW w:w="1878" w:type="pct"/>
                  <w:tcBorders>
                    <w:tl2br w:val="nil"/>
                    <w:tr2bl w:val="nil"/>
                  </w:tcBorders>
                  <w:vAlign w:val="center"/>
                </w:tcPr>
                <w:p w14:paraId="79BE5FDA">
                  <w:pPr>
                    <w:pStyle w:val="26"/>
                    <w:adjustRightInd/>
                    <w:snapToGrid w:val="0"/>
                    <w:spacing w:before="0" w:after="0" w:line="276" w:lineRule="auto"/>
                    <w:jc w:val="center"/>
                    <w:rPr>
                      <w:rFonts w:ascii="Times New Roman" w:hAnsi="Times New Roman" w:eastAsia="宋体"/>
                      <w:b/>
                      <w:color w:val="auto"/>
                      <w:sz w:val="18"/>
                      <w:szCs w:val="18"/>
                      <w:highlight w:val="none"/>
                    </w:rPr>
                  </w:pPr>
                  <w:r>
                    <w:rPr>
                      <w:rFonts w:ascii="Times New Roman" w:hAnsi="Times New Roman" w:eastAsia="宋体"/>
                      <w:b/>
                      <w:color w:val="auto"/>
                      <w:sz w:val="18"/>
                      <w:szCs w:val="18"/>
                      <w:highlight w:val="none"/>
                    </w:rPr>
                    <w:t>环境影响途径</w:t>
                  </w:r>
                </w:p>
              </w:tc>
              <w:tc>
                <w:tcPr>
                  <w:tcW w:w="917" w:type="pct"/>
                  <w:tcBorders>
                    <w:tl2br w:val="nil"/>
                    <w:tr2bl w:val="nil"/>
                  </w:tcBorders>
                  <w:vAlign w:val="center"/>
                </w:tcPr>
                <w:p w14:paraId="01142249">
                  <w:pPr>
                    <w:pStyle w:val="26"/>
                    <w:adjustRightInd/>
                    <w:snapToGrid w:val="0"/>
                    <w:spacing w:before="0" w:after="0" w:line="276" w:lineRule="auto"/>
                    <w:jc w:val="center"/>
                    <w:rPr>
                      <w:rFonts w:ascii="Times New Roman" w:hAnsi="Times New Roman" w:eastAsia="宋体"/>
                      <w:b/>
                      <w:color w:val="auto"/>
                      <w:sz w:val="18"/>
                      <w:szCs w:val="18"/>
                      <w:highlight w:val="none"/>
                    </w:rPr>
                  </w:pPr>
                  <w:r>
                    <w:rPr>
                      <w:rFonts w:ascii="Times New Roman" w:hAnsi="Times New Roman" w:eastAsia="宋体"/>
                      <w:b/>
                      <w:color w:val="auto"/>
                      <w:sz w:val="18"/>
                      <w:szCs w:val="18"/>
                      <w:highlight w:val="none"/>
                    </w:rPr>
                    <w:t>可能受影响的环境敏感目标</w:t>
                  </w:r>
                </w:p>
              </w:tc>
            </w:tr>
            <w:tr w14:paraId="18426D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tcBorders>
                    <w:tl2br w:val="nil"/>
                    <w:tr2bl w:val="nil"/>
                  </w:tcBorders>
                  <w:vAlign w:val="center"/>
                </w:tcPr>
                <w:p w14:paraId="1A52DFF6">
                  <w:pPr>
                    <w:pStyle w:val="26"/>
                    <w:adjustRightInd/>
                    <w:snapToGrid w:val="0"/>
                    <w:spacing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储运工程</w:t>
                  </w:r>
                </w:p>
              </w:tc>
              <w:tc>
                <w:tcPr>
                  <w:tcW w:w="501" w:type="pct"/>
                  <w:tcBorders>
                    <w:tl2br w:val="nil"/>
                    <w:tr2bl w:val="nil"/>
                  </w:tcBorders>
                  <w:vAlign w:val="center"/>
                </w:tcPr>
                <w:p w14:paraId="758CA610">
                  <w:pPr>
                    <w:pStyle w:val="26"/>
                    <w:adjustRightInd/>
                    <w:snapToGrid w:val="0"/>
                    <w:spacing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危废暂存库</w:t>
                  </w:r>
                </w:p>
              </w:tc>
              <w:tc>
                <w:tcPr>
                  <w:tcW w:w="572" w:type="pct"/>
                  <w:tcBorders>
                    <w:tl2br w:val="nil"/>
                    <w:tr2bl w:val="nil"/>
                  </w:tcBorders>
                  <w:vAlign w:val="center"/>
                </w:tcPr>
                <w:p w14:paraId="00D1C968">
                  <w:pPr>
                    <w:pStyle w:val="26"/>
                    <w:adjustRightInd/>
                    <w:snapToGrid w:val="0"/>
                    <w:spacing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废机油</w:t>
                  </w:r>
                </w:p>
              </w:tc>
              <w:tc>
                <w:tcPr>
                  <w:tcW w:w="717" w:type="pct"/>
                  <w:tcBorders>
                    <w:tl2br w:val="nil"/>
                    <w:tr2bl w:val="nil"/>
                  </w:tcBorders>
                  <w:vAlign w:val="center"/>
                </w:tcPr>
                <w:p w14:paraId="6E0A1402">
                  <w:pPr>
                    <w:pStyle w:val="26"/>
                    <w:adjustRightInd/>
                    <w:snapToGrid w:val="0"/>
                    <w:spacing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盛装容器破损导致泄漏</w:t>
                  </w:r>
                </w:p>
              </w:tc>
              <w:tc>
                <w:tcPr>
                  <w:tcW w:w="1878" w:type="pct"/>
                  <w:tcBorders>
                    <w:tl2br w:val="nil"/>
                    <w:tr2bl w:val="nil"/>
                  </w:tcBorders>
                  <w:vAlign w:val="center"/>
                </w:tcPr>
                <w:p w14:paraId="69BFF115">
                  <w:pPr>
                    <w:pStyle w:val="26"/>
                    <w:adjustRightInd/>
                    <w:snapToGrid w:val="0"/>
                    <w:spacing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储存废机油的装置破损导致泄漏液体或火灾事故产生废气对环境空气产生不利影响</w:t>
                  </w:r>
                </w:p>
              </w:tc>
              <w:tc>
                <w:tcPr>
                  <w:tcW w:w="917" w:type="pct"/>
                  <w:tcBorders>
                    <w:tl2br w:val="nil"/>
                    <w:tr2bl w:val="nil"/>
                  </w:tcBorders>
                  <w:vAlign w:val="center"/>
                </w:tcPr>
                <w:p w14:paraId="589CE990">
                  <w:pPr>
                    <w:snapToGrid w:val="0"/>
                    <w:spacing w:line="276" w:lineRule="auto"/>
                    <w:jc w:val="center"/>
                    <w:rPr>
                      <w:rFonts w:ascii="Times New Roman" w:hAnsi="Times New Roman" w:eastAsia="宋体"/>
                      <w:color w:val="auto"/>
                      <w:sz w:val="18"/>
                      <w:szCs w:val="18"/>
                      <w:highlight w:val="none"/>
                    </w:rPr>
                  </w:pPr>
                  <w:r>
                    <w:rPr>
                      <w:rFonts w:ascii="Times New Roman" w:hAnsi="Times New Roman" w:eastAsia="宋体" w:cs="Times New Roman"/>
                      <w:color w:val="auto"/>
                      <w:sz w:val="18"/>
                      <w:szCs w:val="18"/>
                      <w:highlight w:val="none"/>
                    </w:rPr>
                    <w:t>下风向居民点、区域土壤、地下水</w:t>
                  </w:r>
                </w:p>
              </w:tc>
            </w:tr>
            <w:tr w14:paraId="07D51F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Merge w:val="restart"/>
                  <w:tcBorders>
                    <w:tl2br w:val="nil"/>
                    <w:tr2bl w:val="nil"/>
                  </w:tcBorders>
                  <w:vAlign w:val="center"/>
                </w:tcPr>
                <w:p w14:paraId="19456C6E">
                  <w:pPr>
                    <w:pStyle w:val="26"/>
                    <w:adjustRightInd/>
                    <w:snapToGrid w:val="0"/>
                    <w:spacing w:before="0" w:after="0"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环保工程</w:t>
                  </w:r>
                </w:p>
              </w:tc>
              <w:tc>
                <w:tcPr>
                  <w:tcW w:w="501" w:type="pct"/>
                  <w:vMerge w:val="restart"/>
                  <w:tcBorders>
                    <w:tl2br w:val="nil"/>
                    <w:tr2bl w:val="nil"/>
                  </w:tcBorders>
                  <w:vAlign w:val="center"/>
                </w:tcPr>
                <w:p w14:paraId="5A422EE0">
                  <w:pPr>
                    <w:pStyle w:val="26"/>
                    <w:adjustRightInd/>
                    <w:snapToGrid w:val="0"/>
                    <w:spacing w:before="0" w:after="0"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废气治理装置</w:t>
                  </w:r>
                </w:p>
              </w:tc>
              <w:tc>
                <w:tcPr>
                  <w:tcW w:w="572" w:type="pct"/>
                  <w:tcBorders>
                    <w:tl2br w:val="nil"/>
                    <w:tr2bl w:val="nil"/>
                  </w:tcBorders>
                  <w:vAlign w:val="center"/>
                </w:tcPr>
                <w:p w14:paraId="25651988">
                  <w:pPr>
                    <w:pStyle w:val="26"/>
                    <w:adjustRightInd/>
                    <w:snapToGrid w:val="0"/>
                    <w:spacing w:before="0" w:after="0"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颗粒物</w:t>
                  </w:r>
                </w:p>
              </w:tc>
              <w:tc>
                <w:tcPr>
                  <w:tcW w:w="717" w:type="pct"/>
                  <w:vMerge w:val="restart"/>
                  <w:tcBorders>
                    <w:tl2br w:val="nil"/>
                    <w:tr2bl w:val="nil"/>
                  </w:tcBorders>
                  <w:vAlign w:val="center"/>
                </w:tcPr>
                <w:p w14:paraId="589A2FC0">
                  <w:pPr>
                    <w:pStyle w:val="26"/>
                    <w:adjustRightInd/>
                    <w:snapToGrid w:val="0"/>
                    <w:spacing w:before="0" w:after="0"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废气治理装置故障</w:t>
                  </w:r>
                </w:p>
              </w:tc>
              <w:tc>
                <w:tcPr>
                  <w:tcW w:w="1878" w:type="pct"/>
                  <w:vMerge w:val="restart"/>
                  <w:tcBorders>
                    <w:tl2br w:val="nil"/>
                    <w:tr2bl w:val="nil"/>
                  </w:tcBorders>
                  <w:vAlign w:val="center"/>
                </w:tcPr>
                <w:p w14:paraId="14094B80">
                  <w:pPr>
                    <w:pStyle w:val="26"/>
                    <w:adjustRightInd/>
                    <w:snapToGrid w:val="0"/>
                    <w:spacing w:before="0" w:after="0"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废气治理装置发生故障，废气非正常排放，对环境空气产生不利影响</w:t>
                  </w:r>
                </w:p>
              </w:tc>
              <w:tc>
                <w:tcPr>
                  <w:tcW w:w="917" w:type="pct"/>
                  <w:vMerge w:val="restart"/>
                  <w:tcBorders>
                    <w:tl2br w:val="nil"/>
                    <w:tr2bl w:val="nil"/>
                  </w:tcBorders>
                  <w:vAlign w:val="center"/>
                </w:tcPr>
                <w:p w14:paraId="481E1FB2">
                  <w:pPr>
                    <w:snapToGrid w:val="0"/>
                    <w:spacing w:line="276" w:lineRule="auto"/>
                    <w:jc w:val="center"/>
                    <w:rPr>
                      <w:rFonts w:ascii="Times New Roman" w:hAnsi="Times New Roman" w:eastAsia="宋体" w:cs="Times New Roman"/>
                      <w:color w:val="auto"/>
                      <w:sz w:val="18"/>
                      <w:szCs w:val="18"/>
                      <w:highlight w:val="none"/>
                    </w:rPr>
                  </w:pPr>
                  <w:r>
                    <w:rPr>
                      <w:rFonts w:ascii="Times New Roman" w:hAnsi="Times New Roman" w:eastAsia="宋体" w:cs="Times New Roman"/>
                      <w:color w:val="auto"/>
                      <w:sz w:val="18"/>
                      <w:szCs w:val="18"/>
                      <w:highlight w:val="none"/>
                    </w:rPr>
                    <w:t>下风向居民点</w:t>
                  </w:r>
                </w:p>
              </w:tc>
            </w:tr>
            <w:tr w14:paraId="0C97C6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13" w:type="pct"/>
                  <w:vMerge w:val="continue"/>
                  <w:tcBorders>
                    <w:tl2br w:val="nil"/>
                    <w:tr2bl w:val="nil"/>
                  </w:tcBorders>
                  <w:vAlign w:val="center"/>
                </w:tcPr>
                <w:p w14:paraId="7134D811">
                  <w:pPr>
                    <w:pStyle w:val="26"/>
                    <w:adjustRightInd/>
                    <w:snapToGrid w:val="0"/>
                    <w:spacing w:before="0" w:after="0" w:line="276" w:lineRule="auto"/>
                    <w:jc w:val="center"/>
                    <w:rPr>
                      <w:rFonts w:ascii="Times New Roman" w:hAnsi="Times New Roman" w:eastAsia="宋体"/>
                      <w:color w:val="auto"/>
                      <w:sz w:val="18"/>
                      <w:szCs w:val="18"/>
                      <w:highlight w:val="none"/>
                    </w:rPr>
                  </w:pPr>
                </w:p>
              </w:tc>
              <w:tc>
                <w:tcPr>
                  <w:tcW w:w="501" w:type="pct"/>
                  <w:vMerge w:val="continue"/>
                  <w:tcBorders>
                    <w:tl2br w:val="nil"/>
                    <w:tr2bl w:val="nil"/>
                  </w:tcBorders>
                  <w:vAlign w:val="center"/>
                </w:tcPr>
                <w:p w14:paraId="3805C6AA">
                  <w:pPr>
                    <w:pStyle w:val="26"/>
                    <w:adjustRightInd/>
                    <w:snapToGrid w:val="0"/>
                    <w:spacing w:before="0" w:after="0" w:line="276" w:lineRule="auto"/>
                    <w:jc w:val="center"/>
                    <w:rPr>
                      <w:rFonts w:ascii="Times New Roman" w:hAnsi="Times New Roman" w:eastAsia="宋体"/>
                      <w:color w:val="auto"/>
                      <w:sz w:val="18"/>
                      <w:szCs w:val="18"/>
                      <w:highlight w:val="none"/>
                    </w:rPr>
                  </w:pPr>
                </w:p>
              </w:tc>
              <w:tc>
                <w:tcPr>
                  <w:tcW w:w="572" w:type="pct"/>
                  <w:tcBorders>
                    <w:tl2br w:val="nil"/>
                    <w:tr2bl w:val="nil"/>
                  </w:tcBorders>
                  <w:vAlign w:val="center"/>
                </w:tcPr>
                <w:p w14:paraId="7366EE13">
                  <w:pPr>
                    <w:pStyle w:val="26"/>
                    <w:adjustRightInd/>
                    <w:snapToGrid w:val="0"/>
                    <w:spacing w:before="0" w:after="0" w:line="276" w:lineRule="auto"/>
                    <w:jc w:val="center"/>
                    <w:rPr>
                      <w:rFonts w:ascii="Times New Roman" w:hAnsi="Times New Roman" w:eastAsia="宋体"/>
                      <w:color w:val="auto"/>
                      <w:sz w:val="18"/>
                      <w:szCs w:val="18"/>
                      <w:highlight w:val="none"/>
                    </w:rPr>
                  </w:pPr>
                  <w:r>
                    <w:rPr>
                      <w:rFonts w:ascii="Times New Roman" w:hAnsi="Times New Roman" w:eastAsia="宋体"/>
                      <w:color w:val="auto"/>
                      <w:sz w:val="18"/>
                      <w:szCs w:val="18"/>
                      <w:highlight w:val="none"/>
                    </w:rPr>
                    <w:t>非甲烷总烃</w:t>
                  </w:r>
                </w:p>
              </w:tc>
              <w:tc>
                <w:tcPr>
                  <w:tcW w:w="717" w:type="pct"/>
                  <w:vMerge w:val="continue"/>
                  <w:tcBorders>
                    <w:tl2br w:val="nil"/>
                    <w:tr2bl w:val="nil"/>
                  </w:tcBorders>
                  <w:vAlign w:val="center"/>
                </w:tcPr>
                <w:p w14:paraId="72E79CFD">
                  <w:pPr>
                    <w:pStyle w:val="26"/>
                    <w:adjustRightInd/>
                    <w:snapToGrid w:val="0"/>
                    <w:spacing w:before="0" w:after="0" w:line="276" w:lineRule="auto"/>
                    <w:jc w:val="center"/>
                    <w:rPr>
                      <w:rFonts w:ascii="Times New Roman" w:hAnsi="Times New Roman" w:eastAsia="宋体"/>
                      <w:color w:val="auto"/>
                      <w:sz w:val="18"/>
                      <w:szCs w:val="18"/>
                      <w:highlight w:val="none"/>
                    </w:rPr>
                  </w:pPr>
                </w:p>
              </w:tc>
              <w:tc>
                <w:tcPr>
                  <w:tcW w:w="1878" w:type="pct"/>
                  <w:vMerge w:val="continue"/>
                  <w:tcBorders>
                    <w:tl2br w:val="nil"/>
                    <w:tr2bl w:val="nil"/>
                  </w:tcBorders>
                  <w:vAlign w:val="center"/>
                </w:tcPr>
                <w:p w14:paraId="28A6852C">
                  <w:pPr>
                    <w:pStyle w:val="26"/>
                    <w:adjustRightInd/>
                    <w:snapToGrid w:val="0"/>
                    <w:spacing w:before="0" w:after="0" w:line="276" w:lineRule="auto"/>
                    <w:jc w:val="center"/>
                    <w:rPr>
                      <w:rFonts w:ascii="Times New Roman" w:hAnsi="Times New Roman" w:eastAsia="宋体"/>
                      <w:color w:val="auto"/>
                      <w:sz w:val="18"/>
                      <w:szCs w:val="18"/>
                      <w:highlight w:val="none"/>
                    </w:rPr>
                  </w:pPr>
                </w:p>
              </w:tc>
              <w:tc>
                <w:tcPr>
                  <w:tcW w:w="917" w:type="pct"/>
                  <w:vMerge w:val="continue"/>
                  <w:tcBorders>
                    <w:tl2br w:val="nil"/>
                    <w:tr2bl w:val="nil"/>
                  </w:tcBorders>
                  <w:vAlign w:val="center"/>
                </w:tcPr>
                <w:p w14:paraId="605E7FCD">
                  <w:pPr>
                    <w:snapToGrid w:val="0"/>
                    <w:spacing w:line="276" w:lineRule="auto"/>
                    <w:jc w:val="center"/>
                    <w:rPr>
                      <w:rFonts w:ascii="Times New Roman" w:hAnsi="Times New Roman" w:eastAsia="宋体" w:cs="Times New Roman"/>
                      <w:color w:val="auto"/>
                      <w:sz w:val="18"/>
                      <w:szCs w:val="18"/>
                      <w:highlight w:val="none"/>
                    </w:rPr>
                  </w:pPr>
                </w:p>
              </w:tc>
            </w:tr>
          </w:tbl>
          <w:p w14:paraId="69E48921">
            <w:pPr>
              <w:spacing w:line="360" w:lineRule="auto"/>
              <w:ind w:firstLine="482" w:firstLineChars="200"/>
              <w:rPr>
                <w:rFonts w:ascii="Times New Roman" w:hAnsi="Times New Roman" w:eastAsia="宋体" w:cs="Times New Roman"/>
                <w:b/>
                <w:bCs/>
                <w:color w:val="auto"/>
                <w:sz w:val="24"/>
                <w:highlight w:val="none"/>
              </w:rPr>
            </w:pPr>
            <w:r>
              <w:rPr>
                <w:rFonts w:ascii="Times New Roman" w:hAnsi="Times New Roman" w:eastAsia="宋体" w:cs="Times New Roman"/>
                <w:b/>
                <w:bCs/>
                <w:color w:val="auto"/>
                <w:sz w:val="24"/>
                <w:highlight w:val="none"/>
              </w:rPr>
              <w:t>（4）环境风险防范措施</w:t>
            </w:r>
          </w:p>
          <w:p w14:paraId="55723511">
            <w:pPr>
              <w:autoSpaceDE w:val="0"/>
              <w:autoSpaceDN w:val="0"/>
              <w:spacing w:line="360" w:lineRule="auto"/>
              <w:ind w:firstLine="420" w:firstLineChars="200"/>
              <w:rPr>
                <w:rFonts w:ascii="Times New Roman" w:hAnsi="Times New Roman" w:eastAsia="宋体" w:cs="Times New Roman"/>
                <w:color w:val="auto"/>
                <w:sz w:val="24"/>
                <w:highlight w:val="none"/>
              </w:rPr>
            </w:pPr>
            <w:r>
              <w:rPr>
                <w:rFonts w:ascii="Times New Roman" w:cs="Times New Roman"/>
                <w:bCs/>
                <w:color w:val="auto"/>
                <w:highlight w:val="none"/>
              </w:rPr>
              <w:t>①</w:t>
            </w:r>
            <w:r>
              <w:rPr>
                <w:rFonts w:ascii="Times New Roman" w:hAnsi="Times New Roman" w:eastAsia="宋体" w:cs="Times New Roman"/>
                <w:color w:val="auto"/>
                <w:sz w:val="24"/>
                <w:highlight w:val="none"/>
              </w:rPr>
              <w:t>危废暂存库风险防范措施</w:t>
            </w:r>
          </w:p>
          <w:p w14:paraId="630C9897">
            <w:pPr>
              <w:autoSpaceDE w:val="0"/>
              <w:autoSpaceDN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本项目危废暂存库存放有废机油，采用桶装存放。一旦出现危废泄漏的情形，其产生的危害较大。因此建设单位应做到如下：</w:t>
            </w:r>
          </w:p>
          <w:p w14:paraId="0F02066E">
            <w:pPr>
              <w:pStyle w:val="27"/>
              <w:adjustRightInd/>
              <w:spacing w:line="360" w:lineRule="auto"/>
              <w:ind w:firstLine="480" w:firstLineChars="200"/>
              <w:jc w:val="both"/>
              <w:rPr>
                <w:rFonts w:ascii="Times New Roman" w:cs="Times New Roman"/>
                <w:bCs/>
                <w:color w:val="auto"/>
                <w:highlight w:val="none"/>
              </w:rPr>
            </w:pPr>
            <w:r>
              <w:rPr>
                <w:rFonts w:ascii="Times New Roman" w:cs="Times New Roman"/>
                <w:bCs/>
                <w:color w:val="auto"/>
                <w:highlight w:val="none"/>
              </w:rPr>
              <w:t>a、机油桶装置于集液托盘内，集液托盘有效容量应能满足单桶物料泄漏的容纳能力。</w:t>
            </w:r>
          </w:p>
          <w:p w14:paraId="21A4AD5E">
            <w:pPr>
              <w:pStyle w:val="27"/>
              <w:adjustRightInd/>
              <w:spacing w:line="360" w:lineRule="auto"/>
              <w:ind w:firstLine="480" w:firstLineChars="200"/>
              <w:jc w:val="both"/>
              <w:rPr>
                <w:rFonts w:ascii="Times New Roman" w:cs="Times New Roman"/>
                <w:bCs/>
                <w:color w:val="auto"/>
                <w:highlight w:val="none"/>
              </w:rPr>
            </w:pPr>
            <w:r>
              <w:rPr>
                <w:rFonts w:ascii="Times New Roman" w:cs="Times New Roman"/>
                <w:bCs/>
                <w:color w:val="auto"/>
                <w:highlight w:val="none"/>
              </w:rPr>
              <w:t>b、桶装危废单层码放，禁止多层堆叠。</w:t>
            </w:r>
          </w:p>
          <w:p w14:paraId="13638D54">
            <w:pPr>
              <w:autoSpaceDE w:val="0"/>
              <w:autoSpaceDN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c、危废暂存库地面、裙角等按照《危险废物贮存污染控制标准》（GB18597-2023）的相关要求进行建设。</w:t>
            </w:r>
          </w:p>
          <w:p w14:paraId="03F2DB91">
            <w:pPr>
              <w:autoSpaceDE w:val="0"/>
              <w:autoSpaceDN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d、危废暂存库安排专人管理，并记录台账。</w:t>
            </w:r>
          </w:p>
          <w:p w14:paraId="4961816E">
            <w:pPr>
              <w:pStyle w:val="27"/>
              <w:adjustRightInd/>
              <w:spacing w:line="360" w:lineRule="auto"/>
              <w:ind w:firstLine="480" w:firstLineChars="200"/>
              <w:jc w:val="both"/>
              <w:rPr>
                <w:rFonts w:ascii="Times New Roman" w:cs="Times New Roman"/>
                <w:color w:val="auto"/>
                <w:highlight w:val="none"/>
              </w:rPr>
            </w:pPr>
            <w:r>
              <w:rPr>
                <w:rFonts w:ascii="Times New Roman" w:cs="Times New Roman"/>
                <w:bCs/>
                <w:color w:val="auto"/>
                <w:highlight w:val="none"/>
              </w:rPr>
              <w:t>e、</w:t>
            </w:r>
            <w:r>
              <w:rPr>
                <w:rFonts w:ascii="Times New Roman" w:cs="Times New Roman"/>
                <w:color w:val="auto"/>
                <w:highlight w:val="none"/>
              </w:rPr>
              <w:t>加强危废的转运管理，避免转移过</w:t>
            </w:r>
            <w:r>
              <w:rPr>
                <w:rFonts w:hint="eastAsia" w:ascii="Times New Roman" w:cs="Times New Roman"/>
                <w:color w:val="auto"/>
                <w:highlight w:val="none"/>
                <w:lang w:eastAsia="zh-CN"/>
              </w:rPr>
              <w:t>程中</w:t>
            </w:r>
            <w:r>
              <w:rPr>
                <w:rFonts w:ascii="Times New Roman" w:cs="Times New Roman"/>
                <w:color w:val="auto"/>
                <w:highlight w:val="none"/>
              </w:rPr>
              <w:t>出现倾倒。</w:t>
            </w:r>
          </w:p>
          <w:p w14:paraId="4486F101">
            <w:pPr>
              <w:tabs>
                <w:tab w:val="left" w:pos="1650"/>
              </w:tabs>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f、危废暂存库安排专人管理，并记录台账。</w:t>
            </w:r>
          </w:p>
          <w:p w14:paraId="55E2AECF">
            <w:pPr>
              <w:pStyle w:val="27"/>
              <w:adjustRightInd/>
              <w:spacing w:line="360" w:lineRule="auto"/>
              <w:ind w:firstLine="480" w:firstLineChars="200"/>
              <w:jc w:val="both"/>
              <w:rPr>
                <w:rFonts w:ascii="Times New Roman" w:cs="Times New Roman"/>
                <w:bCs/>
                <w:color w:val="auto"/>
                <w:highlight w:val="none"/>
              </w:rPr>
            </w:pPr>
            <w:r>
              <w:rPr>
                <w:rFonts w:ascii="Times New Roman" w:hAnsi="Times New Roman" w:eastAsia="宋体" w:cs="Times New Roman"/>
                <w:color w:val="auto"/>
                <w:sz w:val="24"/>
                <w:highlight w:val="none"/>
              </w:rPr>
              <w:t>②</w:t>
            </w:r>
            <w:r>
              <w:rPr>
                <w:rFonts w:ascii="Times New Roman" w:cs="Times New Roman"/>
                <w:bCs/>
                <w:color w:val="auto"/>
                <w:highlight w:val="none"/>
              </w:rPr>
              <w:t>废气治理装置风险防范措施</w:t>
            </w:r>
          </w:p>
          <w:p w14:paraId="0336F488">
            <w:pPr>
              <w:pStyle w:val="27"/>
              <w:adjustRightInd/>
              <w:spacing w:line="360" w:lineRule="auto"/>
              <w:ind w:firstLine="480" w:firstLineChars="200"/>
              <w:jc w:val="both"/>
              <w:rPr>
                <w:rFonts w:ascii="Times New Roman" w:cs="Times New Roman"/>
                <w:color w:val="auto"/>
                <w:highlight w:val="none"/>
              </w:rPr>
            </w:pPr>
            <w:r>
              <w:rPr>
                <w:rFonts w:ascii="Times New Roman" w:cs="Times New Roman"/>
                <w:color w:val="auto"/>
                <w:highlight w:val="none"/>
              </w:rPr>
              <w:t>a、平时加强废气处理设施的维护保养，及时发现处理设施的隐患，并及时进行维修，确保废气处理系统正常运行；</w:t>
            </w:r>
          </w:p>
          <w:p w14:paraId="7E1B4209">
            <w:pPr>
              <w:pStyle w:val="27"/>
              <w:adjustRightInd/>
              <w:spacing w:line="360" w:lineRule="auto"/>
              <w:ind w:firstLine="480" w:firstLineChars="200"/>
              <w:jc w:val="both"/>
              <w:rPr>
                <w:rFonts w:ascii="Times New Roman" w:cs="Times New Roman"/>
                <w:color w:val="auto"/>
                <w:highlight w:val="none"/>
              </w:rPr>
            </w:pPr>
            <w:r>
              <w:rPr>
                <w:rFonts w:ascii="Times New Roman" w:cs="Times New Roman"/>
                <w:color w:val="auto"/>
                <w:highlight w:val="none"/>
              </w:rPr>
              <w:t>b、建立健全的环保体制，对管理人员和技术人员进行岗位培训，对废气处理实行全过程跟踪控制；</w:t>
            </w:r>
          </w:p>
          <w:p w14:paraId="44E6B08B">
            <w:pPr>
              <w:pStyle w:val="27"/>
              <w:adjustRightInd/>
              <w:spacing w:line="360" w:lineRule="auto"/>
              <w:ind w:firstLine="480" w:firstLineChars="200"/>
              <w:jc w:val="both"/>
              <w:rPr>
                <w:rFonts w:ascii="Times New Roman" w:cs="Times New Roman"/>
                <w:color w:val="auto"/>
                <w:highlight w:val="none"/>
              </w:rPr>
            </w:pPr>
            <w:r>
              <w:rPr>
                <w:rFonts w:ascii="Times New Roman" w:cs="Times New Roman"/>
                <w:color w:val="auto"/>
                <w:highlight w:val="none"/>
              </w:rPr>
              <w:t>c、项目应设有备用电源，以备停电故障时废气全部可进入废气处理系统进行处理以达标排放。</w:t>
            </w:r>
          </w:p>
          <w:p w14:paraId="507B66B9">
            <w:pPr>
              <w:spacing w:line="360" w:lineRule="auto"/>
              <w:ind w:firstLine="482" w:firstLineChars="200"/>
              <w:rPr>
                <w:rFonts w:ascii="Times New Roman" w:hAnsi="Times New Roman" w:eastAsia="宋体" w:cs="Times New Roman"/>
                <w:b/>
                <w:snapToGrid w:val="0"/>
                <w:color w:val="auto"/>
                <w:sz w:val="24"/>
                <w:highlight w:val="none"/>
              </w:rPr>
            </w:pPr>
            <w:r>
              <w:rPr>
                <w:rFonts w:hint="eastAsia" w:ascii="Times New Roman" w:hAnsi="Times New Roman" w:eastAsia="宋体" w:cs="Times New Roman"/>
                <w:b/>
                <w:snapToGrid w:val="0"/>
                <w:color w:val="auto"/>
                <w:sz w:val="24"/>
                <w:highlight w:val="none"/>
              </w:rPr>
              <w:t>7、</w:t>
            </w:r>
            <w:r>
              <w:rPr>
                <w:rFonts w:ascii="Times New Roman" w:hAnsi="Times New Roman" w:eastAsia="宋体" w:cs="Times New Roman"/>
                <w:b/>
                <w:snapToGrid w:val="0"/>
                <w:color w:val="auto"/>
                <w:sz w:val="24"/>
                <w:highlight w:val="none"/>
              </w:rPr>
              <w:t>污染源排放口规范化要求</w:t>
            </w:r>
          </w:p>
          <w:p w14:paraId="14FA9163">
            <w:pPr>
              <w:adjustRightInd w:val="0"/>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废气排气筒应设置人工采样平台和采样口，采样口的设置应符合《污染源监测技术规范》要求</w:t>
            </w:r>
            <w:r>
              <w:rPr>
                <w:rFonts w:ascii="Times New Roman" w:hAnsi="Times New Roman" w:eastAsia="宋体" w:cs="Times New Roman"/>
                <w:color w:val="auto"/>
                <w:szCs w:val="21"/>
                <w:highlight w:val="none"/>
              </w:rPr>
              <w:t>。</w:t>
            </w:r>
            <w:r>
              <w:rPr>
                <w:rFonts w:ascii="Times New Roman" w:hAnsi="Times New Roman" w:eastAsia="宋体" w:cs="Times New Roman"/>
                <w:color w:val="auto"/>
                <w:sz w:val="24"/>
                <w:highlight w:val="none"/>
              </w:rPr>
              <w:t>企业污染物排放口（源）及固体废物贮存、堆放场必须按照国家标准《环境保护图形标志》（GB15562.1-1995）的规定设置与之相适应的环境保护图形标志牌，环境保护图形标志牌设置位置应距污染物排放口（源）、固体废物贮存（堆放）场或采样点较近且醒目处，并能长久保留。同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14:paraId="014AEA72">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环境保护图形标志</w:t>
            </w:r>
          </w:p>
          <w:p w14:paraId="7429C4BF">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在厂区的废气排放口、噪声排放源、固体废物贮存处置场应设置环境保护图形标志，图形符号分为提示图形和警告图形符号两种，分别按GB15562.1-1995、GB15562.2-1995执行。环</w:t>
            </w:r>
            <w:r>
              <w:rPr>
                <w:rFonts w:hint="eastAsia" w:ascii="Times New Roman" w:hAnsi="Times New Roman" w:eastAsia="宋体" w:cs="Times New Roman"/>
                <w:color w:val="auto"/>
                <w:sz w:val="24"/>
                <w:highlight w:val="none"/>
                <w:lang w:eastAsia="zh-CN"/>
              </w:rPr>
              <w:t>境</w:t>
            </w:r>
            <w:r>
              <w:rPr>
                <w:rFonts w:ascii="Times New Roman" w:hAnsi="Times New Roman" w:eastAsia="宋体" w:cs="Times New Roman"/>
                <w:color w:val="auto"/>
                <w:sz w:val="24"/>
                <w:highlight w:val="none"/>
              </w:rPr>
              <w:t>保护图形符号见表4-17。环境保护图形标志的形状及颜色见表4-18。</w:t>
            </w:r>
          </w:p>
          <w:p w14:paraId="49A036BE">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表4-17 本项目环境保护图形符号表</w:t>
            </w:r>
          </w:p>
          <w:tbl>
            <w:tblPr>
              <w:tblStyle w:val="18"/>
              <w:tblW w:w="4998"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746"/>
              <w:gridCol w:w="2071"/>
              <w:gridCol w:w="1731"/>
              <w:gridCol w:w="1778"/>
            </w:tblGrid>
            <w:tr w14:paraId="669E773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tcBorders>
                    <w:tl2br w:val="nil"/>
                    <w:tr2bl w:val="nil"/>
                  </w:tcBorders>
                  <w:vAlign w:val="center"/>
                </w:tcPr>
                <w:p w14:paraId="1022D8D3">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序号</w:t>
                  </w:r>
                </w:p>
              </w:tc>
              <w:tc>
                <w:tcPr>
                  <w:tcW w:w="1104" w:type="pct"/>
                  <w:tcBorders>
                    <w:tl2br w:val="nil"/>
                    <w:tr2bl w:val="nil"/>
                  </w:tcBorders>
                  <w:vAlign w:val="center"/>
                </w:tcPr>
                <w:p w14:paraId="38BD3210">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提示图形符号</w:t>
                  </w:r>
                </w:p>
              </w:tc>
              <w:tc>
                <w:tcPr>
                  <w:tcW w:w="1310" w:type="pct"/>
                  <w:tcBorders>
                    <w:tl2br w:val="nil"/>
                    <w:tr2bl w:val="nil"/>
                  </w:tcBorders>
                  <w:vAlign w:val="center"/>
                </w:tcPr>
                <w:p w14:paraId="33AF0455">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警告图形符号</w:t>
                  </w:r>
                </w:p>
              </w:tc>
              <w:tc>
                <w:tcPr>
                  <w:tcW w:w="1095" w:type="pct"/>
                  <w:tcBorders>
                    <w:tl2br w:val="nil"/>
                    <w:tr2bl w:val="nil"/>
                  </w:tcBorders>
                  <w:vAlign w:val="center"/>
                </w:tcPr>
                <w:p w14:paraId="211F7CE0">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名称</w:t>
                  </w:r>
                </w:p>
              </w:tc>
              <w:tc>
                <w:tcPr>
                  <w:tcW w:w="1124" w:type="pct"/>
                  <w:tcBorders>
                    <w:tl2br w:val="nil"/>
                    <w:tr2bl w:val="nil"/>
                  </w:tcBorders>
                  <w:vAlign w:val="center"/>
                </w:tcPr>
                <w:p w14:paraId="28275AAF">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功能</w:t>
                  </w:r>
                </w:p>
              </w:tc>
            </w:tr>
            <w:tr w14:paraId="3CD51A5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tcBorders>
                    <w:tl2br w:val="nil"/>
                    <w:tr2bl w:val="nil"/>
                  </w:tcBorders>
                  <w:vAlign w:val="center"/>
                </w:tcPr>
                <w:p w14:paraId="1F1D06DF">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1</w:t>
                  </w:r>
                </w:p>
              </w:tc>
              <w:tc>
                <w:tcPr>
                  <w:tcW w:w="1104" w:type="pct"/>
                  <w:tcBorders>
                    <w:tl2br w:val="nil"/>
                    <w:tr2bl w:val="nil"/>
                  </w:tcBorders>
                  <w:vAlign w:val="center"/>
                </w:tcPr>
                <w:p w14:paraId="33D64D94">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smallCaps/>
                      <w:color w:val="auto"/>
                      <w:sz w:val="18"/>
                      <w:szCs w:val="18"/>
                      <w:highlight w:val="none"/>
                    </w:rPr>
                    <w:drawing>
                      <wp:inline distT="0" distB="0" distL="0" distR="0">
                        <wp:extent cx="858520" cy="858520"/>
                        <wp:effectExtent l="19050" t="0" r="0" b="0"/>
                        <wp:docPr id="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5"/>
                                <pic:cNvPicPr>
                                  <a:picLocks noChangeAspect="1" noChangeArrowheads="1"/>
                                </pic:cNvPicPr>
                              </pic:nvPicPr>
                              <pic:blipFill>
                                <a:blip r:embed="rId25"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310" w:type="pct"/>
                  <w:tcBorders>
                    <w:tl2br w:val="nil"/>
                    <w:tr2bl w:val="nil"/>
                  </w:tcBorders>
                  <w:vAlign w:val="center"/>
                </w:tcPr>
                <w:p w14:paraId="7325F673">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smallCaps/>
                      <w:color w:val="auto"/>
                      <w:sz w:val="18"/>
                      <w:szCs w:val="18"/>
                      <w:highlight w:val="none"/>
                    </w:rPr>
                    <w:drawing>
                      <wp:inline distT="0" distB="0" distL="0" distR="0">
                        <wp:extent cx="962025" cy="858520"/>
                        <wp:effectExtent l="19050" t="0" r="9525" b="0"/>
                        <wp:docPr id="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6"/>
                                <pic:cNvPicPr>
                                  <a:picLocks noChangeAspect="1" noChangeArrowheads="1"/>
                                </pic:cNvPicPr>
                              </pic:nvPicPr>
                              <pic:blipFill>
                                <a:blip r:embed="rId26"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95" w:type="pct"/>
                  <w:tcBorders>
                    <w:tl2br w:val="nil"/>
                    <w:tr2bl w:val="nil"/>
                  </w:tcBorders>
                  <w:vAlign w:val="center"/>
                </w:tcPr>
                <w:p w14:paraId="0C476D62">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废气排放口</w:t>
                  </w:r>
                </w:p>
              </w:tc>
              <w:tc>
                <w:tcPr>
                  <w:tcW w:w="1124" w:type="pct"/>
                  <w:tcBorders>
                    <w:tl2br w:val="nil"/>
                    <w:tr2bl w:val="nil"/>
                  </w:tcBorders>
                  <w:vAlign w:val="center"/>
                </w:tcPr>
                <w:p w14:paraId="2A9412FE">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表示废气向大气环境排放</w:t>
                  </w:r>
                </w:p>
              </w:tc>
            </w:tr>
            <w:tr w14:paraId="7C44AE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tcBorders>
                    <w:tl2br w:val="nil"/>
                    <w:tr2bl w:val="nil"/>
                  </w:tcBorders>
                  <w:vAlign w:val="center"/>
                </w:tcPr>
                <w:p w14:paraId="259F87CA">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2</w:t>
                  </w:r>
                </w:p>
              </w:tc>
              <w:tc>
                <w:tcPr>
                  <w:tcW w:w="1104" w:type="pct"/>
                  <w:tcBorders>
                    <w:tl2br w:val="nil"/>
                    <w:tr2bl w:val="nil"/>
                  </w:tcBorders>
                  <w:vAlign w:val="center"/>
                </w:tcPr>
                <w:p w14:paraId="20D76A3C">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smallCaps/>
                      <w:color w:val="auto"/>
                      <w:sz w:val="18"/>
                      <w:szCs w:val="18"/>
                      <w:highlight w:val="none"/>
                    </w:rPr>
                    <w:drawing>
                      <wp:inline distT="0" distB="0" distL="0" distR="0">
                        <wp:extent cx="858520" cy="858520"/>
                        <wp:effectExtent l="19050" t="0" r="0" b="0"/>
                        <wp:docPr id="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7"/>
                                <pic:cNvPicPr>
                                  <a:picLocks noChangeAspect="1" noChangeArrowheads="1"/>
                                </pic:cNvPicPr>
                              </pic:nvPicPr>
                              <pic:blipFill>
                                <a:blip r:embed="rId27"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310" w:type="pct"/>
                  <w:tcBorders>
                    <w:tl2br w:val="nil"/>
                    <w:tr2bl w:val="nil"/>
                  </w:tcBorders>
                  <w:vAlign w:val="center"/>
                </w:tcPr>
                <w:p w14:paraId="238CF6D5">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smallCaps/>
                      <w:color w:val="auto"/>
                      <w:sz w:val="18"/>
                      <w:szCs w:val="18"/>
                      <w:highlight w:val="none"/>
                    </w:rPr>
                    <w:drawing>
                      <wp:inline distT="0" distB="0" distL="0" distR="0">
                        <wp:extent cx="962025" cy="858520"/>
                        <wp:effectExtent l="19050" t="0" r="9525" b="0"/>
                        <wp:docPr id="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8"/>
                                <pic:cNvPicPr>
                                  <a:picLocks noChangeAspect="1" noChangeArrowheads="1"/>
                                </pic:cNvPicPr>
                              </pic:nvPicPr>
                              <pic:blipFill>
                                <a:blip r:embed="rId28"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95" w:type="pct"/>
                  <w:tcBorders>
                    <w:tl2br w:val="nil"/>
                    <w:tr2bl w:val="nil"/>
                  </w:tcBorders>
                  <w:vAlign w:val="center"/>
                </w:tcPr>
                <w:p w14:paraId="4A14C2A3">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一般工业固体废物</w:t>
                  </w:r>
                </w:p>
              </w:tc>
              <w:tc>
                <w:tcPr>
                  <w:tcW w:w="1124" w:type="pct"/>
                  <w:tcBorders>
                    <w:tl2br w:val="nil"/>
                    <w:tr2bl w:val="nil"/>
                  </w:tcBorders>
                  <w:vAlign w:val="center"/>
                </w:tcPr>
                <w:p w14:paraId="346A495E">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表示一般工业固体废物贮存、处置场</w:t>
                  </w:r>
                </w:p>
              </w:tc>
            </w:tr>
            <w:tr w14:paraId="63D0C3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tcBorders>
                    <w:tl2br w:val="nil"/>
                    <w:tr2bl w:val="nil"/>
                  </w:tcBorders>
                  <w:vAlign w:val="center"/>
                </w:tcPr>
                <w:p w14:paraId="71FFDDE7">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3</w:t>
                  </w:r>
                </w:p>
              </w:tc>
              <w:tc>
                <w:tcPr>
                  <w:tcW w:w="1104" w:type="pct"/>
                  <w:tcBorders>
                    <w:tl2br w:val="nil"/>
                    <w:tr2bl w:val="nil"/>
                  </w:tcBorders>
                  <w:vAlign w:val="center"/>
                </w:tcPr>
                <w:p w14:paraId="1DE062B4">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pacing w:val="-2"/>
                      <w:sz w:val="18"/>
                      <w:szCs w:val="18"/>
                      <w:highlight w:val="none"/>
                    </w:rPr>
                    <w:t>/</w:t>
                  </w:r>
                </w:p>
              </w:tc>
              <w:tc>
                <w:tcPr>
                  <w:tcW w:w="1310" w:type="pct"/>
                  <w:tcBorders>
                    <w:tl2br w:val="nil"/>
                    <w:tr2bl w:val="nil"/>
                  </w:tcBorders>
                  <w:vAlign w:val="center"/>
                </w:tcPr>
                <w:p w14:paraId="5C40DC13">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highlight w:val="none"/>
                    </w:rPr>
                    <w:drawing>
                      <wp:inline distT="0" distB="0" distL="114300" distR="114300">
                        <wp:extent cx="950595" cy="877570"/>
                        <wp:effectExtent l="0" t="0" r="1905"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29" cstate="print"/>
                                <a:stretch>
                                  <a:fillRect/>
                                </a:stretch>
                              </pic:blipFill>
                              <pic:spPr>
                                <a:xfrm>
                                  <a:off x="0" y="0"/>
                                  <a:ext cx="950595" cy="877570"/>
                                </a:xfrm>
                                <a:prstGeom prst="rect">
                                  <a:avLst/>
                                </a:prstGeom>
                                <a:noFill/>
                                <a:ln>
                                  <a:noFill/>
                                </a:ln>
                              </pic:spPr>
                            </pic:pic>
                          </a:graphicData>
                        </a:graphic>
                      </wp:inline>
                    </w:drawing>
                  </w:r>
                </w:p>
              </w:tc>
              <w:tc>
                <w:tcPr>
                  <w:tcW w:w="1095" w:type="pct"/>
                  <w:tcBorders>
                    <w:tl2br w:val="nil"/>
                    <w:tr2bl w:val="nil"/>
                  </w:tcBorders>
                  <w:vAlign w:val="center"/>
                </w:tcPr>
                <w:p w14:paraId="5B562F78">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危险废物</w:t>
                  </w:r>
                </w:p>
              </w:tc>
              <w:tc>
                <w:tcPr>
                  <w:tcW w:w="1124" w:type="pct"/>
                  <w:tcBorders>
                    <w:tl2br w:val="nil"/>
                    <w:tr2bl w:val="nil"/>
                  </w:tcBorders>
                  <w:vAlign w:val="center"/>
                </w:tcPr>
                <w:p w14:paraId="1303DD5D">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表示危险废物贮存、处置场</w:t>
                  </w:r>
                </w:p>
              </w:tc>
            </w:tr>
            <w:tr w14:paraId="6BABE1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65" w:type="pct"/>
                  <w:tcBorders>
                    <w:tl2br w:val="nil"/>
                    <w:tr2bl w:val="nil"/>
                  </w:tcBorders>
                  <w:vAlign w:val="center"/>
                </w:tcPr>
                <w:p w14:paraId="35DEEBB7">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4</w:t>
                  </w:r>
                </w:p>
              </w:tc>
              <w:tc>
                <w:tcPr>
                  <w:tcW w:w="1104" w:type="pct"/>
                  <w:tcBorders>
                    <w:tl2br w:val="nil"/>
                    <w:tr2bl w:val="nil"/>
                  </w:tcBorders>
                  <w:vAlign w:val="center"/>
                </w:tcPr>
                <w:p w14:paraId="2B27366F">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drawing>
                      <wp:inline distT="0" distB="0" distL="0" distR="0">
                        <wp:extent cx="858520" cy="858520"/>
                        <wp:effectExtent l="19050" t="0" r="0" b="0"/>
                        <wp:docPr id="9"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0" descr="mark_3"/>
                                <pic:cNvPicPr>
                                  <a:picLocks noChangeAspect="1" noChangeArrowheads="1"/>
                                </pic:cNvPicPr>
                              </pic:nvPicPr>
                              <pic:blipFill>
                                <a:blip r:embed="rId30" cstate="print"/>
                                <a:srcRect/>
                                <a:stretch>
                                  <a:fillRect/>
                                </a:stretch>
                              </pic:blipFill>
                              <pic:spPr>
                                <a:xfrm>
                                  <a:off x="0" y="0"/>
                                  <a:ext cx="858520" cy="858520"/>
                                </a:xfrm>
                                <a:prstGeom prst="rect">
                                  <a:avLst/>
                                </a:prstGeom>
                                <a:noFill/>
                                <a:ln w="9525">
                                  <a:noFill/>
                                  <a:miter lim="800000"/>
                                  <a:headEnd/>
                                  <a:tailEnd/>
                                </a:ln>
                              </pic:spPr>
                            </pic:pic>
                          </a:graphicData>
                        </a:graphic>
                      </wp:inline>
                    </w:drawing>
                  </w:r>
                </w:p>
              </w:tc>
              <w:tc>
                <w:tcPr>
                  <w:tcW w:w="1310" w:type="pct"/>
                  <w:tcBorders>
                    <w:tl2br w:val="nil"/>
                    <w:tr2bl w:val="nil"/>
                  </w:tcBorders>
                  <w:vAlign w:val="center"/>
                </w:tcPr>
                <w:p w14:paraId="064CC7E0">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drawing>
                      <wp:inline distT="0" distB="0" distL="0" distR="0">
                        <wp:extent cx="962025" cy="858520"/>
                        <wp:effectExtent l="19050" t="0" r="9525" b="0"/>
                        <wp:docPr id="10"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1" descr="mark_j3"/>
                                <pic:cNvPicPr>
                                  <a:picLocks noChangeAspect="1" noChangeArrowheads="1"/>
                                </pic:cNvPicPr>
                              </pic:nvPicPr>
                              <pic:blipFill>
                                <a:blip r:embed="rId31" cstate="print"/>
                                <a:srcRect/>
                                <a:stretch>
                                  <a:fillRect/>
                                </a:stretch>
                              </pic:blipFill>
                              <pic:spPr>
                                <a:xfrm>
                                  <a:off x="0" y="0"/>
                                  <a:ext cx="962025" cy="858520"/>
                                </a:xfrm>
                                <a:prstGeom prst="rect">
                                  <a:avLst/>
                                </a:prstGeom>
                                <a:noFill/>
                                <a:ln w="9525">
                                  <a:noFill/>
                                  <a:miter lim="800000"/>
                                  <a:headEnd/>
                                  <a:tailEnd/>
                                </a:ln>
                              </pic:spPr>
                            </pic:pic>
                          </a:graphicData>
                        </a:graphic>
                      </wp:inline>
                    </w:drawing>
                  </w:r>
                </w:p>
              </w:tc>
              <w:tc>
                <w:tcPr>
                  <w:tcW w:w="1095" w:type="pct"/>
                  <w:tcBorders>
                    <w:tl2br w:val="nil"/>
                    <w:tr2bl w:val="nil"/>
                  </w:tcBorders>
                  <w:vAlign w:val="center"/>
                </w:tcPr>
                <w:p w14:paraId="1B97CE98">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噪声排放源</w:t>
                  </w:r>
                </w:p>
              </w:tc>
              <w:tc>
                <w:tcPr>
                  <w:tcW w:w="1124" w:type="pct"/>
                  <w:tcBorders>
                    <w:tl2br w:val="nil"/>
                    <w:tr2bl w:val="nil"/>
                  </w:tcBorders>
                  <w:vAlign w:val="center"/>
                </w:tcPr>
                <w:p w14:paraId="4C065356">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表示噪声向</w:t>
                  </w:r>
                </w:p>
                <w:p w14:paraId="6D6F6347">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外环境排放</w:t>
                  </w:r>
                </w:p>
              </w:tc>
            </w:tr>
          </w:tbl>
          <w:p w14:paraId="62A8F41A">
            <w:pPr>
              <w:adjustRightInd w:val="0"/>
              <w:spacing w:line="324" w:lineRule="auto"/>
              <w:jc w:val="center"/>
              <w:rPr>
                <w:rFonts w:ascii="Times New Roman" w:hAnsi="Times New Roman" w:eastAsia="黑体" w:cs="Times New Roman"/>
                <w:color w:val="auto"/>
                <w:sz w:val="24"/>
                <w:highlight w:val="none"/>
              </w:rPr>
            </w:pPr>
            <w:r>
              <w:rPr>
                <w:rFonts w:ascii="Times New Roman" w:hAnsi="Times New Roman" w:eastAsia="黑体" w:cs="Times New Roman"/>
                <w:color w:val="auto"/>
                <w:sz w:val="24"/>
                <w:highlight w:val="none"/>
              </w:rPr>
              <w:t>表4-18  环境保护图形标志的形状及颜色表</w:t>
            </w:r>
          </w:p>
          <w:tbl>
            <w:tblPr>
              <w:tblStyle w:val="18"/>
              <w:tblW w:w="4998" w:type="pct"/>
              <w:tblInd w:w="0" w:type="dxa"/>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74"/>
              <w:gridCol w:w="1975"/>
              <w:gridCol w:w="1977"/>
              <w:gridCol w:w="1977"/>
            </w:tblGrid>
            <w:tr w14:paraId="701B987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1249" w:type="pct"/>
                  <w:tcBorders>
                    <w:tl2br w:val="nil"/>
                    <w:tr2bl w:val="nil"/>
                  </w:tcBorders>
                  <w:vAlign w:val="center"/>
                </w:tcPr>
                <w:p w14:paraId="046D7B82">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标志名称</w:t>
                  </w:r>
                </w:p>
              </w:tc>
              <w:tc>
                <w:tcPr>
                  <w:tcW w:w="1249" w:type="pct"/>
                  <w:tcBorders>
                    <w:tl2br w:val="nil"/>
                    <w:tr2bl w:val="nil"/>
                  </w:tcBorders>
                  <w:vAlign w:val="center"/>
                </w:tcPr>
                <w:p w14:paraId="59918520">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形状</w:t>
                  </w:r>
                </w:p>
              </w:tc>
              <w:tc>
                <w:tcPr>
                  <w:tcW w:w="1250" w:type="pct"/>
                  <w:tcBorders>
                    <w:tl2br w:val="nil"/>
                    <w:tr2bl w:val="nil"/>
                  </w:tcBorders>
                  <w:vAlign w:val="center"/>
                </w:tcPr>
                <w:p w14:paraId="1955191F">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背景颜色</w:t>
                  </w:r>
                </w:p>
              </w:tc>
              <w:tc>
                <w:tcPr>
                  <w:tcW w:w="1250" w:type="pct"/>
                  <w:tcBorders>
                    <w:tl2br w:val="nil"/>
                    <w:tr2bl w:val="nil"/>
                  </w:tcBorders>
                  <w:vAlign w:val="center"/>
                </w:tcPr>
                <w:p w14:paraId="42F9F660">
                  <w:pPr>
                    <w:spacing w:line="276" w:lineRule="auto"/>
                    <w:jc w:val="center"/>
                    <w:rPr>
                      <w:rFonts w:ascii="Times New Roman" w:hAnsi="Times New Roman" w:eastAsia="宋体" w:cs="Times New Roman"/>
                      <w:b/>
                      <w:color w:val="auto"/>
                      <w:spacing w:val="-2"/>
                      <w:sz w:val="18"/>
                      <w:szCs w:val="18"/>
                      <w:highlight w:val="none"/>
                    </w:rPr>
                  </w:pPr>
                  <w:r>
                    <w:rPr>
                      <w:rFonts w:ascii="Times New Roman" w:hAnsi="Times New Roman" w:eastAsia="宋体" w:cs="Times New Roman"/>
                      <w:b/>
                      <w:color w:val="auto"/>
                      <w:sz w:val="18"/>
                      <w:szCs w:val="18"/>
                      <w:highlight w:val="none"/>
                    </w:rPr>
                    <w:t>图形颜色</w:t>
                  </w:r>
                </w:p>
              </w:tc>
            </w:tr>
            <w:tr w14:paraId="153CFB3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49" w:type="pct"/>
                  <w:tcBorders>
                    <w:tl2br w:val="nil"/>
                    <w:tr2bl w:val="nil"/>
                  </w:tcBorders>
                  <w:vAlign w:val="center"/>
                </w:tcPr>
                <w:p w14:paraId="3EC256DF">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警告标志</w:t>
                  </w:r>
                </w:p>
              </w:tc>
              <w:tc>
                <w:tcPr>
                  <w:tcW w:w="1249" w:type="pct"/>
                  <w:tcBorders>
                    <w:tl2br w:val="nil"/>
                    <w:tr2bl w:val="nil"/>
                  </w:tcBorders>
                  <w:vAlign w:val="center"/>
                </w:tcPr>
                <w:p w14:paraId="7EF8DCDC">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三角形边框</w:t>
                  </w:r>
                </w:p>
              </w:tc>
              <w:tc>
                <w:tcPr>
                  <w:tcW w:w="1250" w:type="pct"/>
                  <w:tcBorders>
                    <w:tl2br w:val="nil"/>
                    <w:tr2bl w:val="nil"/>
                  </w:tcBorders>
                  <w:vAlign w:val="center"/>
                </w:tcPr>
                <w:p w14:paraId="2FBF4590">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黄色</w:t>
                  </w:r>
                </w:p>
              </w:tc>
              <w:tc>
                <w:tcPr>
                  <w:tcW w:w="1250" w:type="pct"/>
                  <w:tcBorders>
                    <w:tl2br w:val="nil"/>
                    <w:tr2bl w:val="nil"/>
                  </w:tcBorders>
                  <w:vAlign w:val="center"/>
                </w:tcPr>
                <w:p w14:paraId="0E96B3DF">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黑色</w:t>
                  </w:r>
                </w:p>
              </w:tc>
            </w:tr>
            <w:tr w14:paraId="7C365CB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49" w:type="pct"/>
                  <w:tcBorders>
                    <w:tl2br w:val="nil"/>
                    <w:tr2bl w:val="nil"/>
                  </w:tcBorders>
                  <w:vAlign w:val="center"/>
                </w:tcPr>
                <w:p w14:paraId="6531E7BC">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提示标志</w:t>
                  </w:r>
                </w:p>
              </w:tc>
              <w:tc>
                <w:tcPr>
                  <w:tcW w:w="1249" w:type="pct"/>
                  <w:tcBorders>
                    <w:tl2br w:val="nil"/>
                    <w:tr2bl w:val="nil"/>
                  </w:tcBorders>
                  <w:vAlign w:val="center"/>
                </w:tcPr>
                <w:p w14:paraId="4971DED3">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正方形边框</w:t>
                  </w:r>
                </w:p>
              </w:tc>
              <w:tc>
                <w:tcPr>
                  <w:tcW w:w="1250" w:type="pct"/>
                  <w:tcBorders>
                    <w:tl2br w:val="nil"/>
                    <w:tr2bl w:val="nil"/>
                  </w:tcBorders>
                  <w:vAlign w:val="center"/>
                </w:tcPr>
                <w:p w14:paraId="380C35AB">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绿色</w:t>
                  </w:r>
                </w:p>
              </w:tc>
              <w:tc>
                <w:tcPr>
                  <w:tcW w:w="1250" w:type="pct"/>
                  <w:tcBorders>
                    <w:tl2br w:val="nil"/>
                    <w:tr2bl w:val="nil"/>
                  </w:tcBorders>
                  <w:vAlign w:val="center"/>
                </w:tcPr>
                <w:p w14:paraId="3DE6BD4B">
                  <w:pPr>
                    <w:spacing w:line="276" w:lineRule="auto"/>
                    <w:jc w:val="center"/>
                    <w:rPr>
                      <w:rFonts w:ascii="Times New Roman" w:hAnsi="Times New Roman" w:eastAsia="宋体" w:cs="Times New Roman"/>
                      <w:color w:val="auto"/>
                      <w:spacing w:val="-2"/>
                      <w:sz w:val="18"/>
                      <w:szCs w:val="18"/>
                      <w:highlight w:val="none"/>
                    </w:rPr>
                  </w:pPr>
                  <w:r>
                    <w:rPr>
                      <w:rFonts w:ascii="Times New Roman" w:hAnsi="Times New Roman" w:eastAsia="宋体" w:cs="Times New Roman"/>
                      <w:color w:val="auto"/>
                      <w:sz w:val="18"/>
                      <w:szCs w:val="18"/>
                      <w:highlight w:val="none"/>
                    </w:rPr>
                    <w:t>白色</w:t>
                  </w:r>
                </w:p>
              </w:tc>
            </w:tr>
          </w:tbl>
          <w:p w14:paraId="5AE85C1A">
            <w:pPr>
              <w:spacing w:line="360" w:lineRule="auto"/>
              <w:rPr>
                <w:rFonts w:ascii="Times New Roman" w:hAnsi="Times New Roman" w:eastAsia="宋体" w:cs="Times New Roman"/>
                <w:color w:val="auto"/>
                <w:sz w:val="24"/>
                <w:szCs w:val="24"/>
                <w:highlight w:val="none"/>
              </w:rPr>
            </w:pPr>
          </w:p>
          <w:p w14:paraId="0ABDCD10">
            <w:pPr>
              <w:spacing w:line="360" w:lineRule="auto"/>
              <w:rPr>
                <w:rFonts w:ascii="Times New Roman" w:hAnsi="Times New Roman" w:eastAsia="宋体" w:cs="Times New Roman"/>
                <w:color w:val="auto"/>
                <w:sz w:val="24"/>
                <w:szCs w:val="24"/>
                <w:highlight w:val="none"/>
              </w:rPr>
            </w:pPr>
          </w:p>
          <w:p w14:paraId="5148DC7F">
            <w:pPr>
              <w:spacing w:line="360" w:lineRule="auto"/>
              <w:rPr>
                <w:rFonts w:ascii="Times New Roman" w:hAnsi="Times New Roman" w:eastAsia="宋体" w:cs="Times New Roman"/>
                <w:color w:val="auto"/>
                <w:sz w:val="24"/>
                <w:szCs w:val="24"/>
                <w:highlight w:val="none"/>
              </w:rPr>
            </w:pPr>
          </w:p>
          <w:p w14:paraId="72A2B477">
            <w:pPr>
              <w:spacing w:line="360" w:lineRule="auto"/>
              <w:rPr>
                <w:rFonts w:ascii="Times New Roman" w:hAnsi="Times New Roman" w:eastAsia="宋体" w:cs="Times New Roman"/>
                <w:color w:val="auto"/>
                <w:sz w:val="24"/>
                <w:szCs w:val="24"/>
                <w:highlight w:val="none"/>
              </w:rPr>
            </w:pPr>
          </w:p>
          <w:p w14:paraId="5C13BBC3">
            <w:pPr>
              <w:spacing w:line="360" w:lineRule="auto"/>
              <w:rPr>
                <w:rFonts w:ascii="Times New Roman" w:hAnsi="Times New Roman" w:eastAsia="宋体" w:cs="Times New Roman"/>
                <w:color w:val="auto"/>
                <w:sz w:val="24"/>
                <w:szCs w:val="24"/>
                <w:highlight w:val="none"/>
              </w:rPr>
            </w:pPr>
          </w:p>
          <w:p w14:paraId="26A2DE03">
            <w:pPr>
              <w:spacing w:line="360" w:lineRule="auto"/>
              <w:rPr>
                <w:rFonts w:ascii="Times New Roman" w:hAnsi="Times New Roman" w:eastAsia="宋体" w:cs="Times New Roman"/>
                <w:color w:val="auto"/>
                <w:sz w:val="24"/>
                <w:szCs w:val="24"/>
                <w:highlight w:val="none"/>
              </w:rPr>
            </w:pPr>
          </w:p>
        </w:tc>
      </w:tr>
    </w:tbl>
    <w:p w14:paraId="371545F3">
      <w:pPr>
        <w:widowControl/>
        <w:spacing w:before="100" w:beforeAutospacing="1" w:after="100" w:afterAutospacing="1"/>
        <w:jc w:val="center"/>
        <w:outlineLvl w:val="0"/>
        <w:rPr>
          <w:rFonts w:ascii="Times New Roman" w:hAnsi="Times New Roman" w:eastAsia="宋体" w:cs="Times New Roman"/>
          <w:snapToGrid w:val="0"/>
          <w:color w:val="auto"/>
          <w:kern w:val="0"/>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1E3640A">
      <w:pPr>
        <w:widowControl/>
        <w:spacing w:before="100" w:beforeAutospacing="1" w:after="100" w:afterAutospacing="1"/>
        <w:jc w:val="center"/>
        <w:outlineLvl w:val="0"/>
        <w:rPr>
          <w:rFonts w:ascii="Times New Roman" w:hAnsi="Times New Roman" w:eastAsia="宋体" w:cs="Times New Roman"/>
          <w:snapToGrid w:val="0"/>
          <w:color w:val="auto"/>
          <w:kern w:val="0"/>
          <w:sz w:val="30"/>
          <w:szCs w:val="30"/>
          <w:highlight w:val="none"/>
        </w:rPr>
      </w:pPr>
      <w:r>
        <w:rPr>
          <w:rFonts w:ascii="Times New Roman" w:hAnsi="Times New Roman" w:eastAsia="宋体" w:cs="Times New Roman"/>
          <w:snapToGrid w:val="0"/>
          <w:color w:val="auto"/>
          <w:kern w:val="0"/>
          <w:sz w:val="30"/>
          <w:szCs w:val="30"/>
          <w:highlight w:val="none"/>
        </w:rPr>
        <w:t>五、</w:t>
      </w:r>
      <w:bookmarkStart w:id="7" w:name="_Hlk54167917"/>
      <w:r>
        <w:rPr>
          <w:rFonts w:ascii="Times New Roman" w:hAnsi="Times New Roman" w:eastAsia="宋体" w:cs="Times New Roman"/>
          <w:snapToGrid w:val="0"/>
          <w:color w:val="auto"/>
          <w:kern w:val="0"/>
          <w:sz w:val="30"/>
          <w:szCs w:val="30"/>
          <w:highlight w:val="none"/>
        </w:rPr>
        <w:t>环境保护措施监督检查清单</w:t>
      </w:r>
      <w:bookmarkEnd w:id="7"/>
    </w:p>
    <w:tbl>
      <w:tblPr>
        <w:tblStyle w:val="18"/>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420"/>
        <w:gridCol w:w="1296"/>
        <w:gridCol w:w="3109"/>
        <w:gridCol w:w="2019"/>
      </w:tblGrid>
      <w:tr w14:paraId="7B595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tcBorders>
              <w:tl2br w:val="single" w:color="auto" w:sz="4" w:space="0"/>
            </w:tcBorders>
          </w:tcPr>
          <w:p w14:paraId="24BE0852">
            <w:pPr>
              <w:snapToGrid w:val="0"/>
              <w:spacing w:line="276" w:lineRule="auto"/>
              <w:jc w:val="righ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内容</w:t>
            </w:r>
          </w:p>
          <w:p w14:paraId="29DFE4A2">
            <w:pPr>
              <w:snapToGrid w:val="0"/>
              <w:spacing w:line="276" w:lineRule="auto"/>
              <w:rPr>
                <w:rFonts w:ascii="Times New Roman" w:hAnsi="Times New Roman" w:eastAsia="宋体" w:cs="Times New Roman"/>
                <w:b/>
                <w:color w:val="auto"/>
                <w:szCs w:val="21"/>
                <w:highlight w:val="none"/>
              </w:rPr>
            </w:pPr>
          </w:p>
          <w:p w14:paraId="33690775">
            <w:pPr>
              <w:snapToGrid w:val="0"/>
              <w:spacing w:line="276" w:lineRule="auto"/>
              <w:jc w:val="left"/>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要素</w:t>
            </w:r>
          </w:p>
        </w:tc>
        <w:tc>
          <w:tcPr>
            <w:tcW w:w="1420" w:type="dxa"/>
            <w:vAlign w:val="center"/>
          </w:tcPr>
          <w:p w14:paraId="3411FAA6">
            <w:pPr>
              <w:snapToGrid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排放口</w:t>
            </w:r>
            <w:r>
              <w:rPr>
                <w:rFonts w:hint="eastAsia" w:ascii="Times New Roman" w:hAnsi="Times New Roman" w:eastAsia="宋体" w:cs="Times New Roman"/>
                <w:b/>
                <w:color w:val="auto"/>
                <w:szCs w:val="21"/>
                <w:highlight w:val="none"/>
                <w:lang w:eastAsia="zh-CN"/>
              </w:rPr>
              <w:t>（</w:t>
            </w:r>
            <w:r>
              <w:rPr>
                <w:rFonts w:ascii="Times New Roman" w:hAnsi="Times New Roman" w:eastAsia="宋体" w:cs="Times New Roman"/>
                <w:b/>
                <w:color w:val="auto"/>
                <w:szCs w:val="21"/>
                <w:highlight w:val="none"/>
              </w:rPr>
              <w:t>编号、名称</w:t>
            </w:r>
            <w:r>
              <w:rPr>
                <w:rFonts w:hint="eastAsia" w:ascii="Times New Roman" w:hAnsi="Times New Roman" w:eastAsia="宋体" w:cs="Times New Roman"/>
                <w:b/>
                <w:color w:val="auto"/>
                <w:szCs w:val="21"/>
                <w:highlight w:val="none"/>
                <w:lang w:eastAsia="zh-CN"/>
              </w:rPr>
              <w:t>）</w:t>
            </w:r>
            <w:r>
              <w:rPr>
                <w:rFonts w:ascii="Times New Roman" w:hAnsi="Times New Roman" w:eastAsia="宋体" w:cs="Times New Roman"/>
                <w:b/>
                <w:color w:val="auto"/>
                <w:szCs w:val="21"/>
                <w:highlight w:val="none"/>
              </w:rPr>
              <w:t>/污染源</w:t>
            </w:r>
          </w:p>
        </w:tc>
        <w:tc>
          <w:tcPr>
            <w:tcW w:w="1296" w:type="dxa"/>
            <w:vAlign w:val="center"/>
          </w:tcPr>
          <w:p w14:paraId="646ECE27">
            <w:pPr>
              <w:snapToGrid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污染物项目</w:t>
            </w:r>
          </w:p>
        </w:tc>
        <w:tc>
          <w:tcPr>
            <w:tcW w:w="3109" w:type="dxa"/>
            <w:vAlign w:val="center"/>
          </w:tcPr>
          <w:p w14:paraId="580F70C6">
            <w:pPr>
              <w:snapToGrid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环境保护措施</w:t>
            </w:r>
          </w:p>
        </w:tc>
        <w:tc>
          <w:tcPr>
            <w:tcW w:w="2019" w:type="dxa"/>
            <w:vAlign w:val="center"/>
          </w:tcPr>
          <w:p w14:paraId="0B82F818">
            <w:pPr>
              <w:snapToGrid w:val="0"/>
              <w:spacing w:line="276" w:lineRule="auto"/>
              <w:jc w:val="center"/>
              <w:rPr>
                <w:rFonts w:ascii="Times New Roman" w:hAnsi="Times New Roman" w:eastAsia="宋体" w:cs="Times New Roman"/>
                <w:b/>
                <w:color w:val="auto"/>
                <w:szCs w:val="21"/>
                <w:highlight w:val="none"/>
              </w:rPr>
            </w:pPr>
            <w:r>
              <w:rPr>
                <w:rFonts w:ascii="Times New Roman" w:hAnsi="Times New Roman" w:eastAsia="宋体" w:cs="Times New Roman"/>
                <w:b/>
                <w:color w:val="auto"/>
                <w:szCs w:val="21"/>
                <w:highlight w:val="none"/>
              </w:rPr>
              <w:t>执行标准</w:t>
            </w:r>
          </w:p>
        </w:tc>
      </w:tr>
      <w:tr w14:paraId="1AF0F4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restart"/>
            <w:vAlign w:val="center"/>
          </w:tcPr>
          <w:p w14:paraId="4F205240">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大气环境</w:t>
            </w:r>
          </w:p>
        </w:tc>
        <w:tc>
          <w:tcPr>
            <w:tcW w:w="1420" w:type="dxa"/>
            <w:vAlign w:val="center"/>
          </w:tcPr>
          <w:p w14:paraId="29C85D8F">
            <w:pPr>
              <w:snapToGrid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DA001</w:t>
            </w:r>
          </w:p>
        </w:tc>
        <w:tc>
          <w:tcPr>
            <w:tcW w:w="1296" w:type="dxa"/>
            <w:vAlign w:val="center"/>
          </w:tcPr>
          <w:p w14:paraId="7DACE49F">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颗粒物</w:t>
            </w:r>
          </w:p>
        </w:tc>
        <w:tc>
          <w:tcPr>
            <w:tcW w:w="3109" w:type="dxa"/>
            <w:vAlign w:val="center"/>
          </w:tcPr>
          <w:p w14:paraId="4A835D6E">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经袋式除尘装置处理后通过15m高</w:t>
            </w:r>
            <w:r>
              <w:rPr>
                <w:rFonts w:hint="eastAsia" w:ascii="Times New Roman" w:hAnsi="Times New Roman" w:eastAsia="宋体" w:cs="Times New Roman"/>
                <w:color w:val="auto"/>
                <w:szCs w:val="21"/>
                <w:highlight w:val="none"/>
              </w:rPr>
              <w:t>DA001</w:t>
            </w:r>
            <w:r>
              <w:rPr>
                <w:rFonts w:ascii="Times New Roman" w:hAnsi="Times New Roman" w:eastAsia="宋体" w:cs="Times New Roman"/>
                <w:color w:val="auto"/>
                <w:szCs w:val="21"/>
                <w:highlight w:val="none"/>
              </w:rPr>
              <w:t>排气筒排放（风量10000m³/h）</w:t>
            </w:r>
          </w:p>
        </w:tc>
        <w:tc>
          <w:tcPr>
            <w:tcW w:w="2019" w:type="dxa"/>
            <w:vAlign w:val="center"/>
          </w:tcPr>
          <w:p w14:paraId="1F6878B4">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《大气污染物综合排放标准》（GB16297-1996）</w:t>
            </w:r>
          </w:p>
        </w:tc>
      </w:tr>
      <w:tr w14:paraId="134E9A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vAlign w:val="center"/>
          </w:tcPr>
          <w:p w14:paraId="236D9533">
            <w:pPr>
              <w:snapToGrid w:val="0"/>
              <w:spacing w:line="276" w:lineRule="auto"/>
              <w:jc w:val="center"/>
              <w:rPr>
                <w:rFonts w:ascii="Times New Roman" w:hAnsi="Times New Roman" w:eastAsia="宋体" w:cs="Times New Roman"/>
                <w:color w:val="auto"/>
                <w:szCs w:val="21"/>
                <w:highlight w:val="none"/>
              </w:rPr>
            </w:pPr>
          </w:p>
        </w:tc>
        <w:tc>
          <w:tcPr>
            <w:tcW w:w="1420" w:type="dxa"/>
            <w:vAlign w:val="center"/>
          </w:tcPr>
          <w:p w14:paraId="15983CFD">
            <w:pPr>
              <w:snapToGrid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DA002</w:t>
            </w:r>
          </w:p>
        </w:tc>
        <w:tc>
          <w:tcPr>
            <w:tcW w:w="1296" w:type="dxa"/>
            <w:vAlign w:val="center"/>
          </w:tcPr>
          <w:p w14:paraId="36F14C73">
            <w:pPr>
              <w:snapToGrid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颗粒物</w:t>
            </w:r>
          </w:p>
        </w:tc>
        <w:tc>
          <w:tcPr>
            <w:tcW w:w="3109" w:type="dxa"/>
            <w:vAlign w:val="center"/>
          </w:tcPr>
          <w:p w14:paraId="22BE8EFB">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w:t>
            </w:r>
            <w:r>
              <w:rPr>
                <w:rFonts w:hint="eastAsia" w:ascii="Times New Roman" w:hAnsi="Times New Roman" w:eastAsia="宋体" w:cs="Times New Roman"/>
                <w:color w:val="auto"/>
                <w:szCs w:val="21"/>
                <w:highlight w:val="none"/>
              </w:rPr>
              <w:t>大旋风+滤芯粉末回收+袋式除尘装置</w:t>
            </w:r>
            <w:r>
              <w:rPr>
                <w:rFonts w:ascii="Times New Roman" w:hAnsi="Times New Roman" w:eastAsia="宋体" w:cs="Times New Roman"/>
                <w:color w:val="auto"/>
                <w:szCs w:val="21"/>
                <w:highlight w:val="none"/>
              </w:rPr>
              <w:t>处理后通过15m高</w:t>
            </w:r>
            <w:r>
              <w:rPr>
                <w:rFonts w:hint="eastAsia" w:ascii="Times New Roman" w:hAnsi="Times New Roman" w:eastAsia="宋体" w:cs="Times New Roman"/>
                <w:color w:val="auto"/>
                <w:szCs w:val="21"/>
                <w:highlight w:val="none"/>
              </w:rPr>
              <w:t>DA002</w:t>
            </w:r>
            <w:r>
              <w:rPr>
                <w:rFonts w:ascii="Times New Roman" w:hAnsi="Times New Roman" w:eastAsia="宋体" w:cs="Times New Roman"/>
                <w:color w:val="auto"/>
                <w:szCs w:val="21"/>
                <w:highlight w:val="none"/>
              </w:rPr>
              <w:t>排气筒排放（风量</w:t>
            </w:r>
            <w:r>
              <w:rPr>
                <w:rFonts w:hint="eastAsia" w:ascii="Times New Roman" w:hAnsi="Times New Roman" w:eastAsia="宋体" w:cs="Times New Roman"/>
                <w:color w:val="auto"/>
                <w:szCs w:val="21"/>
                <w:highlight w:val="none"/>
              </w:rPr>
              <w:t>1</w:t>
            </w:r>
            <w:r>
              <w:rPr>
                <w:rFonts w:ascii="Times New Roman" w:hAnsi="Times New Roman" w:eastAsia="宋体" w:cs="Times New Roman"/>
                <w:color w:val="auto"/>
                <w:szCs w:val="21"/>
                <w:highlight w:val="none"/>
              </w:rPr>
              <w:t>5000m³/h）</w:t>
            </w:r>
          </w:p>
        </w:tc>
        <w:tc>
          <w:tcPr>
            <w:tcW w:w="2019" w:type="dxa"/>
            <w:vAlign w:val="center"/>
          </w:tcPr>
          <w:p w14:paraId="67C7239D">
            <w:pPr>
              <w:snapToGrid w:val="0"/>
              <w:spacing w:line="276" w:lineRule="auto"/>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《大气污染物综合排放标准》（GB16297-1996</w:t>
            </w:r>
            <w:r>
              <w:rPr>
                <w:rFonts w:hint="eastAsia" w:ascii="Times New Roman" w:hAnsi="Times New Roman" w:eastAsia="宋体" w:cs="Times New Roman"/>
                <w:color w:val="auto"/>
                <w:szCs w:val="21"/>
                <w:highlight w:val="none"/>
                <w:lang w:eastAsia="zh-CN"/>
              </w:rPr>
              <w:t>）</w:t>
            </w:r>
          </w:p>
        </w:tc>
      </w:tr>
      <w:tr w14:paraId="2F89A9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Merge w:val="continue"/>
            <w:vAlign w:val="center"/>
          </w:tcPr>
          <w:p w14:paraId="06DD1211">
            <w:pPr>
              <w:snapToGrid w:val="0"/>
              <w:spacing w:line="276" w:lineRule="auto"/>
              <w:jc w:val="center"/>
              <w:rPr>
                <w:rFonts w:ascii="Times New Roman" w:hAnsi="Times New Roman" w:eastAsia="宋体" w:cs="Times New Roman"/>
                <w:color w:val="auto"/>
                <w:szCs w:val="21"/>
                <w:highlight w:val="none"/>
              </w:rPr>
            </w:pPr>
          </w:p>
        </w:tc>
        <w:tc>
          <w:tcPr>
            <w:tcW w:w="1420" w:type="dxa"/>
            <w:vAlign w:val="center"/>
          </w:tcPr>
          <w:p w14:paraId="2325EAB0">
            <w:pPr>
              <w:snapToGrid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DA003</w:t>
            </w:r>
          </w:p>
        </w:tc>
        <w:tc>
          <w:tcPr>
            <w:tcW w:w="1296" w:type="dxa"/>
            <w:vAlign w:val="center"/>
          </w:tcPr>
          <w:p w14:paraId="54C7A9D9">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非甲烷总烃</w:t>
            </w:r>
          </w:p>
        </w:tc>
        <w:tc>
          <w:tcPr>
            <w:tcW w:w="3109" w:type="dxa"/>
            <w:vAlign w:val="center"/>
          </w:tcPr>
          <w:p w14:paraId="7D31267C">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经二级活性炭吸附装置处理后通过15m高</w:t>
            </w:r>
            <w:r>
              <w:rPr>
                <w:rFonts w:hint="eastAsia" w:ascii="Times New Roman" w:hAnsi="Times New Roman" w:eastAsia="宋体" w:cs="Times New Roman"/>
                <w:color w:val="auto"/>
                <w:szCs w:val="21"/>
                <w:highlight w:val="none"/>
              </w:rPr>
              <w:t>DA003</w:t>
            </w:r>
            <w:r>
              <w:rPr>
                <w:rFonts w:ascii="Times New Roman" w:hAnsi="Times New Roman" w:eastAsia="宋体" w:cs="Times New Roman"/>
                <w:color w:val="auto"/>
                <w:szCs w:val="21"/>
                <w:highlight w:val="none"/>
              </w:rPr>
              <w:t>排气筒排放（风量</w:t>
            </w:r>
            <w:r>
              <w:rPr>
                <w:rFonts w:hint="eastAsia" w:ascii="Times New Roman" w:hAnsi="Times New Roman" w:eastAsia="宋体" w:cs="Times New Roman"/>
                <w:color w:val="auto"/>
                <w:szCs w:val="21"/>
                <w:highlight w:val="none"/>
              </w:rPr>
              <w:t>10</w:t>
            </w:r>
            <w:r>
              <w:rPr>
                <w:rFonts w:ascii="Times New Roman" w:hAnsi="Times New Roman" w:eastAsia="宋体" w:cs="Times New Roman"/>
                <w:color w:val="auto"/>
                <w:szCs w:val="21"/>
                <w:highlight w:val="none"/>
              </w:rPr>
              <w:t>000m³/h）</w:t>
            </w:r>
          </w:p>
        </w:tc>
        <w:tc>
          <w:tcPr>
            <w:tcW w:w="2019" w:type="dxa"/>
            <w:vAlign w:val="center"/>
          </w:tcPr>
          <w:p w14:paraId="5973B763">
            <w:pPr>
              <w:snapToGrid w:val="0"/>
              <w:spacing w:line="276" w:lineRule="auto"/>
              <w:jc w:val="center"/>
              <w:rPr>
                <w:rFonts w:hint="eastAsia" w:ascii="Times New Roman" w:hAnsi="Times New Roman" w:eastAsia="宋体" w:cs="Times New Roman"/>
                <w:color w:val="auto"/>
                <w:szCs w:val="21"/>
                <w:highlight w:val="none"/>
                <w:lang w:val="en-US" w:eastAsia="zh-CN"/>
              </w:rPr>
            </w:pP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lang w:val="en-US" w:eastAsia="zh-CN"/>
              </w:rPr>
              <w:t xml:space="preserve">固定源挥发性有机物综合排放标准 </w:t>
            </w:r>
            <w:r>
              <w:rPr>
                <w:rFonts w:hint="eastAsia" w:ascii="Times New Roman" w:hAnsi="Times New Roman" w:eastAsia="宋体" w:cs="Times New Roman"/>
                <w:color w:val="auto"/>
                <w:szCs w:val="21"/>
                <w:highlight w:val="none"/>
                <w:lang w:val="en-US" w:eastAsia="zh-CN"/>
              </w:rPr>
              <w:t>第6部分：其他行业</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lang w:val="en-US" w:eastAsia="zh-CN"/>
              </w:rPr>
              <w:t>DB 34/ 4812.6</w:t>
            </w:r>
            <w:r>
              <w:rPr>
                <w:rFonts w:hint="eastAsia" w:ascii="Times New Roman" w:hAnsi="Times New Roman" w:eastAsia="宋体" w:cs="Times New Roman"/>
                <w:color w:val="auto"/>
                <w:szCs w:val="21"/>
                <w:highlight w:val="none"/>
                <w:lang w:val="en-US" w:eastAsia="zh-CN"/>
              </w:rPr>
              <w:t>-</w:t>
            </w:r>
            <w:r>
              <w:rPr>
                <w:rFonts w:ascii="Times New Roman" w:hAnsi="Times New Roman" w:eastAsia="宋体" w:cs="Times New Roman"/>
                <w:color w:val="auto"/>
                <w:szCs w:val="21"/>
                <w:highlight w:val="none"/>
                <w:lang w:val="en-US" w:eastAsia="zh-CN"/>
              </w:rPr>
              <w:t>2024</w:t>
            </w:r>
            <w:r>
              <w:rPr>
                <w:rFonts w:hint="eastAsia" w:ascii="Times New Roman" w:hAnsi="Times New Roman" w:eastAsia="宋体" w:cs="Times New Roman"/>
                <w:color w:val="auto"/>
                <w:szCs w:val="21"/>
                <w:highlight w:val="none"/>
                <w:lang w:eastAsia="zh-CN"/>
              </w:rPr>
              <w:t>）</w:t>
            </w:r>
          </w:p>
        </w:tc>
      </w:tr>
      <w:tr w14:paraId="09BEBF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956" w:type="dxa"/>
            <w:vMerge w:val="continue"/>
            <w:vAlign w:val="center"/>
          </w:tcPr>
          <w:p w14:paraId="3C1A2335">
            <w:pPr>
              <w:snapToGrid w:val="0"/>
              <w:spacing w:line="276" w:lineRule="auto"/>
              <w:jc w:val="center"/>
              <w:rPr>
                <w:rFonts w:ascii="Times New Roman" w:hAnsi="Times New Roman" w:eastAsia="宋体" w:cs="Times New Roman"/>
                <w:color w:val="auto"/>
                <w:szCs w:val="21"/>
                <w:highlight w:val="none"/>
              </w:rPr>
            </w:pPr>
          </w:p>
        </w:tc>
        <w:tc>
          <w:tcPr>
            <w:tcW w:w="1420" w:type="dxa"/>
            <w:vAlign w:val="center"/>
          </w:tcPr>
          <w:p w14:paraId="02546899">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厂区无组织</w:t>
            </w:r>
          </w:p>
        </w:tc>
        <w:tc>
          <w:tcPr>
            <w:tcW w:w="1296" w:type="dxa"/>
            <w:tcBorders>
              <w:bottom w:val="single" w:color="000000" w:sz="4" w:space="0"/>
            </w:tcBorders>
            <w:vAlign w:val="center"/>
          </w:tcPr>
          <w:p w14:paraId="0CE8FC18">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颗粒物</w:t>
            </w:r>
            <w:r>
              <w:rPr>
                <w:rFonts w:hint="eastAsia" w:ascii="Times New Roman" w:hAnsi="Times New Roman" w:eastAsia="宋体" w:cs="Times New Roman"/>
                <w:color w:val="auto"/>
                <w:szCs w:val="21"/>
                <w:highlight w:val="none"/>
              </w:rPr>
              <w:t>、非甲烷总烃</w:t>
            </w:r>
          </w:p>
        </w:tc>
        <w:tc>
          <w:tcPr>
            <w:tcW w:w="3109" w:type="dxa"/>
            <w:tcBorders>
              <w:bottom w:val="single" w:color="000000" w:sz="4" w:space="0"/>
            </w:tcBorders>
            <w:vAlign w:val="center"/>
          </w:tcPr>
          <w:p w14:paraId="486F5660">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加强车间通风</w:t>
            </w:r>
          </w:p>
        </w:tc>
        <w:tc>
          <w:tcPr>
            <w:tcW w:w="2019" w:type="dxa"/>
            <w:vAlign w:val="center"/>
          </w:tcPr>
          <w:p w14:paraId="66295BBC">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《大气污染物综合排放标准》（GB16297-1996）</w:t>
            </w:r>
            <w:r>
              <w:rPr>
                <w:rFonts w:hint="eastAsia" w:ascii="Times New Roman" w:hAnsi="Times New Roman" w:eastAsia="宋体" w:cs="Times New Roman"/>
                <w:color w:val="auto"/>
                <w:szCs w:val="21"/>
                <w:highlight w:val="none"/>
                <w:lang w:eastAsia="zh-CN"/>
              </w:rPr>
              <w:t>、</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lang w:val="en-US" w:eastAsia="zh-CN"/>
              </w:rPr>
              <w:t xml:space="preserve">固定源挥发性有机物综合排放标准 </w:t>
            </w:r>
            <w:r>
              <w:rPr>
                <w:rFonts w:hint="eastAsia" w:ascii="Times New Roman" w:hAnsi="Times New Roman" w:eastAsia="宋体" w:cs="Times New Roman"/>
                <w:color w:val="auto"/>
                <w:szCs w:val="21"/>
                <w:highlight w:val="none"/>
                <w:lang w:val="en-US" w:eastAsia="zh-CN"/>
              </w:rPr>
              <w:t>第6部分：其他行业</w:t>
            </w:r>
            <w:r>
              <w:rPr>
                <w:rFonts w:ascii="Times New Roman" w:hAnsi="Times New Roman" w:eastAsia="宋体" w:cs="Times New Roman"/>
                <w:color w:val="auto"/>
                <w:szCs w:val="21"/>
                <w:highlight w:val="none"/>
              </w:rPr>
              <w:t>》（</w:t>
            </w:r>
            <w:r>
              <w:rPr>
                <w:rFonts w:ascii="Times New Roman" w:hAnsi="Times New Roman" w:eastAsia="宋体" w:cs="Times New Roman"/>
                <w:color w:val="auto"/>
                <w:szCs w:val="21"/>
                <w:highlight w:val="none"/>
                <w:lang w:val="en-US" w:eastAsia="zh-CN"/>
              </w:rPr>
              <w:t>DB 34/ 4812.6</w:t>
            </w:r>
            <w:r>
              <w:rPr>
                <w:rFonts w:hint="eastAsia" w:ascii="Times New Roman" w:hAnsi="Times New Roman" w:eastAsia="宋体" w:cs="Times New Roman"/>
                <w:color w:val="auto"/>
                <w:szCs w:val="21"/>
                <w:highlight w:val="none"/>
                <w:lang w:val="en-US" w:eastAsia="zh-CN"/>
              </w:rPr>
              <w:t>-</w:t>
            </w:r>
            <w:r>
              <w:rPr>
                <w:rFonts w:ascii="Times New Roman" w:hAnsi="Times New Roman" w:eastAsia="宋体" w:cs="Times New Roman"/>
                <w:color w:val="auto"/>
                <w:szCs w:val="21"/>
                <w:highlight w:val="none"/>
                <w:lang w:val="en-US" w:eastAsia="zh-CN"/>
              </w:rPr>
              <w:t>2024</w:t>
            </w:r>
            <w:r>
              <w:rPr>
                <w:rFonts w:hint="eastAsia" w:ascii="Times New Roman" w:hAnsi="Times New Roman" w:eastAsia="宋体" w:cs="Times New Roman"/>
                <w:color w:val="auto"/>
                <w:szCs w:val="21"/>
                <w:highlight w:val="none"/>
                <w:lang w:eastAsia="zh-CN"/>
              </w:rPr>
              <w:t>）</w:t>
            </w:r>
          </w:p>
        </w:tc>
      </w:tr>
      <w:tr w14:paraId="380ACC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Align w:val="center"/>
          </w:tcPr>
          <w:p w14:paraId="5E1E4945">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地表水环境</w:t>
            </w:r>
          </w:p>
        </w:tc>
        <w:tc>
          <w:tcPr>
            <w:tcW w:w="1420" w:type="dxa"/>
            <w:vAlign w:val="center"/>
          </w:tcPr>
          <w:p w14:paraId="5665ED40">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生活污水</w:t>
            </w:r>
          </w:p>
        </w:tc>
        <w:tc>
          <w:tcPr>
            <w:tcW w:w="1296" w:type="dxa"/>
            <w:vAlign w:val="center"/>
          </w:tcPr>
          <w:p w14:paraId="1C090737">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COD</w:t>
            </w:r>
            <w:r>
              <w:rPr>
                <w:rFonts w:ascii="Times New Roman" w:hAnsi="Times New Roman" w:eastAsia="宋体" w:cs="Times New Roman"/>
                <w:color w:val="auto"/>
                <w:szCs w:val="21"/>
                <w:highlight w:val="none"/>
                <w:vertAlign w:val="subscript"/>
              </w:rPr>
              <w:t>Cr</w:t>
            </w:r>
            <w:r>
              <w:rPr>
                <w:rFonts w:ascii="Times New Roman" w:hAnsi="Times New Roman" w:eastAsia="宋体" w:cs="Times New Roman"/>
                <w:color w:val="auto"/>
                <w:szCs w:val="21"/>
                <w:highlight w:val="none"/>
              </w:rPr>
              <w:t>、BOD</w:t>
            </w:r>
            <w:r>
              <w:rPr>
                <w:rFonts w:ascii="Times New Roman" w:hAnsi="Times New Roman" w:eastAsia="宋体" w:cs="Times New Roman"/>
                <w:color w:val="auto"/>
                <w:szCs w:val="21"/>
                <w:highlight w:val="none"/>
                <w:vertAlign w:val="subscript"/>
              </w:rPr>
              <w:t>5</w:t>
            </w:r>
            <w:r>
              <w:rPr>
                <w:rFonts w:ascii="Times New Roman" w:hAnsi="Times New Roman" w:eastAsia="宋体" w:cs="Times New Roman"/>
                <w:color w:val="auto"/>
                <w:szCs w:val="21"/>
                <w:highlight w:val="none"/>
              </w:rPr>
              <w:t>、SS、NH</w:t>
            </w:r>
            <w:r>
              <w:rPr>
                <w:rFonts w:ascii="Times New Roman" w:hAnsi="Times New Roman" w:eastAsia="宋体" w:cs="Times New Roman"/>
                <w:color w:val="auto"/>
                <w:szCs w:val="21"/>
                <w:highlight w:val="none"/>
                <w:vertAlign w:val="subscript"/>
              </w:rPr>
              <w:t>3</w:t>
            </w:r>
            <w:r>
              <w:rPr>
                <w:rFonts w:ascii="Times New Roman" w:hAnsi="Times New Roman" w:eastAsia="宋体" w:cs="Times New Roman"/>
                <w:color w:val="auto"/>
                <w:szCs w:val="21"/>
                <w:highlight w:val="none"/>
              </w:rPr>
              <w:t>-N</w:t>
            </w:r>
          </w:p>
        </w:tc>
        <w:tc>
          <w:tcPr>
            <w:tcW w:w="3109" w:type="dxa"/>
            <w:vAlign w:val="center"/>
          </w:tcPr>
          <w:p w14:paraId="16E4A63C">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lang w:val="en-GB"/>
              </w:rPr>
              <w:t>生活污水</w:t>
            </w:r>
            <w:r>
              <w:rPr>
                <w:rFonts w:ascii="Times New Roman" w:hAnsi="Times New Roman" w:eastAsia="宋体" w:cs="Times New Roman"/>
                <w:bCs/>
                <w:color w:val="auto"/>
                <w:szCs w:val="21"/>
                <w:highlight w:val="none"/>
              </w:rPr>
              <w:t>经</w:t>
            </w:r>
            <w:r>
              <w:rPr>
                <w:rFonts w:ascii="Times New Roman" w:hAnsi="Times New Roman" w:eastAsia="宋体" w:cs="Times New Roman"/>
                <w:bCs/>
                <w:color w:val="auto"/>
                <w:szCs w:val="21"/>
                <w:highlight w:val="none"/>
                <w:lang w:val="en-GB"/>
              </w:rPr>
              <w:t>化粪池</w:t>
            </w:r>
            <w:r>
              <w:rPr>
                <w:rFonts w:ascii="Times New Roman" w:hAnsi="Times New Roman" w:eastAsia="宋体" w:cs="Times New Roman"/>
                <w:bCs/>
                <w:color w:val="auto"/>
                <w:szCs w:val="21"/>
                <w:highlight w:val="none"/>
              </w:rPr>
              <w:t>处理</w:t>
            </w:r>
            <w:r>
              <w:rPr>
                <w:rFonts w:ascii="Times New Roman" w:hAnsi="Times New Roman" w:eastAsia="宋体" w:cs="Times New Roman"/>
                <w:bCs/>
                <w:color w:val="auto"/>
                <w:szCs w:val="21"/>
                <w:highlight w:val="none"/>
                <w:lang w:val="en-GB"/>
              </w:rPr>
              <w:t>后，</w:t>
            </w:r>
            <w:r>
              <w:rPr>
                <w:rFonts w:ascii="Times New Roman" w:hAnsi="Times New Roman" w:eastAsia="宋体" w:cs="Times New Roman"/>
                <w:bCs/>
                <w:color w:val="auto"/>
                <w:szCs w:val="21"/>
                <w:highlight w:val="none"/>
              </w:rPr>
              <w:t>接管至市政污水管网送至八公山污水处理厂处理后排放至淮河</w:t>
            </w:r>
          </w:p>
        </w:tc>
        <w:tc>
          <w:tcPr>
            <w:tcW w:w="2019" w:type="dxa"/>
            <w:vAlign w:val="center"/>
          </w:tcPr>
          <w:p w14:paraId="70397EE0">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bCs/>
                <w:color w:val="auto"/>
                <w:szCs w:val="21"/>
                <w:highlight w:val="none"/>
              </w:rPr>
              <w:t>/</w:t>
            </w:r>
          </w:p>
        </w:tc>
      </w:tr>
      <w:tr w14:paraId="2FCD5F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Align w:val="center"/>
          </w:tcPr>
          <w:p w14:paraId="4A1488F4">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声环境</w:t>
            </w:r>
          </w:p>
        </w:tc>
        <w:tc>
          <w:tcPr>
            <w:tcW w:w="1420" w:type="dxa"/>
            <w:vAlign w:val="center"/>
          </w:tcPr>
          <w:p w14:paraId="615C6C81">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设备噪声</w:t>
            </w:r>
          </w:p>
        </w:tc>
        <w:tc>
          <w:tcPr>
            <w:tcW w:w="1296" w:type="dxa"/>
            <w:vAlign w:val="center"/>
          </w:tcPr>
          <w:p w14:paraId="5FE8E4FF">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噪声</w:t>
            </w:r>
          </w:p>
        </w:tc>
        <w:tc>
          <w:tcPr>
            <w:tcW w:w="3109" w:type="dxa"/>
            <w:vAlign w:val="center"/>
          </w:tcPr>
          <w:p w14:paraId="37874370">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kern w:val="0"/>
                <w:szCs w:val="21"/>
                <w:highlight w:val="none"/>
              </w:rPr>
              <w:t>减振、消声</w:t>
            </w:r>
          </w:p>
        </w:tc>
        <w:tc>
          <w:tcPr>
            <w:tcW w:w="2019" w:type="dxa"/>
            <w:vAlign w:val="center"/>
          </w:tcPr>
          <w:p w14:paraId="7BF4A3C1">
            <w:pPr>
              <w:snapToGrid w:val="0"/>
              <w:spacing w:line="276" w:lineRule="auto"/>
              <w:ind w:right="-105" w:rightChars="-50"/>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《工业企业厂界环境噪声排放标准》（GB12348-2008）中2类标准</w:t>
            </w:r>
          </w:p>
        </w:tc>
      </w:tr>
      <w:tr w14:paraId="3AD39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Align w:val="center"/>
          </w:tcPr>
          <w:p w14:paraId="423850F7">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固体废物</w:t>
            </w:r>
          </w:p>
        </w:tc>
        <w:tc>
          <w:tcPr>
            <w:tcW w:w="7844" w:type="dxa"/>
            <w:gridSpan w:val="4"/>
          </w:tcPr>
          <w:p w14:paraId="05F86735">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建设一座20m</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危废暂存库，废活性炭、废机油和机油桶暂存于危废暂存库，定期委托有资质的单位处置；</w:t>
            </w:r>
          </w:p>
          <w:p w14:paraId="6D1A40FC">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建设一座20m</w:t>
            </w:r>
            <w:r>
              <w:rPr>
                <w:rFonts w:ascii="Times New Roman" w:hAnsi="Times New Roman" w:eastAsia="宋体" w:cs="Times New Roman"/>
                <w:color w:val="auto"/>
                <w:szCs w:val="21"/>
                <w:highlight w:val="none"/>
                <w:vertAlign w:val="superscript"/>
              </w:rPr>
              <w:t>2</w:t>
            </w:r>
            <w:r>
              <w:rPr>
                <w:rFonts w:ascii="Times New Roman" w:hAnsi="Times New Roman" w:eastAsia="宋体" w:cs="Times New Roman"/>
                <w:color w:val="auto"/>
                <w:szCs w:val="21"/>
                <w:highlight w:val="none"/>
              </w:rPr>
              <w:t>一般固废暂存间，废塑粉、废包装物、边角料</w:t>
            </w:r>
            <w:r>
              <w:rPr>
                <w:rFonts w:hint="eastAsia" w:ascii="Times New Roman" w:hAnsi="Times New Roman" w:eastAsia="宋体" w:cs="Times New Roman"/>
                <w:color w:val="auto"/>
                <w:szCs w:val="21"/>
                <w:highlight w:val="none"/>
              </w:rPr>
              <w:t>、废砂纸</w:t>
            </w:r>
            <w:r>
              <w:rPr>
                <w:rFonts w:ascii="Times New Roman" w:hAnsi="Times New Roman" w:eastAsia="宋体" w:cs="Times New Roman"/>
                <w:color w:val="auto"/>
                <w:szCs w:val="21"/>
                <w:highlight w:val="none"/>
              </w:rPr>
              <w:t>和焊渣统一收集在一般固废暂存间，定期外售；</w:t>
            </w:r>
          </w:p>
          <w:p w14:paraId="6F808C03">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生活垃圾集中收集后由当地环卫部门统一清运；</w:t>
            </w:r>
          </w:p>
          <w:p w14:paraId="6E6AA48F">
            <w:pPr>
              <w:snapToGrid w:val="0"/>
              <w:spacing w:line="276" w:lineRule="auto"/>
              <w:ind w:firstLine="420" w:firstLineChars="200"/>
              <w:rPr>
                <w:rFonts w:ascii="Times New Roman" w:hAnsi="Times New Roman" w:eastAsia="宋体" w:cs="Times New Roman"/>
                <w:snapToGrid w:val="0"/>
                <w:color w:val="auto"/>
                <w:kern w:val="0"/>
                <w:szCs w:val="21"/>
                <w:highlight w:val="none"/>
              </w:rPr>
            </w:pPr>
            <w:r>
              <w:rPr>
                <w:rFonts w:ascii="Times New Roman" w:hAnsi="Times New Roman" w:eastAsia="宋体" w:cs="Times New Roman"/>
                <w:color w:val="auto"/>
                <w:szCs w:val="21"/>
                <w:highlight w:val="none"/>
              </w:rPr>
              <w:t>危险废物执行《危险废物贮存污染控制标准》（GB18597-2023），</w:t>
            </w:r>
            <w:r>
              <w:rPr>
                <w:rFonts w:ascii="Times New Roman" w:hAnsi="Times New Roman" w:eastAsia="宋体" w:cs="Times New Roman"/>
                <w:snapToGrid w:val="0"/>
                <w:color w:val="auto"/>
                <w:kern w:val="0"/>
                <w:szCs w:val="21"/>
                <w:highlight w:val="none"/>
              </w:rPr>
              <w:t>一般工业固体废物贮存、处置执行《一般工业固体废物贮存和填埋污染控制标准》（GB18599-2020）中有关规定</w:t>
            </w:r>
          </w:p>
        </w:tc>
      </w:tr>
      <w:tr w14:paraId="70C7FF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Align w:val="center"/>
          </w:tcPr>
          <w:p w14:paraId="1CDD5849">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土壤及地下水</w:t>
            </w:r>
          </w:p>
          <w:p w14:paraId="3EC54E97">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污染防治措施</w:t>
            </w:r>
          </w:p>
        </w:tc>
        <w:tc>
          <w:tcPr>
            <w:tcW w:w="7844" w:type="dxa"/>
            <w:gridSpan w:val="4"/>
          </w:tcPr>
          <w:p w14:paraId="5FAB5463">
            <w:pPr>
              <w:snapToGrid w:val="0"/>
              <w:spacing w:line="276"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重点防渗区：主要为危废暂存库区域。重点防渗区的防渗技术要求：等效黏土防渗层Mb≥6.0m，K≤10</w:t>
            </w:r>
            <w:r>
              <w:rPr>
                <w:rFonts w:ascii="Times New Roman" w:hAnsi="Times New Roman" w:eastAsia="宋体" w:cs="Times New Roman"/>
                <w:color w:val="auto"/>
                <w:szCs w:val="21"/>
                <w:highlight w:val="none"/>
                <w:vertAlign w:val="superscript"/>
              </w:rPr>
              <w:t>-7</w:t>
            </w:r>
            <w:r>
              <w:rPr>
                <w:rFonts w:ascii="Times New Roman" w:hAnsi="Times New Roman" w:eastAsia="宋体" w:cs="Times New Roman"/>
                <w:color w:val="auto"/>
                <w:szCs w:val="21"/>
                <w:highlight w:val="none"/>
              </w:rPr>
              <w:t>cm/s。其中危废暂存库还需要满足《危险废物贮存污染控制标准》（GB18597-2023）中防渗要求：基础必须防渗，防渗层为至少1m厚粘土层（渗透系数K≤10</w:t>
            </w:r>
            <w:r>
              <w:rPr>
                <w:rFonts w:ascii="Times New Roman" w:hAnsi="Times New Roman" w:eastAsia="宋体" w:cs="Times New Roman"/>
                <w:color w:val="auto"/>
                <w:szCs w:val="21"/>
                <w:highlight w:val="none"/>
                <w:vertAlign w:val="superscript"/>
              </w:rPr>
              <w:t>-7</w:t>
            </w:r>
            <w:r>
              <w:rPr>
                <w:rFonts w:ascii="Times New Roman" w:hAnsi="Times New Roman" w:eastAsia="宋体" w:cs="Times New Roman"/>
                <w:color w:val="auto"/>
                <w:szCs w:val="21"/>
                <w:highlight w:val="none"/>
              </w:rPr>
              <w:t>cm/s），或2mm厚高密度聚乙烯，或至少2mm厚的</w:t>
            </w:r>
            <w:r>
              <w:rPr>
                <w:rFonts w:hint="eastAsia" w:ascii="Times New Roman" w:hAnsi="Times New Roman" w:eastAsia="宋体" w:cs="Times New Roman"/>
                <w:color w:val="auto"/>
                <w:szCs w:val="21"/>
                <w:highlight w:val="none"/>
                <w:lang w:eastAsia="zh-CN"/>
              </w:rPr>
              <w:t>其他人工</w:t>
            </w:r>
            <w:r>
              <w:rPr>
                <w:rFonts w:ascii="Times New Roman" w:hAnsi="Times New Roman" w:eastAsia="宋体" w:cs="Times New Roman"/>
                <w:color w:val="auto"/>
                <w:szCs w:val="21"/>
                <w:highlight w:val="none"/>
              </w:rPr>
              <w:t>材料，渗透系数K≤10</w:t>
            </w:r>
            <w:r>
              <w:rPr>
                <w:rFonts w:ascii="Times New Roman" w:hAnsi="Times New Roman" w:eastAsia="宋体" w:cs="Times New Roman"/>
                <w:color w:val="auto"/>
                <w:szCs w:val="21"/>
                <w:highlight w:val="none"/>
                <w:vertAlign w:val="superscript"/>
              </w:rPr>
              <w:t>-10</w:t>
            </w:r>
            <w:r>
              <w:rPr>
                <w:rFonts w:ascii="Times New Roman" w:hAnsi="Times New Roman" w:eastAsia="宋体" w:cs="Times New Roman"/>
                <w:color w:val="auto"/>
                <w:szCs w:val="21"/>
                <w:highlight w:val="none"/>
              </w:rPr>
              <w:t>cm/s</w:t>
            </w:r>
            <w:r>
              <w:rPr>
                <w:rFonts w:hint="eastAsia" w:ascii="Times New Roman" w:hAnsi="Times New Roman" w:eastAsia="宋体" w:cs="Times New Roman"/>
                <w:color w:val="auto"/>
                <w:szCs w:val="21"/>
                <w:highlight w:val="none"/>
                <w:lang w:eastAsia="zh-CN"/>
              </w:rPr>
              <w:t>。</w:t>
            </w:r>
          </w:p>
          <w:p w14:paraId="281CC1A6">
            <w:pPr>
              <w:snapToGrid w:val="0"/>
              <w:spacing w:line="276" w:lineRule="auto"/>
              <w:ind w:firstLine="420" w:firstLineChars="200"/>
              <w:rPr>
                <w:rFonts w:hint="eastAsia" w:ascii="Times New Roman" w:hAnsi="Times New Roman" w:eastAsia="宋体" w:cs="Times New Roman"/>
                <w:color w:val="auto"/>
                <w:szCs w:val="21"/>
                <w:highlight w:val="none"/>
                <w:lang w:eastAsia="zh-CN"/>
              </w:rPr>
            </w:pPr>
            <w:r>
              <w:rPr>
                <w:rFonts w:ascii="Times New Roman" w:hAnsi="Times New Roman" w:eastAsia="宋体" w:cs="Times New Roman"/>
                <w:color w:val="auto"/>
                <w:szCs w:val="21"/>
                <w:highlight w:val="none"/>
              </w:rPr>
              <w:t>一般防渗区：生产车间、一般固废暂存间、化粪池设为一般防渗区。一般防渗区的防渗技术要求：等效黏土防渗层Mb≥1.5m，K≤10</w:t>
            </w:r>
            <w:r>
              <w:rPr>
                <w:rFonts w:ascii="Times New Roman" w:hAnsi="Times New Roman" w:eastAsia="宋体" w:cs="Times New Roman"/>
                <w:color w:val="auto"/>
                <w:szCs w:val="21"/>
                <w:highlight w:val="none"/>
                <w:vertAlign w:val="superscript"/>
              </w:rPr>
              <w:t>-7</w:t>
            </w:r>
            <w:r>
              <w:rPr>
                <w:rFonts w:ascii="Times New Roman" w:hAnsi="Times New Roman" w:eastAsia="宋体" w:cs="Times New Roman"/>
                <w:color w:val="auto"/>
                <w:szCs w:val="21"/>
                <w:highlight w:val="none"/>
              </w:rPr>
              <w:t>cm/s</w:t>
            </w:r>
            <w:r>
              <w:rPr>
                <w:rFonts w:hint="eastAsia" w:ascii="Times New Roman" w:hAnsi="Times New Roman" w:eastAsia="宋体" w:cs="Times New Roman"/>
                <w:color w:val="auto"/>
                <w:szCs w:val="21"/>
                <w:highlight w:val="none"/>
                <w:lang w:eastAsia="zh-CN"/>
              </w:rPr>
              <w:t>。</w:t>
            </w:r>
          </w:p>
        </w:tc>
      </w:tr>
      <w:tr w14:paraId="154B81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Align w:val="center"/>
          </w:tcPr>
          <w:p w14:paraId="1C472043">
            <w:pPr>
              <w:snapToGrid w:val="0"/>
              <w:spacing w:line="276" w:lineRule="auto"/>
              <w:jc w:val="center"/>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生态保护措施</w:t>
            </w:r>
          </w:p>
        </w:tc>
        <w:tc>
          <w:tcPr>
            <w:tcW w:w="7844" w:type="dxa"/>
            <w:gridSpan w:val="4"/>
            <w:vAlign w:val="center"/>
          </w:tcPr>
          <w:p w14:paraId="2E846E53">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本项目所属用地为工业用地，区域内无珍稀动物、植物，无文物古迹保护对象，对区域内生态环境产生破坏和影响较小</w:t>
            </w:r>
          </w:p>
        </w:tc>
      </w:tr>
      <w:tr w14:paraId="73EC15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56" w:type="dxa"/>
            <w:vAlign w:val="center"/>
          </w:tcPr>
          <w:p w14:paraId="01BCBFC0">
            <w:pPr>
              <w:snapToGrid w:val="0"/>
              <w:spacing w:line="276" w:lineRule="auto"/>
              <w:jc w:val="center"/>
              <w:rPr>
                <w:rFonts w:ascii="Times New Roman" w:hAnsi="Times New Roman" w:eastAsia="宋体" w:cs="Times New Roman"/>
                <w:color w:val="auto"/>
                <w:spacing w:val="-8"/>
                <w:szCs w:val="21"/>
                <w:highlight w:val="none"/>
              </w:rPr>
            </w:pPr>
            <w:r>
              <w:rPr>
                <w:rFonts w:ascii="Times New Roman" w:hAnsi="Times New Roman" w:eastAsia="宋体" w:cs="Times New Roman"/>
                <w:color w:val="auto"/>
                <w:spacing w:val="-8"/>
                <w:szCs w:val="21"/>
                <w:highlight w:val="none"/>
              </w:rPr>
              <w:t>环境风险防范措施</w:t>
            </w:r>
          </w:p>
        </w:tc>
        <w:tc>
          <w:tcPr>
            <w:tcW w:w="7844" w:type="dxa"/>
            <w:gridSpan w:val="4"/>
            <w:vAlign w:val="center"/>
          </w:tcPr>
          <w:p w14:paraId="366F34B5">
            <w:pPr>
              <w:snapToGrid w:val="0"/>
              <w:spacing w:line="276" w:lineRule="auto"/>
              <w:ind w:firstLine="420" w:firstLineChars="200"/>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危废暂存库设置集液托盘，并将废机油置于集液托盘内，单层码放；</w:t>
            </w:r>
          </w:p>
          <w:p w14:paraId="3ADE1790">
            <w:pPr>
              <w:snapToGrid w:val="0"/>
              <w:spacing w:line="276" w:lineRule="auto"/>
              <w:ind w:firstLine="420" w:firstLineChars="200"/>
              <w:rPr>
                <w:rFonts w:ascii="Times New Roman" w:hAnsi="Times New Roman" w:eastAsia="宋体" w:cs="Times New Roman"/>
                <w:bCs/>
                <w:color w:val="auto"/>
                <w:szCs w:val="21"/>
                <w:highlight w:val="none"/>
              </w:rPr>
            </w:pPr>
            <w:r>
              <w:rPr>
                <w:rFonts w:ascii="Times New Roman" w:hAnsi="Times New Roman" w:eastAsia="宋体" w:cs="Times New Roman"/>
                <w:bCs/>
                <w:color w:val="auto"/>
                <w:szCs w:val="21"/>
                <w:highlight w:val="none"/>
              </w:rPr>
              <w:t>定期检修设备，加强日常维护保养</w:t>
            </w:r>
          </w:p>
          <w:p w14:paraId="1A01ABD5">
            <w:pPr>
              <w:snapToGrid w:val="0"/>
              <w:spacing w:line="276" w:lineRule="auto"/>
              <w:ind w:firstLine="420" w:firstLineChars="200"/>
              <w:rPr>
                <w:rFonts w:ascii="Times New Roman" w:hAnsi="Times New Roman" w:eastAsia="宋体" w:cs="Times New Roman"/>
                <w:bCs/>
                <w:color w:val="auto"/>
                <w:szCs w:val="21"/>
                <w:highlight w:val="none"/>
              </w:rPr>
            </w:pPr>
            <w:r>
              <w:rPr>
                <w:rFonts w:hint="eastAsia" w:ascii="Times New Roman" w:hAnsi="Times New Roman" w:eastAsia="宋体" w:cs="Times New Roman"/>
                <w:bCs/>
                <w:color w:val="auto"/>
                <w:szCs w:val="21"/>
                <w:highlight w:val="none"/>
              </w:rPr>
              <w:t>公司应编制突发环境风险应急预案，成立突发环境风险应急小组，设置总指挥、消防灭火组、现场保卫组、通信联络组、生产指挥组、安全技术组、现场救护组、应急物资供应组等，明确分工，发生突发环境事件时能及时采取相应措施</w:t>
            </w:r>
          </w:p>
        </w:tc>
      </w:tr>
      <w:tr w14:paraId="53D3F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956" w:type="dxa"/>
            <w:vAlign w:val="center"/>
          </w:tcPr>
          <w:p w14:paraId="1AE343D0">
            <w:pPr>
              <w:snapToGrid w:val="0"/>
              <w:spacing w:line="276" w:lineRule="auto"/>
              <w:jc w:val="center"/>
              <w:rPr>
                <w:rFonts w:ascii="Times New Roman" w:hAnsi="Times New Roman" w:eastAsia="宋体" w:cs="Times New Roman"/>
                <w:color w:val="auto"/>
                <w:spacing w:val="-8"/>
                <w:szCs w:val="21"/>
                <w:highlight w:val="none"/>
              </w:rPr>
            </w:pPr>
            <w:r>
              <w:rPr>
                <w:rFonts w:ascii="Times New Roman" w:hAnsi="Times New Roman" w:eastAsia="宋体" w:cs="Times New Roman"/>
                <w:bCs/>
                <w:color w:val="auto"/>
                <w:szCs w:val="21"/>
                <w:highlight w:val="none"/>
              </w:rPr>
              <w:t>其他环境管理要求</w:t>
            </w:r>
          </w:p>
        </w:tc>
        <w:tc>
          <w:tcPr>
            <w:tcW w:w="7844" w:type="dxa"/>
            <w:gridSpan w:val="4"/>
          </w:tcPr>
          <w:p w14:paraId="58C08F3D">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项目需遵守下列要求：</w:t>
            </w:r>
          </w:p>
          <w:p w14:paraId="3A900CD8">
            <w:pPr>
              <w:snapToGrid w:val="0"/>
              <w:spacing w:line="276" w:lineRule="auto"/>
              <w:ind w:firstLine="420" w:firstLineChars="200"/>
              <w:rPr>
                <w:rFonts w:ascii="Times New Roman" w:hAnsi="Times New Roman" w:eastAsia="宋体" w:cs="Times New Roman"/>
                <w:color w:val="auto"/>
                <w:szCs w:val="21"/>
                <w:highlight w:val="none"/>
              </w:rPr>
            </w:pPr>
            <w:r>
              <w:rPr>
                <w:rFonts w:ascii="Times New Roman" w:hAnsi="Times New Roman" w:eastAsia="宋体" w:cs="Times New Roman"/>
                <w:color w:val="auto"/>
                <w:szCs w:val="21"/>
                <w:highlight w:val="none"/>
              </w:rPr>
              <w:t>建设项目的环境管理工作应由专人负责，为加强环境管理提供组织保证，配合环境保护主管部门依法对企业进行环境监督、管理、考核，以及接受生态环境分局在具体业务上给予技术指导。环境管理机构主要职责如下：</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（1）根据公司规模、性质、特点和国家</w:t>
            </w:r>
            <w:r>
              <w:rPr>
                <w:rFonts w:hint="eastAsia" w:ascii="Times New Roman" w:hAnsi="Times New Roman" w:eastAsia="宋体" w:cs="Times New Roman"/>
                <w:color w:val="auto"/>
                <w:szCs w:val="21"/>
                <w:highlight w:val="none"/>
                <w:lang w:eastAsia="zh-CN"/>
              </w:rPr>
              <w:t>法律法规</w:t>
            </w:r>
            <w:r>
              <w:rPr>
                <w:rFonts w:ascii="Times New Roman" w:hAnsi="Times New Roman" w:eastAsia="宋体" w:cs="Times New Roman"/>
                <w:color w:val="auto"/>
                <w:szCs w:val="21"/>
                <w:highlight w:val="none"/>
              </w:rPr>
              <w:t>，制定全公司环保规划和环境方针，并负责以多种形式向相关方面宣传；</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（2）负责获取、更新</w:t>
            </w:r>
            <w:r>
              <w:rPr>
                <w:rFonts w:hint="eastAsia" w:ascii="Times New Roman" w:hAnsi="Times New Roman" w:eastAsia="宋体" w:cs="Times New Roman"/>
                <w:color w:val="auto"/>
                <w:szCs w:val="21"/>
                <w:highlight w:val="none"/>
                <w:lang w:eastAsia="zh-CN"/>
              </w:rPr>
              <w:t>适用</w:t>
            </w:r>
            <w:r>
              <w:rPr>
                <w:rFonts w:ascii="Times New Roman" w:hAnsi="Times New Roman" w:eastAsia="宋体" w:cs="Times New Roman"/>
                <w:color w:val="auto"/>
                <w:szCs w:val="21"/>
                <w:highlight w:val="none"/>
              </w:rPr>
              <w:t>于本企业的与环境相关的</w:t>
            </w:r>
            <w:r>
              <w:rPr>
                <w:rFonts w:hint="eastAsia" w:ascii="Times New Roman" w:hAnsi="Times New Roman" w:eastAsia="宋体" w:cs="Times New Roman"/>
                <w:color w:val="auto"/>
                <w:szCs w:val="21"/>
                <w:highlight w:val="none"/>
                <w:lang w:eastAsia="zh-CN"/>
              </w:rPr>
              <w:t>法律法规</w:t>
            </w:r>
            <w:r>
              <w:rPr>
                <w:rFonts w:ascii="Times New Roman" w:hAnsi="Times New Roman" w:eastAsia="宋体" w:cs="Times New Roman"/>
                <w:color w:val="auto"/>
                <w:szCs w:val="21"/>
                <w:highlight w:val="none"/>
              </w:rPr>
              <w:t>，负责把适用的</w:t>
            </w:r>
            <w:r>
              <w:rPr>
                <w:rFonts w:hint="eastAsia" w:ascii="Times New Roman" w:hAnsi="Times New Roman" w:eastAsia="宋体" w:cs="Times New Roman"/>
                <w:color w:val="auto"/>
                <w:szCs w:val="21"/>
                <w:highlight w:val="none"/>
                <w:lang w:eastAsia="zh-CN"/>
              </w:rPr>
              <w:t>法律法规</w:t>
            </w:r>
            <w:r>
              <w:rPr>
                <w:rFonts w:ascii="Times New Roman" w:hAnsi="Times New Roman" w:eastAsia="宋体" w:cs="Times New Roman"/>
                <w:color w:val="auto"/>
                <w:szCs w:val="21"/>
                <w:highlight w:val="none"/>
              </w:rPr>
              <w:t>发放到相关部门；</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（3）协助各车间制定车间的环保规划，并协调和监督各单位具体实施；</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（4）负责制定和实施公司的年度环保培训计划；</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（5）负责公司内外部的环境工作信息交流；</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（6）监督检查各部门环保设施的运行管理，尤其是了解污染治理设备的运行状况以及治理效率；</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（7）监督检查各生产工艺设备的运行情况，确保无非正常工况生产事故的发生；</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（8）负责对新、改、扩建项目环保工程及其“三同时”执行情况进行环境监测、数据分析、验收评估；</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（9）负责应急计划的监督、检查；负责应急事故的协调处理；指导各单位对环保设施的管理；指导各单位应急与预防工作；对公司范围内重点危险区域部署监控措施；</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（10）负责公司环境监测技术数据统计管理；</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（11）负责全公司环保管理工作的监督和检查；组织实施全公司环境年度评审工作；</w:t>
            </w:r>
            <w:r>
              <w:rPr>
                <w:rFonts w:ascii="Times New Roman" w:hAnsi="Times New Roman" w:eastAsia="宋体" w:cs="Times New Roman"/>
                <w:color w:val="auto"/>
                <w:szCs w:val="21"/>
                <w:highlight w:val="none"/>
              </w:rPr>
              <w:br w:type="textWrapping"/>
            </w:r>
            <w:r>
              <w:rPr>
                <w:rFonts w:ascii="Times New Roman" w:hAnsi="Times New Roman" w:eastAsia="宋体" w:cs="Times New Roman"/>
                <w:color w:val="auto"/>
                <w:szCs w:val="21"/>
                <w:highlight w:val="none"/>
              </w:rPr>
              <w:t>（12）负责公司的环境教育、培训、宣传，让环境保护意识深入职工心中。</w:t>
            </w:r>
          </w:p>
        </w:tc>
      </w:tr>
    </w:tbl>
    <w:p w14:paraId="0D8C194E">
      <w:pPr>
        <w:widowControl/>
        <w:spacing w:before="100" w:beforeAutospacing="1" w:after="100" w:afterAutospacing="1" w:line="240" w:lineRule="atLeast"/>
        <w:jc w:val="center"/>
        <w:outlineLvl w:val="0"/>
        <w:rPr>
          <w:rFonts w:ascii="Times New Roman" w:hAnsi="Times New Roman" w:eastAsia="宋体" w:cs="Times New Roman"/>
          <w:snapToGrid w:val="0"/>
          <w:color w:val="auto"/>
          <w:kern w:val="0"/>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2EE7B29">
      <w:pPr>
        <w:widowControl/>
        <w:spacing w:before="100" w:beforeAutospacing="1" w:after="100" w:afterAutospacing="1"/>
        <w:jc w:val="center"/>
        <w:outlineLvl w:val="0"/>
        <w:rPr>
          <w:rFonts w:ascii="Times New Roman" w:hAnsi="Times New Roman" w:eastAsia="宋体" w:cs="Times New Roman"/>
          <w:snapToGrid w:val="0"/>
          <w:color w:val="auto"/>
          <w:kern w:val="0"/>
          <w:sz w:val="30"/>
          <w:szCs w:val="30"/>
          <w:highlight w:val="none"/>
        </w:rPr>
      </w:pPr>
      <w:r>
        <w:rPr>
          <w:rFonts w:ascii="Times New Roman" w:hAnsi="Times New Roman" w:eastAsia="宋体" w:cs="Times New Roman"/>
          <w:snapToGrid w:val="0"/>
          <w:color w:val="auto"/>
          <w:kern w:val="0"/>
          <w:sz w:val="30"/>
          <w:szCs w:val="30"/>
          <w:highlight w:val="none"/>
        </w:rPr>
        <w:t>六、结论</w:t>
      </w:r>
    </w:p>
    <w:tbl>
      <w:tblPr>
        <w:tblStyle w:val="19"/>
        <w:tblW w:w="8522" w:type="dxa"/>
        <w:tblInd w:w="0" w:type="dxa"/>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Layout w:type="fixed"/>
        <w:tblCellMar>
          <w:top w:w="0" w:type="dxa"/>
          <w:left w:w="108" w:type="dxa"/>
          <w:bottom w:w="0" w:type="dxa"/>
          <w:right w:w="108" w:type="dxa"/>
        </w:tblCellMar>
      </w:tblPr>
      <w:tblGrid>
        <w:gridCol w:w="8522"/>
      </w:tblGrid>
      <w:tr w14:paraId="56D536B7">
        <w:tblPrEx>
          <w:tblBorders>
            <w:top w:val="single" w:color="000000" w:themeColor="text1" w:sz="8" w:space="0"/>
            <w:left w:val="single" w:color="000000" w:themeColor="text1" w:sz="8" w:space="0"/>
            <w:bottom w:val="single" w:color="000000" w:themeColor="text1" w:sz="8" w:space="0"/>
            <w:right w:val="single" w:color="000000" w:themeColor="text1" w:sz="8" w:space="0"/>
            <w:insideH w:val="none" w:color="auto" w:sz="0" w:space="0"/>
            <w:insideV w:val="none" w:color="auto" w:sz="0" w:space="0"/>
          </w:tblBorders>
          <w:tblCellMar>
            <w:top w:w="0" w:type="dxa"/>
            <w:left w:w="108" w:type="dxa"/>
            <w:bottom w:w="0" w:type="dxa"/>
            <w:right w:w="108" w:type="dxa"/>
          </w:tblCellMar>
        </w:tblPrEx>
        <w:trPr>
          <w:trHeight w:val="12563" w:hRule="atLeast"/>
        </w:trPr>
        <w:tc>
          <w:tcPr>
            <w:tcW w:w="8522" w:type="dxa"/>
            <w:tcBorders>
              <w:tl2br w:val="nil"/>
              <w:tr2bl w:val="nil"/>
            </w:tcBorders>
          </w:tcPr>
          <w:p w14:paraId="7D33A6CE">
            <w:pPr>
              <w:spacing w:line="360" w:lineRule="auto"/>
              <w:ind w:firstLine="480" w:firstLineChars="200"/>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本评价报告认为，项目的建设符合国家及地方产业政策</w:t>
            </w:r>
            <w:r>
              <w:rPr>
                <w:rFonts w:hint="eastAsia" w:ascii="Times New Roman" w:hAnsi="Times New Roman" w:eastAsia="宋体" w:cs="Times New Roman"/>
                <w:color w:val="auto"/>
                <w:sz w:val="24"/>
                <w:highlight w:val="none"/>
                <w:lang w:eastAsia="zh-CN"/>
              </w:rPr>
              <w:t>，</w:t>
            </w:r>
            <w:r>
              <w:rPr>
                <w:rFonts w:ascii="Times New Roman" w:hAnsi="Times New Roman" w:eastAsia="宋体" w:cs="Times New Roman"/>
                <w:color w:val="auto"/>
                <w:sz w:val="24"/>
                <w:highlight w:val="none"/>
              </w:rPr>
              <w:t>选址符合用地规划，布局基本合理；项目污染防治措施可行，在建设单位在严格落实环境保护“三同时制度”并加强污染治理设施运行管理的前提下，各项污染物可做到达标排放。因此，从环境保护的角度而言，项目的建设是可行的。</w:t>
            </w:r>
          </w:p>
        </w:tc>
      </w:tr>
    </w:tbl>
    <w:p w14:paraId="1E3477DC">
      <w:pPr>
        <w:widowControl/>
        <w:jc w:val="left"/>
        <w:rPr>
          <w:rFonts w:ascii="Times New Roman" w:hAnsi="Times New Roman" w:eastAsia="宋体" w:cs="Times New Roman"/>
          <w:color w:val="auto"/>
          <w:sz w:val="24"/>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ABD81D0">
      <w:pPr>
        <w:widowControl/>
        <w:spacing w:after="100" w:afterAutospacing="1" w:line="360" w:lineRule="auto"/>
        <w:jc w:val="center"/>
        <w:outlineLvl w:val="0"/>
        <w:rPr>
          <w:rFonts w:ascii="Times New Roman" w:hAnsi="Times New Roman" w:eastAsia="宋体" w:cs="Times New Roman"/>
          <w:snapToGrid w:val="0"/>
          <w:color w:val="auto"/>
          <w:kern w:val="0"/>
          <w:sz w:val="38"/>
          <w:szCs w:val="38"/>
          <w:highlight w:val="none"/>
        </w:rPr>
      </w:pPr>
      <w:r>
        <w:rPr>
          <w:rFonts w:ascii="Times New Roman" w:hAnsi="Times New Roman" w:eastAsia="宋体" w:cs="Times New Roman"/>
          <w:snapToGrid w:val="0"/>
          <w:color w:val="auto"/>
          <w:kern w:val="0"/>
          <w:sz w:val="38"/>
          <w:szCs w:val="38"/>
          <w:highlight w:val="none"/>
        </w:rPr>
        <w:t>建设项目污染物排放量汇总表</w:t>
      </w:r>
    </w:p>
    <w:tbl>
      <w:tblPr>
        <w:tblStyle w:val="18"/>
        <w:tblW w:w="13294"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080"/>
        <w:gridCol w:w="1757"/>
        <w:gridCol w:w="1417"/>
        <w:gridCol w:w="992"/>
        <w:gridCol w:w="1417"/>
        <w:gridCol w:w="1417"/>
        <w:gridCol w:w="1133"/>
        <w:gridCol w:w="1417"/>
        <w:gridCol w:w="1218"/>
      </w:tblGrid>
      <w:tr w14:paraId="28B632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tcBorders>
              <w:tl2br w:val="single" w:color="auto" w:sz="4" w:space="0"/>
            </w:tcBorders>
            <w:tcMar>
              <w:left w:w="28" w:type="dxa"/>
              <w:right w:w="28" w:type="dxa"/>
            </w:tcMar>
            <w:vAlign w:val="center"/>
          </w:tcPr>
          <w:p w14:paraId="260E5EE7">
            <w:pPr>
              <w:spacing w:line="269" w:lineRule="auto"/>
              <w:jc w:val="right"/>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项目</w:t>
            </w:r>
          </w:p>
          <w:p w14:paraId="7C180D81">
            <w:pPr>
              <w:spacing w:line="269" w:lineRule="auto"/>
              <w:jc w:val="left"/>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分类</w:t>
            </w:r>
          </w:p>
        </w:tc>
        <w:tc>
          <w:tcPr>
            <w:tcW w:w="2837" w:type="dxa"/>
            <w:gridSpan w:val="2"/>
            <w:tcMar>
              <w:left w:w="28" w:type="dxa"/>
              <w:right w:w="28" w:type="dxa"/>
            </w:tcMar>
            <w:vAlign w:val="center"/>
          </w:tcPr>
          <w:p w14:paraId="2D63CA61">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污染物名称</w:t>
            </w:r>
          </w:p>
        </w:tc>
        <w:tc>
          <w:tcPr>
            <w:tcW w:w="1417" w:type="dxa"/>
            <w:tcMar>
              <w:left w:w="28" w:type="dxa"/>
              <w:right w:w="28" w:type="dxa"/>
            </w:tcMar>
            <w:vAlign w:val="center"/>
          </w:tcPr>
          <w:p w14:paraId="31BAF40C">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现有工程</w:t>
            </w:r>
          </w:p>
          <w:p w14:paraId="39E11EE2">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排放量（固体废物产生量）</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1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①</w:t>
            </w:r>
            <w:r>
              <w:rPr>
                <w:rFonts w:ascii="Times New Roman" w:hAnsi="Times New Roman" w:eastAsia="宋体" w:cs="Times New Roman"/>
                <w:snapToGrid w:val="0"/>
                <w:color w:val="auto"/>
                <w:spacing w:val="-6"/>
                <w:kern w:val="21"/>
                <w:szCs w:val="21"/>
                <w:highlight w:val="none"/>
              </w:rPr>
              <w:fldChar w:fldCharType="end"/>
            </w:r>
          </w:p>
        </w:tc>
        <w:tc>
          <w:tcPr>
            <w:tcW w:w="992" w:type="dxa"/>
            <w:tcMar>
              <w:left w:w="28" w:type="dxa"/>
              <w:right w:w="28" w:type="dxa"/>
            </w:tcMar>
            <w:vAlign w:val="center"/>
          </w:tcPr>
          <w:p w14:paraId="7F6C617E">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现有工程</w:t>
            </w:r>
          </w:p>
          <w:p w14:paraId="64F03C0B">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许可排放量</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2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snapToGrid w:val="0"/>
                <w:color w:val="auto"/>
                <w:spacing w:val="-6"/>
                <w:kern w:val="21"/>
                <w:szCs w:val="21"/>
                <w:highlight w:val="none"/>
              </w:rPr>
              <w:t>②</w:t>
            </w:r>
            <w:r>
              <w:rPr>
                <w:rFonts w:ascii="Times New Roman" w:hAnsi="Times New Roman" w:eastAsia="宋体" w:cs="Times New Roman"/>
                <w:snapToGrid w:val="0"/>
                <w:color w:val="auto"/>
                <w:spacing w:val="-6"/>
                <w:kern w:val="21"/>
                <w:szCs w:val="21"/>
                <w:highlight w:val="none"/>
              </w:rPr>
              <w:fldChar w:fldCharType="end"/>
            </w:r>
          </w:p>
        </w:tc>
        <w:tc>
          <w:tcPr>
            <w:tcW w:w="1417" w:type="dxa"/>
            <w:tcMar>
              <w:left w:w="28" w:type="dxa"/>
              <w:right w:w="28" w:type="dxa"/>
            </w:tcMar>
            <w:vAlign w:val="center"/>
          </w:tcPr>
          <w:p w14:paraId="227BC3EE">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在建工程</w:t>
            </w:r>
          </w:p>
          <w:p w14:paraId="1B98E5D3">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排放量（固体废物产生量）</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3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③</w:t>
            </w:r>
            <w:r>
              <w:rPr>
                <w:rFonts w:ascii="Times New Roman" w:hAnsi="Times New Roman" w:eastAsia="宋体" w:cs="Times New Roman"/>
                <w:snapToGrid w:val="0"/>
                <w:color w:val="auto"/>
                <w:spacing w:val="-6"/>
                <w:kern w:val="21"/>
                <w:szCs w:val="21"/>
                <w:highlight w:val="none"/>
              </w:rPr>
              <w:fldChar w:fldCharType="end"/>
            </w:r>
          </w:p>
        </w:tc>
        <w:tc>
          <w:tcPr>
            <w:tcW w:w="1417" w:type="dxa"/>
            <w:tcMar>
              <w:left w:w="28" w:type="dxa"/>
              <w:right w:w="28" w:type="dxa"/>
            </w:tcMar>
            <w:vAlign w:val="center"/>
          </w:tcPr>
          <w:p w14:paraId="6F244CC2">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本项目</w:t>
            </w:r>
          </w:p>
          <w:p w14:paraId="0BF16507">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排放量（固体废物产生量）</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4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④</w:t>
            </w:r>
            <w:r>
              <w:rPr>
                <w:rFonts w:ascii="Times New Roman" w:hAnsi="Times New Roman" w:eastAsia="宋体" w:cs="Times New Roman"/>
                <w:snapToGrid w:val="0"/>
                <w:color w:val="auto"/>
                <w:spacing w:val="-6"/>
                <w:kern w:val="21"/>
                <w:szCs w:val="21"/>
                <w:highlight w:val="none"/>
              </w:rPr>
              <w:fldChar w:fldCharType="end"/>
            </w:r>
          </w:p>
        </w:tc>
        <w:tc>
          <w:tcPr>
            <w:tcW w:w="1133" w:type="dxa"/>
            <w:tcMar>
              <w:left w:w="28" w:type="dxa"/>
              <w:right w:w="28" w:type="dxa"/>
            </w:tcMar>
            <w:vAlign w:val="center"/>
          </w:tcPr>
          <w:p w14:paraId="36184AAF">
            <w:pPr>
              <w:spacing w:line="269" w:lineRule="auto"/>
              <w:jc w:val="center"/>
              <w:rPr>
                <w:rFonts w:ascii="Times New Roman" w:hAnsi="Times New Roman" w:eastAsia="宋体" w:cs="Times New Roman"/>
                <w:snapToGrid w:val="0"/>
                <w:color w:val="auto"/>
                <w:spacing w:val="-16"/>
                <w:kern w:val="21"/>
                <w:szCs w:val="21"/>
                <w:highlight w:val="none"/>
              </w:rPr>
            </w:pPr>
            <w:r>
              <w:rPr>
                <w:rFonts w:ascii="Times New Roman" w:hAnsi="Times New Roman" w:eastAsia="宋体" w:cs="Times New Roman"/>
                <w:snapToGrid w:val="0"/>
                <w:color w:val="auto"/>
                <w:spacing w:val="-16"/>
                <w:kern w:val="21"/>
                <w:szCs w:val="21"/>
                <w:highlight w:val="none"/>
              </w:rPr>
              <w:t>以新带老削减量（新建项目不填）</w:t>
            </w:r>
            <w:r>
              <w:rPr>
                <w:rFonts w:ascii="Times New Roman" w:hAnsi="Times New Roman" w:eastAsia="宋体" w:cs="Times New Roman"/>
                <w:snapToGrid w:val="0"/>
                <w:color w:val="auto"/>
                <w:spacing w:val="-16"/>
                <w:kern w:val="21"/>
                <w:szCs w:val="21"/>
                <w:highlight w:val="none"/>
              </w:rPr>
              <w:fldChar w:fldCharType="begin"/>
            </w:r>
            <w:r>
              <w:rPr>
                <w:rFonts w:ascii="Times New Roman" w:hAnsi="Times New Roman" w:eastAsia="宋体" w:cs="Times New Roman"/>
                <w:snapToGrid w:val="0"/>
                <w:color w:val="auto"/>
                <w:spacing w:val="-16"/>
                <w:kern w:val="21"/>
                <w:szCs w:val="21"/>
                <w:highlight w:val="none"/>
              </w:rPr>
              <w:instrText xml:space="preserve"> = 5 \* GB3 \* MERGEFORMAT </w:instrText>
            </w:r>
            <w:r>
              <w:rPr>
                <w:rFonts w:ascii="Times New Roman" w:hAnsi="Times New Roman" w:eastAsia="宋体" w:cs="Times New Roman"/>
                <w:snapToGrid w:val="0"/>
                <w:color w:val="auto"/>
                <w:spacing w:val="-16"/>
                <w:kern w:val="21"/>
                <w:szCs w:val="21"/>
                <w:highlight w:val="none"/>
              </w:rPr>
              <w:fldChar w:fldCharType="separate"/>
            </w:r>
            <w:r>
              <w:rPr>
                <w:rFonts w:ascii="Times New Roman" w:hAnsi="Times New Roman" w:eastAsia="宋体" w:cs="Times New Roman"/>
                <w:color w:val="auto"/>
                <w:szCs w:val="21"/>
                <w:highlight w:val="none"/>
              </w:rPr>
              <w:t>⑤</w:t>
            </w:r>
            <w:r>
              <w:rPr>
                <w:rFonts w:ascii="Times New Roman" w:hAnsi="Times New Roman" w:eastAsia="宋体" w:cs="Times New Roman"/>
                <w:snapToGrid w:val="0"/>
                <w:color w:val="auto"/>
                <w:spacing w:val="-16"/>
                <w:kern w:val="21"/>
                <w:szCs w:val="21"/>
                <w:highlight w:val="none"/>
              </w:rPr>
              <w:fldChar w:fldCharType="end"/>
            </w:r>
          </w:p>
        </w:tc>
        <w:tc>
          <w:tcPr>
            <w:tcW w:w="1417" w:type="dxa"/>
            <w:tcMar>
              <w:left w:w="28" w:type="dxa"/>
              <w:right w:w="28" w:type="dxa"/>
            </w:tcMar>
            <w:vAlign w:val="center"/>
          </w:tcPr>
          <w:p w14:paraId="5139663D">
            <w:pPr>
              <w:spacing w:line="269" w:lineRule="auto"/>
              <w:jc w:val="center"/>
              <w:rPr>
                <w:rFonts w:ascii="Times New Roman" w:hAnsi="Times New Roman" w:eastAsia="宋体" w:cs="Times New Roman"/>
                <w:snapToGrid w:val="0"/>
                <w:color w:val="auto"/>
                <w:spacing w:val="-16"/>
                <w:kern w:val="21"/>
                <w:szCs w:val="21"/>
                <w:highlight w:val="none"/>
              </w:rPr>
            </w:pPr>
            <w:r>
              <w:rPr>
                <w:rFonts w:ascii="Times New Roman" w:hAnsi="Times New Roman" w:eastAsia="宋体" w:cs="Times New Roman"/>
                <w:snapToGrid w:val="0"/>
                <w:color w:val="auto"/>
                <w:spacing w:val="-16"/>
                <w:kern w:val="21"/>
                <w:szCs w:val="21"/>
                <w:highlight w:val="none"/>
              </w:rPr>
              <w:t>本项目建成后</w:t>
            </w:r>
          </w:p>
          <w:p w14:paraId="2ECE81D3">
            <w:pPr>
              <w:spacing w:line="269" w:lineRule="auto"/>
              <w:jc w:val="center"/>
              <w:rPr>
                <w:rFonts w:ascii="Times New Roman" w:hAnsi="Times New Roman" w:eastAsia="宋体" w:cs="Times New Roman"/>
                <w:snapToGrid w:val="0"/>
                <w:color w:val="auto"/>
                <w:spacing w:val="-16"/>
                <w:kern w:val="21"/>
                <w:szCs w:val="21"/>
                <w:highlight w:val="none"/>
              </w:rPr>
            </w:pPr>
            <w:r>
              <w:rPr>
                <w:rFonts w:ascii="Times New Roman" w:hAnsi="Times New Roman" w:eastAsia="宋体" w:cs="Times New Roman"/>
                <w:snapToGrid w:val="0"/>
                <w:color w:val="auto"/>
                <w:spacing w:val="-16"/>
                <w:kern w:val="21"/>
                <w:szCs w:val="21"/>
                <w:highlight w:val="none"/>
              </w:rPr>
              <w:t>全厂排放量（固体废物产生量）</w:t>
            </w:r>
            <w:r>
              <w:rPr>
                <w:rFonts w:ascii="Times New Roman" w:hAnsi="Times New Roman" w:eastAsia="宋体" w:cs="Times New Roman"/>
                <w:snapToGrid w:val="0"/>
                <w:color w:val="auto"/>
                <w:spacing w:val="-16"/>
                <w:kern w:val="21"/>
                <w:szCs w:val="21"/>
                <w:highlight w:val="none"/>
              </w:rPr>
              <w:fldChar w:fldCharType="begin"/>
            </w:r>
            <w:r>
              <w:rPr>
                <w:rFonts w:ascii="Times New Roman" w:hAnsi="Times New Roman" w:eastAsia="宋体" w:cs="Times New Roman"/>
                <w:snapToGrid w:val="0"/>
                <w:color w:val="auto"/>
                <w:spacing w:val="-16"/>
                <w:kern w:val="21"/>
                <w:szCs w:val="21"/>
                <w:highlight w:val="none"/>
              </w:rPr>
              <w:instrText xml:space="preserve"> = 6 \* GB3 \* MERGEFORMAT </w:instrText>
            </w:r>
            <w:r>
              <w:rPr>
                <w:rFonts w:ascii="Times New Roman" w:hAnsi="Times New Roman" w:eastAsia="宋体" w:cs="Times New Roman"/>
                <w:snapToGrid w:val="0"/>
                <w:color w:val="auto"/>
                <w:spacing w:val="-16"/>
                <w:kern w:val="21"/>
                <w:szCs w:val="21"/>
                <w:highlight w:val="none"/>
              </w:rPr>
              <w:fldChar w:fldCharType="separate"/>
            </w:r>
            <w:r>
              <w:rPr>
                <w:rFonts w:ascii="Times New Roman" w:hAnsi="Times New Roman" w:eastAsia="宋体" w:cs="Times New Roman"/>
                <w:color w:val="auto"/>
                <w:szCs w:val="21"/>
                <w:highlight w:val="none"/>
              </w:rPr>
              <w:t>⑥</w:t>
            </w:r>
            <w:r>
              <w:rPr>
                <w:rFonts w:ascii="Times New Roman" w:hAnsi="Times New Roman" w:eastAsia="宋体" w:cs="Times New Roman"/>
                <w:snapToGrid w:val="0"/>
                <w:color w:val="auto"/>
                <w:spacing w:val="-16"/>
                <w:kern w:val="21"/>
                <w:szCs w:val="21"/>
                <w:highlight w:val="none"/>
              </w:rPr>
              <w:fldChar w:fldCharType="end"/>
            </w:r>
          </w:p>
        </w:tc>
        <w:tc>
          <w:tcPr>
            <w:tcW w:w="1218" w:type="dxa"/>
            <w:tcMar>
              <w:left w:w="28" w:type="dxa"/>
              <w:right w:w="28" w:type="dxa"/>
            </w:tcMar>
            <w:vAlign w:val="center"/>
          </w:tcPr>
          <w:p w14:paraId="596D795D">
            <w:pPr>
              <w:spacing w:line="269" w:lineRule="auto"/>
              <w:jc w:val="center"/>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spacing w:val="-6"/>
                <w:kern w:val="21"/>
                <w:szCs w:val="21"/>
                <w:highlight w:val="none"/>
              </w:rPr>
              <w:t>变化量</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7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⑦</w:t>
            </w:r>
            <w:r>
              <w:rPr>
                <w:rFonts w:ascii="Times New Roman" w:hAnsi="Times New Roman" w:eastAsia="宋体" w:cs="Times New Roman"/>
                <w:snapToGrid w:val="0"/>
                <w:color w:val="auto"/>
                <w:spacing w:val="-6"/>
                <w:kern w:val="21"/>
                <w:szCs w:val="21"/>
                <w:highlight w:val="none"/>
              </w:rPr>
              <w:fldChar w:fldCharType="end"/>
            </w:r>
          </w:p>
        </w:tc>
      </w:tr>
      <w:tr w14:paraId="615F6A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0B4AB619">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废气</w:t>
            </w:r>
          </w:p>
        </w:tc>
        <w:tc>
          <w:tcPr>
            <w:tcW w:w="1080" w:type="dxa"/>
            <w:vMerge w:val="restart"/>
            <w:vAlign w:val="center"/>
          </w:tcPr>
          <w:p w14:paraId="214B53E8">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有组织</w:t>
            </w:r>
          </w:p>
        </w:tc>
        <w:tc>
          <w:tcPr>
            <w:tcW w:w="1757" w:type="dxa"/>
            <w:vAlign w:val="center"/>
          </w:tcPr>
          <w:p w14:paraId="5EAA78E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颗粒物</w:t>
            </w:r>
          </w:p>
        </w:tc>
        <w:tc>
          <w:tcPr>
            <w:tcW w:w="1417" w:type="dxa"/>
            <w:vAlign w:val="center"/>
          </w:tcPr>
          <w:p w14:paraId="65415C76">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4E0CAD4D">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18663114">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784BFFA">
            <w:pPr>
              <w:spacing w:line="269"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21"/>
                <w:szCs w:val="21"/>
                <w:highlight w:val="none"/>
                <w:lang w:val="en-US" w:eastAsia="zh-CN"/>
              </w:rPr>
              <w:t>0.0397</w:t>
            </w:r>
            <w:r>
              <w:rPr>
                <w:rFonts w:ascii="Times New Roman" w:hAnsi="Times New Roman" w:eastAsia="宋体" w:cs="Times New Roman"/>
                <w:color w:val="auto"/>
                <w:szCs w:val="21"/>
                <w:highlight w:val="none"/>
              </w:rPr>
              <w:t>t/a</w:t>
            </w:r>
          </w:p>
        </w:tc>
        <w:tc>
          <w:tcPr>
            <w:tcW w:w="1133" w:type="dxa"/>
            <w:vAlign w:val="center"/>
          </w:tcPr>
          <w:p w14:paraId="74B8AEFB">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01ECA723">
            <w:pPr>
              <w:spacing w:line="269"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21"/>
                <w:szCs w:val="21"/>
                <w:highlight w:val="none"/>
                <w:lang w:val="en-US" w:eastAsia="zh-CN"/>
              </w:rPr>
              <w:t>0.0397</w:t>
            </w:r>
            <w:r>
              <w:rPr>
                <w:rFonts w:ascii="Times New Roman" w:hAnsi="Times New Roman" w:eastAsia="宋体" w:cs="Times New Roman"/>
                <w:color w:val="auto"/>
                <w:szCs w:val="21"/>
                <w:highlight w:val="none"/>
              </w:rPr>
              <w:t>t/a</w:t>
            </w:r>
          </w:p>
        </w:tc>
        <w:tc>
          <w:tcPr>
            <w:tcW w:w="1218" w:type="dxa"/>
            <w:vAlign w:val="center"/>
          </w:tcPr>
          <w:p w14:paraId="36ADFFA4">
            <w:pPr>
              <w:spacing w:line="269"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snapToGrid w:val="0"/>
                <w:color w:val="auto"/>
                <w:kern w:val="21"/>
                <w:szCs w:val="21"/>
                <w:highlight w:val="none"/>
              </w:rPr>
              <w:t>+</w:t>
            </w:r>
            <w:r>
              <w:rPr>
                <w:rFonts w:hint="eastAsia" w:ascii="Times New Roman" w:hAnsi="Times New Roman" w:eastAsia="宋体" w:cs="Times New Roman"/>
                <w:snapToGrid w:val="0"/>
                <w:color w:val="auto"/>
                <w:kern w:val="21"/>
                <w:szCs w:val="21"/>
                <w:highlight w:val="none"/>
                <w:lang w:val="en-US" w:eastAsia="zh-CN"/>
              </w:rPr>
              <w:t>0.0397</w:t>
            </w:r>
            <w:r>
              <w:rPr>
                <w:rFonts w:ascii="Times New Roman" w:hAnsi="Times New Roman" w:eastAsia="宋体" w:cs="Times New Roman"/>
                <w:color w:val="auto"/>
                <w:szCs w:val="21"/>
                <w:highlight w:val="none"/>
              </w:rPr>
              <w:t>t/a</w:t>
            </w:r>
          </w:p>
        </w:tc>
      </w:tr>
      <w:tr w14:paraId="6740BC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14898C8E">
            <w:pPr>
              <w:spacing w:line="269" w:lineRule="auto"/>
              <w:jc w:val="center"/>
              <w:rPr>
                <w:rFonts w:ascii="Times New Roman" w:hAnsi="Times New Roman" w:eastAsia="宋体" w:cs="Times New Roman"/>
                <w:snapToGrid w:val="0"/>
                <w:color w:val="auto"/>
                <w:kern w:val="21"/>
                <w:szCs w:val="21"/>
                <w:highlight w:val="none"/>
              </w:rPr>
            </w:pPr>
          </w:p>
        </w:tc>
        <w:tc>
          <w:tcPr>
            <w:tcW w:w="1080" w:type="dxa"/>
            <w:vMerge w:val="continue"/>
            <w:vAlign w:val="center"/>
          </w:tcPr>
          <w:p w14:paraId="6263298F">
            <w:pPr>
              <w:spacing w:line="269" w:lineRule="auto"/>
              <w:jc w:val="center"/>
              <w:rPr>
                <w:rFonts w:ascii="Times New Roman" w:hAnsi="Times New Roman" w:eastAsia="宋体" w:cs="Times New Roman"/>
                <w:snapToGrid w:val="0"/>
                <w:color w:val="auto"/>
                <w:kern w:val="21"/>
                <w:szCs w:val="21"/>
                <w:highlight w:val="none"/>
              </w:rPr>
            </w:pPr>
          </w:p>
        </w:tc>
        <w:tc>
          <w:tcPr>
            <w:tcW w:w="1757" w:type="dxa"/>
            <w:vAlign w:val="center"/>
          </w:tcPr>
          <w:p w14:paraId="2BB78E1A">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非甲烷总烃</w:t>
            </w:r>
          </w:p>
        </w:tc>
        <w:tc>
          <w:tcPr>
            <w:tcW w:w="1417" w:type="dxa"/>
            <w:vAlign w:val="center"/>
          </w:tcPr>
          <w:p w14:paraId="3DBAF3FA">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992" w:type="dxa"/>
            <w:vAlign w:val="center"/>
          </w:tcPr>
          <w:p w14:paraId="31E9A768">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1417" w:type="dxa"/>
            <w:vAlign w:val="center"/>
          </w:tcPr>
          <w:p w14:paraId="5553B6B8">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1417" w:type="dxa"/>
            <w:vAlign w:val="center"/>
          </w:tcPr>
          <w:p w14:paraId="1351ADE8">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0.0</w:t>
            </w:r>
            <w:r>
              <w:rPr>
                <w:rFonts w:hint="eastAsia" w:ascii="Times New Roman" w:hAnsi="Times New Roman" w:eastAsia="宋体" w:cs="Times New Roman"/>
                <w:snapToGrid w:val="0"/>
                <w:color w:val="auto"/>
                <w:kern w:val="21"/>
                <w:szCs w:val="21"/>
                <w:highlight w:val="none"/>
              </w:rPr>
              <w:t>0</w:t>
            </w:r>
            <w:r>
              <w:rPr>
                <w:rFonts w:ascii="Times New Roman" w:hAnsi="Times New Roman" w:eastAsia="宋体" w:cs="Times New Roman"/>
                <w:snapToGrid w:val="0"/>
                <w:color w:val="auto"/>
                <w:kern w:val="21"/>
                <w:szCs w:val="21"/>
                <w:highlight w:val="none"/>
              </w:rPr>
              <w:t>12t/a</w:t>
            </w:r>
          </w:p>
        </w:tc>
        <w:tc>
          <w:tcPr>
            <w:tcW w:w="1133" w:type="dxa"/>
            <w:vAlign w:val="center"/>
          </w:tcPr>
          <w:p w14:paraId="35D8866E">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1417" w:type="dxa"/>
            <w:vAlign w:val="center"/>
          </w:tcPr>
          <w:p w14:paraId="653E1F2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0.0</w:t>
            </w:r>
            <w:r>
              <w:rPr>
                <w:rFonts w:hint="eastAsia" w:ascii="Times New Roman" w:hAnsi="Times New Roman" w:eastAsia="宋体" w:cs="Times New Roman"/>
                <w:snapToGrid w:val="0"/>
                <w:color w:val="auto"/>
                <w:kern w:val="21"/>
                <w:szCs w:val="21"/>
                <w:highlight w:val="none"/>
              </w:rPr>
              <w:t>0</w:t>
            </w:r>
            <w:r>
              <w:rPr>
                <w:rFonts w:ascii="Times New Roman" w:hAnsi="Times New Roman" w:eastAsia="宋体" w:cs="Times New Roman"/>
                <w:snapToGrid w:val="0"/>
                <w:color w:val="auto"/>
                <w:kern w:val="21"/>
                <w:szCs w:val="21"/>
                <w:highlight w:val="none"/>
              </w:rPr>
              <w:t>12t/a</w:t>
            </w:r>
          </w:p>
        </w:tc>
        <w:tc>
          <w:tcPr>
            <w:tcW w:w="1218" w:type="dxa"/>
            <w:vAlign w:val="center"/>
          </w:tcPr>
          <w:p w14:paraId="4105F446">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r>
              <w:rPr>
                <w:rFonts w:ascii="Times New Roman" w:hAnsi="Times New Roman" w:eastAsia="宋体" w:cs="Times New Roman"/>
                <w:snapToGrid w:val="0"/>
                <w:color w:val="auto"/>
                <w:kern w:val="21"/>
                <w:szCs w:val="21"/>
                <w:highlight w:val="none"/>
              </w:rPr>
              <w:t>0.0</w:t>
            </w:r>
            <w:r>
              <w:rPr>
                <w:rFonts w:hint="eastAsia" w:ascii="Times New Roman" w:hAnsi="Times New Roman" w:eastAsia="宋体" w:cs="Times New Roman"/>
                <w:snapToGrid w:val="0"/>
                <w:color w:val="auto"/>
                <w:kern w:val="21"/>
                <w:szCs w:val="21"/>
                <w:highlight w:val="none"/>
              </w:rPr>
              <w:t>0</w:t>
            </w:r>
            <w:r>
              <w:rPr>
                <w:rFonts w:ascii="Times New Roman" w:hAnsi="Times New Roman" w:eastAsia="宋体" w:cs="Times New Roman"/>
                <w:snapToGrid w:val="0"/>
                <w:color w:val="auto"/>
                <w:kern w:val="21"/>
                <w:szCs w:val="21"/>
                <w:highlight w:val="none"/>
              </w:rPr>
              <w:t>12t/a</w:t>
            </w:r>
          </w:p>
        </w:tc>
      </w:tr>
      <w:tr w14:paraId="28089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30EC737F">
            <w:pPr>
              <w:spacing w:line="269" w:lineRule="auto"/>
              <w:jc w:val="center"/>
              <w:rPr>
                <w:rFonts w:ascii="Times New Roman" w:hAnsi="Times New Roman" w:eastAsia="宋体" w:cs="Times New Roman"/>
                <w:snapToGrid w:val="0"/>
                <w:color w:val="auto"/>
                <w:kern w:val="21"/>
                <w:szCs w:val="21"/>
                <w:highlight w:val="none"/>
              </w:rPr>
            </w:pPr>
          </w:p>
        </w:tc>
        <w:tc>
          <w:tcPr>
            <w:tcW w:w="1080" w:type="dxa"/>
            <w:vMerge w:val="restart"/>
            <w:vAlign w:val="center"/>
          </w:tcPr>
          <w:p w14:paraId="04FC86C1">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无组织</w:t>
            </w:r>
          </w:p>
        </w:tc>
        <w:tc>
          <w:tcPr>
            <w:tcW w:w="1757" w:type="dxa"/>
            <w:vAlign w:val="center"/>
          </w:tcPr>
          <w:p w14:paraId="7262B61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颗粒物</w:t>
            </w:r>
          </w:p>
        </w:tc>
        <w:tc>
          <w:tcPr>
            <w:tcW w:w="1417" w:type="dxa"/>
            <w:vAlign w:val="center"/>
          </w:tcPr>
          <w:p w14:paraId="3F9B0E56">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5D62A32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4EA6504">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64EDD7B">
            <w:pPr>
              <w:spacing w:line="269"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0.4121</w:t>
            </w:r>
            <w:r>
              <w:rPr>
                <w:rFonts w:ascii="Times New Roman" w:hAnsi="Times New Roman" w:eastAsia="宋体" w:cs="Times New Roman"/>
                <w:color w:val="auto"/>
                <w:szCs w:val="21"/>
                <w:highlight w:val="none"/>
              </w:rPr>
              <w:t>t/a</w:t>
            </w:r>
          </w:p>
        </w:tc>
        <w:tc>
          <w:tcPr>
            <w:tcW w:w="1133" w:type="dxa"/>
            <w:vAlign w:val="center"/>
          </w:tcPr>
          <w:p w14:paraId="299E75B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41CA089D">
            <w:pPr>
              <w:spacing w:line="269"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0.4121</w:t>
            </w:r>
            <w:r>
              <w:rPr>
                <w:rFonts w:ascii="Times New Roman" w:hAnsi="Times New Roman" w:eastAsia="宋体" w:cs="Times New Roman"/>
                <w:color w:val="auto"/>
                <w:szCs w:val="21"/>
                <w:highlight w:val="none"/>
              </w:rPr>
              <w:t>t/a</w:t>
            </w:r>
          </w:p>
        </w:tc>
        <w:tc>
          <w:tcPr>
            <w:tcW w:w="1218" w:type="dxa"/>
            <w:vAlign w:val="center"/>
          </w:tcPr>
          <w:p w14:paraId="3ABD6A89">
            <w:pPr>
              <w:spacing w:line="269"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+0.4121</w:t>
            </w:r>
            <w:r>
              <w:rPr>
                <w:rFonts w:ascii="Times New Roman" w:hAnsi="Times New Roman" w:eastAsia="宋体" w:cs="Times New Roman"/>
                <w:color w:val="auto"/>
                <w:szCs w:val="21"/>
                <w:highlight w:val="none"/>
              </w:rPr>
              <w:t>t/a</w:t>
            </w:r>
          </w:p>
        </w:tc>
      </w:tr>
      <w:tr w14:paraId="07B0C1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5A98AB0A">
            <w:pPr>
              <w:spacing w:line="269" w:lineRule="auto"/>
              <w:jc w:val="center"/>
              <w:rPr>
                <w:rFonts w:ascii="Times New Roman" w:hAnsi="Times New Roman" w:eastAsia="宋体" w:cs="Times New Roman"/>
                <w:snapToGrid w:val="0"/>
                <w:color w:val="auto"/>
                <w:kern w:val="21"/>
                <w:szCs w:val="21"/>
                <w:highlight w:val="none"/>
              </w:rPr>
            </w:pPr>
          </w:p>
        </w:tc>
        <w:tc>
          <w:tcPr>
            <w:tcW w:w="1080" w:type="dxa"/>
            <w:vMerge w:val="continue"/>
            <w:vAlign w:val="center"/>
          </w:tcPr>
          <w:p w14:paraId="7CAF39A7">
            <w:pPr>
              <w:spacing w:line="269" w:lineRule="auto"/>
              <w:jc w:val="center"/>
              <w:rPr>
                <w:rFonts w:ascii="Times New Roman" w:hAnsi="Times New Roman" w:eastAsia="宋体" w:cs="Times New Roman"/>
                <w:snapToGrid w:val="0"/>
                <w:color w:val="auto"/>
                <w:kern w:val="21"/>
                <w:szCs w:val="21"/>
                <w:highlight w:val="none"/>
              </w:rPr>
            </w:pPr>
          </w:p>
        </w:tc>
        <w:tc>
          <w:tcPr>
            <w:tcW w:w="1757" w:type="dxa"/>
            <w:vAlign w:val="center"/>
          </w:tcPr>
          <w:p w14:paraId="5ECCF77F">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非甲烷总烃</w:t>
            </w:r>
          </w:p>
        </w:tc>
        <w:tc>
          <w:tcPr>
            <w:tcW w:w="1417" w:type="dxa"/>
            <w:vAlign w:val="center"/>
          </w:tcPr>
          <w:p w14:paraId="366586CD">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992" w:type="dxa"/>
            <w:vAlign w:val="center"/>
          </w:tcPr>
          <w:p w14:paraId="188B2DC9">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1417" w:type="dxa"/>
            <w:vAlign w:val="center"/>
          </w:tcPr>
          <w:p w14:paraId="7FAAE529">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1417" w:type="dxa"/>
            <w:vAlign w:val="center"/>
          </w:tcPr>
          <w:p w14:paraId="3CE417CD">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0.0</w:t>
            </w:r>
            <w:r>
              <w:rPr>
                <w:rFonts w:hint="eastAsia" w:ascii="Times New Roman" w:hAnsi="Times New Roman" w:eastAsia="宋体" w:cs="Times New Roman"/>
                <w:snapToGrid w:val="0"/>
                <w:color w:val="auto"/>
                <w:kern w:val="21"/>
                <w:szCs w:val="21"/>
                <w:highlight w:val="none"/>
              </w:rPr>
              <w:t>0</w:t>
            </w:r>
            <w:r>
              <w:rPr>
                <w:rFonts w:ascii="Times New Roman" w:hAnsi="Times New Roman" w:eastAsia="宋体" w:cs="Times New Roman"/>
                <w:snapToGrid w:val="0"/>
                <w:color w:val="auto"/>
                <w:kern w:val="21"/>
                <w:szCs w:val="21"/>
                <w:highlight w:val="none"/>
              </w:rPr>
              <w:t>1t/a</w:t>
            </w:r>
          </w:p>
        </w:tc>
        <w:tc>
          <w:tcPr>
            <w:tcW w:w="1133" w:type="dxa"/>
            <w:vAlign w:val="center"/>
          </w:tcPr>
          <w:p w14:paraId="43401DD4">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p>
        </w:tc>
        <w:tc>
          <w:tcPr>
            <w:tcW w:w="1417" w:type="dxa"/>
            <w:vAlign w:val="center"/>
          </w:tcPr>
          <w:p w14:paraId="082E5ED5">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0.0</w:t>
            </w:r>
            <w:r>
              <w:rPr>
                <w:rFonts w:hint="eastAsia" w:ascii="Times New Roman" w:hAnsi="Times New Roman" w:eastAsia="宋体" w:cs="Times New Roman"/>
                <w:snapToGrid w:val="0"/>
                <w:color w:val="auto"/>
                <w:kern w:val="21"/>
                <w:szCs w:val="21"/>
                <w:highlight w:val="none"/>
              </w:rPr>
              <w:t>0</w:t>
            </w:r>
            <w:r>
              <w:rPr>
                <w:rFonts w:ascii="Times New Roman" w:hAnsi="Times New Roman" w:eastAsia="宋体" w:cs="Times New Roman"/>
                <w:snapToGrid w:val="0"/>
                <w:color w:val="auto"/>
                <w:kern w:val="21"/>
                <w:szCs w:val="21"/>
                <w:highlight w:val="none"/>
              </w:rPr>
              <w:t>1t/a</w:t>
            </w:r>
          </w:p>
        </w:tc>
        <w:tc>
          <w:tcPr>
            <w:tcW w:w="1218" w:type="dxa"/>
            <w:vAlign w:val="center"/>
          </w:tcPr>
          <w:p w14:paraId="54E0FAF2">
            <w:pPr>
              <w:spacing w:line="269"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snapToGrid w:val="0"/>
                <w:color w:val="auto"/>
                <w:kern w:val="21"/>
                <w:szCs w:val="21"/>
                <w:highlight w:val="none"/>
              </w:rPr>
              <w:t>+</w:t>
            </w:r>
            <w:r>
              <w:rPr>
                <w:rFonts w:ascii="Times New Roman" w:hAnsi="Times New Roman" w:eastAsia="宋体" w:cs="Times New Roman"/>
                <w:snapToGrid w:val="0"/>
                <w:color w:val="auto"/>
                <w:kern w:val="21"/>
                <w:szCs w:val="21"/>
                <w:highlight w:val="none"/>
              </w:rPr>
              <w:t>0.0</w:t>
            </w:r>
            <w:r>
              <w:rPr>
                <w:rFonts w:hint="eastAsia" w:ascii="Times New Roman" w:hAnsi="Times New Roman" w:eastAsia="宋体" w:cs="Times New Roman"/>
                <w:snapToGrid w:val="0"/>
                <w:color w:val="auto"/>
                <w:kern w:val="21"/>
                <w:szCs w:val="21"/>
                <w:highlight w:val="none"/>
              </w:rPr>
              <w:t>0</w:t>
            </w:r>
            <w:r>
              <w:rPr>
                <w:rFonts w:ascii="Times New Roman" w:hAnsi="Times New Roman" w:eastAsia="宋体" w:cs="Times New Roman"/>
                <w:snapToGrid w:val="0"/>
                <w:color w:val="auto"/>
                <w:kern w:val="21"/>
                <w:szCs w:val="21"/>
                <w:highlight w:val="none"/>
              </w:rPr>
              <w:t>1t/a</w:t>
            </w:r>
          </w:p>
        </w:tc>
      </w:tr>
      <w:tr w14:paraId="356A74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4158E0C6">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废水</w:t>
            </w:r>
          </w:p>
        </w:tc>
        <w:tc>
          <w:tcPr>
            <w:tcW w:w="2837" w:type="dxa"/>
            <w:gridSpan w:val="2"/>
            <w:vAlign w:val="center"/>
          </w:tcPr>
          <w:p w14:paraId="5B579475">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pH</w:t>
            </w:r>
          </w:p>
        </w:tc>
        <w:tc>
          <w:tcPr>
            <w:tcW w:w="1417" w:type="dxa"/>
            <w:vAlign w:val="center"/>
          </w:tcPr>
          <w:p w14:paraId="408AFBD5">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6A258E2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DC24AF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FFDF65D">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133" w:type="dxa"/>
            <w:vAlign w:val="center"/>
          </w:tcPr>
          <w:p w14:paraId="13DEB44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9F1169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218" w:type="dxa"/>
            <w:vAlign w:val="center"/>
          </w:tcPr>
          <w:p w14:paraId="0906B607">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r>
      <w:tr w14:paraId="699D8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728F469F">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03D32590">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COD</w:t>
            </w:r>
          </w:p>
        </w:tc>
        <w:tc>
          <w:tcPr>
            <w:tcW w:w="1417" w:type="dxa"/>
            <w:vAlign w:val="center"/>
          </w:tcPr>
          <w:p w14:paraId="06B1BF36">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06742DA8">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8E69CCF">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E040EA4">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0.162t/a</w:t>
            </w:r>
          </w:p>
        </w:tc>
        <w:tc>
          <w:tcPr>
            <w:tcW w:w="1133" w:type="dxa"/>
            <w:vAlign w:val="center"/>
          </w:tcPr>
          <w:p w14:paraId="31C27C19">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7497F68B">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0.162t/a</w:t>
            </w:r>
          </w:p>
        </w:tc>
        <w:tc>
          <w:tcPr>
            <w:tcW w:w="1218" w:type="dxa"/>
            <w:vAlign w:val="center"/>
          </w:tcPr>
          <w:p w14:paraId="5BE4B8BE">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+0.162t/a</w:t>
            </w:r>
          </w:p>
        </w:tc>
      </w:tr>
      <w:tr w14:paraId="615F52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96D916F">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5AAF3E67">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BOD</w:t>
            </w:r>
            <w:r>
              <w:rPr>
                <w:rFonts w:ascii="Times New Roman" w:hAnsi="Times New Roman" w:eastAsia="宋体" w:cs="Times New Roman"/>
                <w:color w:val="auto"/>
                <w:kern w:val="0"/>
                <w:szCs w:val="21"/>
                <w:highlight w:val="none"/>
                <w:vertAlign w:val="subscript"/>
              </w:rPr>
              <w:t>5</w:t>
            </w:r>
          </w:p>
        </w:tc>
        <w:tc>
          <w:tcPr>
            <w:tcW w:w="1417" w:type="dxa"/>
            <w:vAlign w:val="center"/>
          </w:tcPr>
          <w:p w14:paraId="275A3F1D">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672F087E">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56EE76E">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3625623F">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0.097t/a</w:t>
            </w:r>
          </w:p>
        </w:tc>
        <w:tc>
          <w:tcPr>
            <w:tcW w:w="1133" w:type="dxa"/>
            <w:vAlign w:val="center"/>
          </w:tcPr>
          <w:p w14:paraId="6FA48955">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6A46A87">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0.097t/a</w:t>
            </w:r>
          </w:p>
        </w:tc>
        <w:tc>
          <w:tcPr>
            <w:tcW w:w="1218" w:type="dxa"/>
            <w:vAlign w:val="center"/>
          </w:tcPr>
          <w:p w14:paraId="5BBEB655">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+0.097t/a</w:t>
            </w:r>
          </w:p>
        </w:tc>
      </w:tr>
      <w:tr w14:paraId="17A6AF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0292C129">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167234C5">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SS</w:t>
            </w:r>
          </w:p>
        </w:tc>
        <w:tc>
          <w:tcPr>
            <w:tcW w:w="1417" w:type="dxa"/>
            <w:vAlign w:val="center"/>
          </w:tcPr>
          <w:p w14:paraId="374D0748">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039B023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186EA63D">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31F7B8A4">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0.081t/a</w:t>
            </w:r>
          </w:p>
        </w:tc>
        <w:tc>
          <w:tcPr>
            <w:tcW w:w="1133" w:type="dxa"/>
            <w:vAlign w:val="center"/>
          </w:tcPr>
          <w:p w14:paraId="6C258431">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131A6D93">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0.081t/a</w:t>
            </w:r>
          </w:p>
        </w:tc>
        <w:tc>
          <w:tcPr>
            <w:tcW w:w="1218" w:type="dxa"/>
            <w:vAlign w:val="center"/>
          </w:tcPr>
          <w:p w14:paraId="45C6683D">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+0.081t/a</w:t>
            </w:r>
          </w:p>
        </w:tc>
      </w:tr>
      <w:tr w14:paraId="583D7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11B8DB3">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4D2A7A47">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NH</w:t>
            </w:r>
            <w:r>
              <w:rPr>
                <w:rFonts w:ascii="Times New Roman" w:hAnsi="Times New Roman" w:eastAsia="宋体" w:cs="Times New Roman"/>
                <w:color w:val="auto"/>
                <w:kern w:val="0"/>
                <w:szCs w:val="21"/>
                <w:highlight w:val="none"/>
                <w:vertAlign w:val="subscript"/>
              </w:rPr>
              <w:t>3</w:t>
            </w:r>
            <w:r>
              <w:rPr>
                <w:rFonts w:ascii="Times New Roman" w:hAnsi="Times New Roman" w:eastAsia="宋体" w:cs="Times New Roman"/>
                <w:color w:val="auto"/>
                <w:kern w:val="0"/>
                <w:szCs w:val="21"/>
                <w:highlight w:val="none"/>
              </w:rPr>
              <w:t>-N</w:t>
            </w:r>
          </w:p>
        </w:tc>
        <w:tc>
          <w:tcPr>
            <w:tcW w:w="1417" w:type="dxa"/>
            <w:vAlign w:val="center"/>
          </w:tcPr>
          <w:p w14:paraId="1BFC89E9">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6AA0FD8F">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6F80CDAB">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EF3D62A">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0.01</w:t>
            </w:r>
            <w:r>
              <w:rPr>
                <w:rFonts w:hint="eastAsia" w:ascii="Times New Roman" w:hAnsi="Times New Roman" w:eastAsia="宋体" w:cs="Times New Roman"/>
                <w:color w:val="auto"/>
                <w:kern w:val="0"/>
                <w:szCs w:val="21"/>
                <w:highlight w:val="none"/>
              </w:rPr>
              <w:t>4</w:t>
            </w:r>
            <w:r>
              <w:rPr>
                <w:rFonts w:ascii="Times New Roman" w:hAnsi="Times New Roman" w:eastAsia="宋体" w:cs="Times New Roman"/>
                <w:color w:val="auto"/>
                <w:kern w:val="0"/>
                <w:szCs w:val="21"/>
                <w:highlight w:val="none"/>
              </w:rPr>
              <w:t>t/a</w:t>
            </w:r>
          </w:p>
        </w:tc>
        <w:tc>
          <w:tcPr>
            <w:tcW w:w="1133" w:type="dxa"/>
            <w:vAlign w:val="center"/>
          </w:tcPr>
          <w:p w14:paraId="0676A52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0E115EF6">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0.01</w:t>
            </w:r>
            <w:r>
              <w:rPr>
                <w:rFonts w:hint="eastAsia" w:ascii="Times New Roman" w:hAnsi="Times New Roman" w:eastAsia="宋体" w:cs="Times New Roman"/>
                <w:color w:val="auto"/>
                <w:kern w:val="0"/>
                <w:szCs w:val="21"/>
                <w:highlight w:val="none"/>
              </w:rPr>
              <w:t>4</w:t>
            </w:r>
            <w:r>
              <w:rPr>
                <w:rFonts w:ascii="Times New Roman" w:hAnsi="Times New Roman" w:eastAsia="宋体" w:cs="Times New Roman"/>
                <w:color w:val="auto"/>
                <w:kern w:val="0"/>
                <w:szCs w:val="21"/>
                <w:highlight w:val="none"/>
              </w:rPr>
              <w:t>t/a</w:t>
            </w:r>
          </w:p>
        </w:tc>
        <w:tc>
          <w:tcPr>
            <w:tcW w:w="1218" w:type="dxa"/>
            <w:vAlign w:val="center"/>
          </w:tcPr>
          <w:p w14:paraId="5AADABF9">
            <w:pPr>
              <w:widowControl/>
              <w:jc w:val="center"/>
              <w:textAlignment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+0.01</w:t>
            </w:r>
            <w:r>
              <w:rPr>
                <w:rFonts w:hint="eastAsia" w:ascii="Times New Roman" w:hAnsi="Times New Roman" w:eastAsia="宋体" w:cs="Times New Roman"/>
                <w:color w:val="auto"/>
                <w:kern w:val="0"/>
                <w:szCs w:val="21"/>
                <w:highlight w:val="none"/>
              </w:rPr>
              <w:t>4</w:t>
            </w:r>
            <w:r>
              <w:rPr>
                <w:rFonts w:ascii="Times New Roman" w:hAnsi="Times New Roman" w:eastAsia="宋体" w:cs="Times New Roman"/>
                <w:color w:val="auto"/>
                <w:kern w:val="0"/>
                <w:szCs w:val="21"/>
                <w:highlight w:val="none"/>
              </w:rPr>
              <w:t>t/a</w:t>
            </w:r>
          </w:p>
        </w:tc>
      </w:tr>
      <w:tr w14:paraId="41C67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1446" w:type="dxa"/>
            <w:vMerge w:val="restart"/>
            <w:vAlign w:val="center"/>
          </w:tcPr>
          <w:p w14:paraId="35DCCF6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一般工业固体废物</w:t>
            </w:r>
          </w:p>
        </w:tc>
        <w:tc>
          <w:tcPr>
            <w:tcW w:w="2837" w:type="dxa"/>
            <w:gridSpan w:val="2"/>
            <w:vAlign w:val="center"/>
          </w:tcPr>
          <w:p w14:paraId="098A1FE6">
            <w:pPr>
              <w:adjustRightInd w:val="0"/>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边角料</w:t>
            </w:r>
          </w:p>
        </w:tc>
        <w:tc>
          <w:tcPr>
            <w:tcW w:w="1417" w:type="dxa"/>
            <w:vAlign w:val="center"/>
          </w:tcPr>
          <w:p w14:paraId="23282F43">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60942DC3">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4420EC44">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CA73396">
            <w:pPr>
              <w:adjustRightInd w:val="0"/>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1t/a</w:t>
            </w:r>
          </w:p>
        </w:tc>
        <w:tc>
          <w:tcPr>
            <w:tcW w:w="1133" w:type="dxa"/>
            <w:vAlign w:val="center"/>
          </w:tcPr>
          <w:p w14:paraId="265DCE74">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4D36CE0A">
            <w:pPr>
              <w:adjustRightInd w:val="0"/>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1t/a</w:t>
            </w:r>
          </w:p>
        </w:tc>
        <w:tc>
          <w:tcPr>
            <w:tcW w:w="1218" w:type="dxa"/>
            <w:vAlign w:val="center"/>
          </w:tcPr>
          <w:p w14:paraId="76081635">
            <w:pPr>
              <w:adjustRightInd w:val="0"/>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1</w:t>
            </w:r>
            <w:r>
              <w:rPr>
                <w:rFonts w:ascii="Times New Roman" w:hAnsi="Times New Roman" w:eastAsia="宋体" w:cs="Times New Roman"/>
                <w:color w:val="auto"/>
                <w:kern w:val="0"/>
                <w:szCs w:val="21"/>
                <w:highlight w:val="none"/>
              </w:rPr>
              <w:t>t/a</w:t>
            </w:r>
          </w:p>
        </w:tc>
      </w:tr>
      <w:tr w14:paraId="45270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75484A73">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7A73B4DF">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bCs/>
                <w:color w:val="auto"/>
                <w:szCs w:val="21"/>
                <w:highlight w:val="none"/>
              </w:rPr>
              <w:t>焊渣</w:t>
            </w:r>
          </w:p>
        </w:tc>
        <w:tc>
          <w:tcPr>
            <w:tcW w:w="1417" w:type="dxa"/>
            <w:vAlign w:val="center"/>
          </w:tcPr>
          <w:p w14:paraId="7635C45F">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614DF5C3">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4B4602E">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04E439C2">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0.13</w:t>
            </w:r>
            <w:r>
              <w:rPr>
                <w:rFonts w:ascii="Times New Roman" w:hAnsi="Times New Roman" w:eastAsia="宋体" w:cs="Times New Roman"/>
                <w:color w:val="auto"/>
                <w:kern w:val="0"/>
                <w:szCs w:val="21"/>
                <w:highlight w:val="none"/>
              </w:rPr>
              <w:t>t/a</w:t>
            </w:r>
          </w:p>
        </w:tc>
        <w:tc>
          <w:tcPr>
            <w:tcW w:w="1133" w:type="dxa"/>
            <w:vAlign w:val="center"/>
          </w:tcPr>
          <w:p w14:paraId="625C06D9">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43A3D456">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0.13</w:t>
            </w:r>
            <w:r>
              <w:rPr>
                <w:rFonts w:ascii="Times New Roman" w:hAnsi="Times New Roman" w:eastAsia="宋体" w:cs="Times New Roman"/>
                <w:color w:val="auto"/>
                <w:kern w:val="0"/>
                <w:szCs w:val="21"/>
                <w:highlight w:val="none"/>
              </w:rPr>
              <w:t>t/a</w:t>
            </w:r>
          </w:p>
        </w:tc>
        <w:tc>
          <w:tcPr>
            <w:tcW w:w="1218" w:type="dxa"/>
            <w:vAlign w:val="center"/>
          </w:tcPr>
          <w:p w14:paraId="1579F7F1">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+0.1</w:t>
            </w:r>
            <w:r>
              <w:rPr>
                <w:rFonts w:hint="eastAsia" w:ascii="Times New Roman" w:hAnsi="Times New Roman" w:eastAsia="宋体" w:cs="Times New Roman"/>
                <w:color w:val="auto"/>
                <w:szCs w:val="21"/>
                <w:highlight w:val="none"/>
              </w:rPr>
              <w:t>3</w:t>
            </w:r>
            <w:r>
              <w:rPr>
                <w:rFonts w:ascii="Times New Roman" w:hAnsi="Times New Roman" w:eastAsia="宋体" w:cs="Times New Roman"/>
                <w:color w:val="auto"/>
                <w:kern w:val="0"/>
                <w:szCs w:val="21"/>
                <w:highlight w:val="none"/>
              </w:rPr>
              <w:t>t/a</w:t>
            </w:r>
          </w:p>
        </w:tc>
      </w:tr>
      <w:tr w14:paraId="03943A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1546F43">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17B3CA11">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废包装物</w:t>
            </w:r>
          </w:p>
        </w:tc>
        <w:tc>
          <w:tcPr>
            <w:tcW w:w="1417" w:type="dxa"/>
            <w:vAlign w:val="center"/>
          </w:tcPr>
          <w:p w14:paraId="0556C287">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67B0E0FA">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4B60E53B">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7C3C72F2">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0.05t/a</w:t>
            </w:r>
          </w:p>
        </w:tc>
        <w:tc>
          <w:tcPr>
            <w:tcW w:w="1133" w:type="dxa"/>
            <w:vAlign w:val="center"/>
          </w:tcPr>
          <w:p w14:paraId="0A2DA661">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1E3BF774">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0.05t/a</w:t>
            </w:r>
          </w:p>
        </w:tc>
        <w:tc>
          <w:tcPr>
            <w:tcW w:w="1218" w:type="dxa"/>
            <w:vAlign w:val="center"/>
          </w:tcPr>
          <w:p w14:paraId="2F729724">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0.05</w:t>
            </w:r>
            <w:r>
              <w:rPr>
                <w:rFonts w:ascii="Times New Roman" w:hAnsi="Times New Roman" w:eastAsia="宋体" w:cs="Times New Roman"/>
                <w:color w:val="auto"/>
                <w:kern w:val="0"/>
                <w:szCs w:val="21"/>
                <w:highlight w:val="none"/>
              </w:rPr>
              <w:t>t/a</w:t>
            </w:r>
          </w:p>
        </w:tc>
      </w:tr>
      <w:tr w14:paraId="383E13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EF83125">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52DFB9AD">
            <w:pPr>
              <w:snapToGrid w:val="0"/>
              <w:spacing w:line="276" w:lineRule="auto"/>
              <w:jc w:val="center"/>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废砂纸</w:t>
            </w:r>
          </w:p>
        </w:tc>
        <w:tc>
          <w:tcPr>
            <w:tcW w:w="1417" w:type="dxa"/>
            <w:vAlign w:val="center"/>
          </w:tcPr>
          <w:p w14:paraId="58DE366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7EA1F413">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11A25D0B">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A317DE7">
            <w:pPr>
              <w:snapToGrid w:val="0"/>
              <w:spacing w:line="276"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w:t>
            </w:r>
            <w:r>
              <w:rPr>
                <w:rFonts w:hint="eastAsia" w:ascii="Times New Roman" w:hAnsi="Times New Roman" w:eastAsia="宋体" w:cs="Times New Roman"/>
                <w:color w:val="auto"/>
                <w:kern w:val="0"/>
                <w:szCs w:val="21"/>
                <w:highlight w:val="none"/>
              </w:rPr>
              <w:t>1</w:t>
            </w:r>
            <w:r>
              <w:rPr>
                <w:rFonts w:ascii="Times New Roman" w:hAnsi="Times New Roman" w:eastAsia="宋体" w:cs="Times New Roman"/>
                <w:color w:val="auto"/>
                <w:kern w:val="0"/>
                <w:szCs w:val="21"/>
                <w:highlight w:val="none"/>
              </w:rPr>
              <w:t>t/a</w:t>
            </w:r>
          </w:p>
        </w:tc>
        <w:tc>
          <w:tcPr>
            <w:tcW w:w="1133" w:type="dxa"/>
            <w:vAlign w:val="center"/>
          </w:tcPr>
          <w:p w14:paraId="138D7A8E">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7F26D0B4">
            <w:pPr>
              <w:snapToGrid w:val="0"/>
              <w:spacing w:line="276"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0.0</w:t>
            </w:r>
            <w:r>
              <w:rPr>
                <w:rFonts w:hint="eastAsia" w:ascii="Times New Roman" w:hAnsi="Times New Roman" w:eastAsia="宋体" w:cs="Times New Roman"/>
                <w:color w:val="auto"/>
                <w:kern w:val="0"/>
                <w:szCs w:val="21"/>
                <w:highlight w:val="none"/>
              </w:rPr>
              <w:t>1</w:t>
            </w:r>
            <w:r>
              <w:rPr>
                <w:rFonts w:ascii="Times New Roman" w:hAnsi="Times New Roman" w:eastAsia="宋体" w:cs="Times New Roman"/>
                <w:color w:val="auto"/>
                <w:kern w:val="0"/>
                <w:szCs w:val="21"/>
                <w:highlight w:val="none"/>
              </w:rPr>
              <w:t>t/a</w:t>
            </w:r>
          </w:p>
        </w:tc>
        <w:tc>
          <w:tcPr>
            <w:tcW w:w="1218" w:type="dxa"/>
            <w:vAlign w:val="center"/>
          </w:tcPr>
          <w:p w14:paraId="1B45296D">
            <w:pPr>
              <w:snapToGrid w:val="0"/>
              <w:spacing w:line="276" w:lineRule="auto"/>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w:t>
            </w:r>
            <w:r>
              <w:rPr>
                <w:rFonts w:hint="eastAsia" w:ascii="Times New Roman" w:hAnsi="Times New Roman" w:eastAsia="宋体" w:cs="Times New Roman"/>
                <w:color w:val="auto"/>
                <w:kern w:val="0"/>
                <w:szCs w:val="21"/>
                <w:highlight w:val="none"/>
              </w:rPr>
              <w:t>0.01</w:t>
            </w:r>
            <w:r>
              <w:rPr>
                <w:rFonts w:ascii="Times New Roman" w:hAnsi="Times New Roman" w:eastAsia="宋体" w:cs="Times New Roman"/>
                <w:color w:val="auto"/>
                <w:kern w:val="0"/>
                <w:szCs w:val="21"/>
                <w:highlight w:val="none"/>
              </w:rPr>
              <w:t>t/a</w:t>
            </w:r>
          </w:p>
        </w:tc>
      </w:tr>
      <w:tr w14:paraId="625259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51ABC69D">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6D49E5B3">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bCs/>
                <w:color w:val="auto"/>
                <w:szCs w:val="21"/>
                <w:highlight w:val="none"/>
              </w:rPr>
              <w:t>废塑粉</w:t>
            </w:r>
          </w:p>
        </w:tc>
        <w:tc>
          <w:tcPr>
            <w:tcW w:w="1417" w:type="dxa"/>
            <w:vAlign w:val="center"/>
          </w:tcPr>
          <w:p w14:paraId="486E4AC3">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5C6AE224">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6F84954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4984A09">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kern w:val="0"/>
                <w:szCs w:val="21"/>
                <w:highlight w:val="none"/>
              </w:rPr>
              <w:t>30t/a</w:t>
            </w:r>
          </w:p>
        </w:tc>
        <w:tc>
          <w:tcPr>
            <w:tcW w:w="1133" w:type="dxa"/>
            <w:vAlign w:val="center"/>
          </w:tcPr>
          <w:p w14:paraId="4021ADC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B778D91">
            <w:pPr>
              <w:snapToGrid w:val="0"/>
              <w:spacing w:line="276"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color w:val="auto"/>
                <w:kern w:val="0"/>
                <w:szCs w:val="21"/>
                <w:highlight w:val="none"/>
              </w:rPr>
              <w:t>0</w:t>
            </w:r>
          </w:p>
        </w:tc>
        <w:tc>
          <w:tcPr>
            <w:tcW w:w="1218" w:type="dxa"/>
            <w:vAlign w:val="center"/>
          </w:tcPr>
          <w:p w14:paraId="7892BF06">
            <w:pPr>
              <w:snapToGrid w:val="0"/>
              <w:spacing w:line="276" w:lineRule="auto"/>
              <w:jc w:val="center"/>
              <w:rPr>
                <w:rFonts w:ascii="Times New Roman" w:hAnsi="Times New Roman" w:eastAsia="宋体" w:cs="Times New Roman"/>
                <w:snapToGrid w:val="0"/>
                <w:color w:val="auto"/>
                <w:kern w:val="21"/>
                <w:szCs w:val="21"/>
                <w:highlight w:val="none"/>
              </w:rPr>
            </w:pPr>
            <w:r>
              <w:rPr>
                <w:rFonts w:hint="eastAsia" w:ascii="Times New Roman" w:hAnsi="Times New Roman" w:eastAsia="宋体" w:cs="Times New Roman"/>
                <w:color w:val="auto"/>
                <w:kern w:val="0"/>
                <w:szCs w:val="21"/>
                <w:highlight w:val="none"/>
              </w:rPr>
              <w:t>0</w:t>
            </w:r>
          </w:p>
        </w:tc>
      </w:tr>
      <w:tr w14:paraId="3C528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restart"/>
            <w:vAlign w:val="center"/>
          </w:tcPr>
          <w:p w14:paraId="4BB2AC58">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危险废物</w:t>
            </w:r>
          </w:p>
        </w:tc>
        <w:tc>
          <w:tcPr>
            <w:tcW w:w="2837" w:type="dxa"/>
            <w:gridSpan w:val="2"/>
            <w:vAlign w:val="center"/>
          </w:tcPr>
          <w:p w14:paraId="5C4E3BEB">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废机油</w:t>
            </w:r>
          </w:p>
        </w:tc>
        <w:tc>
          <w:tcPr>
            <w:tcW w:w="1417" w:type="dxa"/>
            <w:vAlign w:val="center"/>
          </w:tcPr>
          <w:p w14:paraId="48DE348F">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1FBAF4E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3D171A4E">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62DC132">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0.5</w:t>
            </w:r>
            <w:r>
              <w:rPr>
                <w:rFonts w:ascii="Times New Roman" w:hAnsi="Times New Roman" w:eastAsia="宋体" w:cs="Times New Roman"/>
                <w:color w:val="auto"/>
                <w:kern w:val="0"/>
                <w:szCs w:val="21"/>
                <w:highlight w:val="none"/>
              </w:rPr>
              <w:t>t/a</w:t>
            </w:r>
          </w:p>
        </w:tc>
        <w:tc>
          <w:tcPr>
            <w:tcW w:w="1133" w:type="dxa"/>
            <w:vAlign w:val="center"/>
          </w:tcPr>
          <w:p w14:paraId="1A303091">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0929360">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0.5</w:t>
            </w:r>
            <w:r>
              <w:rPr>
                <w:rFonts w:ascii="Times New Roman" w:hAnsi="Times New Roman" w:eastAsia="宋体" w:cs="Times New Roman"/>
                <w:color w:val="auto"/>
                <w:kern w:val="0"/>
                <w:szCs w:val="21"/>
                <w:highlight w:val="none"/>
              </w:rPr>
              <w:t>t/a</w:t>
            </w:r>
          </w:p>
        </w:tc>
        <w:tc>
          <w:tcPr>
            <w:tcW w:w="1218" w:type="dxa"/>
            <w:vAlign w:val="center"/>
          </w:tcPr>
          <w:p w14:paraId="27EA4C11">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+0.5</w:t>
            </w:r>
            <w:r>
              <w:rPr>
                <w:rFonts w:ascii="Times New Roman" w:hAnsi="Times New Roman" w:eastAsia="宋体" w:cs="Times New Roman"/>
                <w:color w:val="auto"/>
                <w:kern w:val="0"/>
                <w:szCs w:val="21"/>
                <w:highlight w:val="none"/>
              </w:rPr>
              <w:t>t/a</w:t>
            </w:r>
          </w:p>
        </w:tc>
      </w:tr>
      <w:tr w14:paraId="1192E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2370BB22">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211A7B03">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机油桶</w:t>
            </w:r>
          </w:p>
        </w:tc>
        <w:tc>
          <w:tcPr>
            <w:tcW w:w="1417" w:type="dxa"/>
            <w:vAlign w:val="center"/>
          </w:tcPr>
          <w:p w14:paraId="5D14AA5A">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5486FA39">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44614B03">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675D9FF7">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0.03t/a</w:t>
            </w:r>
          </w:p>
        </w:tc>
        <w:tc>
          <w:tcPr>
            <w:tcW w:w="1133" w:type="dxa"/>
            <w:vAlign w:val="center"/>
          </w:tcPr>
          <w:p w14:paraId="7BFA1487">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09345762">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0.03t/a</w:t>
            </w:r>
          </w:p>
        </w:tc>
        <w:tc>
          <w:tcPr>
            <w:tcW w:w="1218" w:type="dxa"/>
            <w:vAlign w:val="center"/>
          </w:tcPr>
          <w:p w14:paraId="25F5CDB4">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+0.03t/a</w:t>
            </w:r>
          </w:p>
        </w:tc>
      </w:tr>
      <w:tr w14:paraId="0F332E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Merge w:val="continue"/>
            <w:vAlign w:val="center"/>
          </w:tcPr>
          <w:p w14:paraId="658591F5">
            <w:pPr>
              <w:spacing w:line="269" w:lineRule="auto"/>
              <w:jc w:val="center"/>
              <w:rPr>
                <w:rFonts w:ascii="Times New Roman" w:hAnsi="Times New Roman" w:eastAsia="宋体" w:cs="Times New Roman"/>
                <w:snapToGrid w:val="0"/>
                <w:color w:val="auto"/>
                <w:kern w:val="21"/>
                <w:szCs w:val="21"/>
                <w:highlight w:val="none"/>
              </w:rPr>
            </w:pPr>
          </w:p>
        </w:tc>
        <w:tc>
          <w:tcPr>
            <w:tcW w:w="2837" w:type="dxa"/>
            <w:gridSpan w:val="2"/>
            <w:vAlign w:val="center"/>
          </w:tcPr>
          <w:p w14:paraId="3615FC6E">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废活性炭</w:t>
            </w:r>
          </w:p>
        </w:tc>
        <w:tc>
          <w:tcPr>
            <w:tcW w:w="1417" w:type="dxa"/>
            <w:vAlign w:val="center"/>
          </w:tcPr>
          <w:p w14:paraId="0B0F29B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55C895FB">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7D2AE6AA">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270E7463">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0.5</w:t>
            </w:r>
            <w:r>
              <w:rPr>
                <w:rFonts w:hint="eastAsia" w:ascii="Times New Roman" w:hAnsi="Times New Roman" w:eastAsia="宋体" w:cs="Times New Roman"/>
                <w:color w:val="auto"/>
                <w:szCs w:val="21"/>
                <w:highlight w:val="none"/>
              </w:rPr>
              <w:t>19</w:t>
            </w:r>
            <w:r>
              <w:rPr>
                <w:rFonts w:ascii="Times New Roman" w:hAnsi="Times New Roman" w:eastAsia="宋体" w:cs="Times New Roman"/>
                <w:color w:val="auto"/>
                <w:szCs w:val="21"/>
                <w:highlight w:val="none"/>
              </w:rPr>
              <w:t>t/a</w:t>
            </w:r>
          </w:p>
        </w:tc>
        <w:tc>
          <w:tcPr>
            <w:tcW w:w="1133" w:type="dxa"/>
            <w:vAlign w:val="center"/>
          </w:tcPr>
          <w:p w14:paraId="57E1BE7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56C9FDD6">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0.5</w:t>
            </w:r>
            <w:r>
              <w:rPr>
                <w:rFonts w:hint="eastAsia" w:ascii="Times New Roman" w:hAnsi="Times New Roman" w:eastAsia="宋体" w:cs="Times New Roman"/>
                <w:color w:val="auto"/>
                <w:szCs w:val="21"/>
                <w:highlight w:val="none"/>
              </w:rPr>
              <w:t>19</w:t>
            </w:r>
            <w:r>
              <w:rPr>
                <w:rFonts w:ascii="Times New Roman" w:hAnsi="Times New Roman" w:eastAsia="宋体" w:cs="Times New Roman"/>
                <w:color w:val="auto"/>
                <w:szCs w:val="21"/>
                <w:highlight w:val="none"/>
              </w:rPr>
              <w:t>t/a</w:t>
            </w:r>
          </w:p>
        </w:tc>
        <w:tc>
          <w:tcPr>
            <w:tcW w:w="1218" w:type="dxa"/>
            <w:vAlign w:val="center"/>
          </w:tcPr>
          <w:p w14:paraId="65034E93">
            <w:pPr>
              <w:snapToGrid w:val="0"/>
              <w:spacing w:line="276"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+0.5</w:t>
            </w:r>
            <w:r>
              <w:rPr>
                <w:rFonts w:hint="eastAsia" w:ascii="Times New Roman" w:hAnsi="Times New Roman" w:eastAsia="宋体" w:cs="Times New Roman"/>
                <w:color w:val="auto"/>
                <w:szCs w:val="21"/>
                <w:highlight w:val="none"/>
              </w:rPr>
              <w:t>19</w:t>
            </w:r>
            <w:r>
              <w:rPr>
                <w:rFonts w:ascii="Times New Roman" w:hAnsi="Times New Roman" w:eastAsia="宋体" w:cs="Times New Roman"/>
                <w:color w:val="auto"/>
                <w:szCs w:val="21"/>
                <w:highlight w:val="none"/>
              </w:rPr>
              <w:t>t/a</w:t>
            </w:r>
          </w:p>
        </w:tc>
      </w:tr>
      <w:tr w14:paraId="4DD585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46" w:type="dxa"/>
            <w:vAlign w:val="center"/>
          </w:tcPr>
          <w:p w14:paraId="4EB22611">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生活垃圾</w:t>
            </w:r>
          </w:p>
        </w:tc>
        <w:tc>
          <w:tcPr>
            <w:tcW w:w="2837" w:type="dxa"/>
            <w:gridSpan w:val="2"/>
            <w:vAlign w:val="center"/>
          </w:tcPr>
          <w:p w14:paraId="7A21CFC7">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生活垃圾</w:t>
            </w:r>
          </w:p>
        </w:tc>
        <w:tc>
          <w:tcPr>
            <w:tcW w:w="1417" w:type="dxa"/>
            <w:vAlign w:val="center"/>
          </w:tcPr>
          <w:p w14:paraId="667BEBE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992" w:type="dxa"/>
            <w:vAlign w:val="center"/>
          </w:tcPr>
          <w:p w14:paraId="7A79AFCC">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618D3557">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1B68BE9A">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6.75</w:t>
            </w:r>
            <w:r>
              <w:rPr>
                <w:rFonts w:ascii="Times New Roman" w:hAnsi="Times New Roman" w:eastAsia="宋体" w:cs="Times New Roman"/>
                <w:snapToGrid w:val="0"/>
                <w:color w:val="auto"/>
                <w:kern w:val="21"/>
                <w:szCs w:val="21"/>
                <w:highlight w:val="none"/>
              </w:rPr>
              <w:t>t/a</w:t>
            </w:r>
          </w:p>
        </w:tc>
        <w:tc>
          <w:tcPr>
            <w:tcW w:w="1133" w:type="dxa"/>
            <w:vAlign w:val="center"/>
          </w:tcPr>
          <w:p w14:paraId="48ED2A40">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p>
        </w:tc>
        <w:tc>
          <w:tcPr>
            <w:tcW w:w="1417" w:type="dxa"/>
            <w:vAlign w:val="center"/>
          </w:tcPr>
          <w:p w14:paraId="3EB87FB2">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color w:val="auto"/>
                <w:szCs w:val="21"/>
                <w:highlight w:val="none"/>
              </w:rPr>
              <w:t>6.75</w:t>
            </w:r>
            <w:r>
              <w:rPr>
                <w:rFonts w:ascii="Times New Roman" w:hAnsi="Times New Roman" w:eastAsia="宋体" w:cs="Times New Roman"/>
                <w:snapToGrid w:val="0"/>
                <w:color w:val="auto"/>
                <w:kern w:val="21"/>
                <w:szCs w:val="21"/>
                <w:highlight w:val="none"/>
              </w:rPr>
              <w:t>t/a</w:t>
            </w:r>
          </w:p>
        </w:tc>
        <w:tc>
          <w:tcPr>
            <w:tcW w:w="1218" w:type="dxa"/>
            <w:vAlign w:val="center"/>
          </w:tcPr>
          <w:p w14:paraId="397AA71E">
            <w:pPr>
              <w:spacing w:line="269" w:lineRule="auto"/>
              <w:jc w:val="center"/>
              <w:rPr>
                <w:rFonts w:ascii="Times New Roman" w:hAnsi="Times New Roman" w:eastAsia="宋体" w:cs="Times New Roman"/>
                <w:snapToGrid w:val="0"/>
                <w:color w:val="auto"/>
                <w:kern w:val="21"/>
                <w:szCs w:val="21"/>
                <w:highlight w:val="none"/>
              </w:rPr>
            </w:pPr>
            <w:r>
              <w:rPr>
                <w:rFonts w:ascii="Times New Roman" w:hAnsi="Times New Roman" w:eastAsia="宋体" w:cs="Times New Roman"/>
                <w:snapToGrid w:val="0"/>
                <w:color w:val="auto"/>
                <w:kern w:val="21"/>
                <w:szCs w:val="21"/>
                <w:highlight w:val="none"/>
              </w:rPr>
              <w:t>+</w:t>
            </w:r>
            <w:r>
              <w:rPr>
                <w:rFonts w:ascii="Times New Roman" w:hAnsi="Times New Roman" w:eastAsia="宋体" w:cs="Times New Roman"/>
                <w:color w:val="auto"/>
                <w:szCs w:val="21"/>
                <w:highlight w:val="none"/>
              </w:rPr>
              <w:t>6.75</w:t>
            </w:r>
            <w:r>
              <w:rPr>
                <w:rFonts w:ascii="Times New Roman" w:hAnsi="Times New Roman" w:eastAsia="宋体" w:cs="Times New Roman"/>
                <w:snapToGrid w:val="0"/>
                <w:color w:val="auto"/>
                <w:kern w:val="21"/>
                <w:szCs w:val="21"/>
                <w:highlight w:val="none"/>
              </w:rPr>
              <w:t>t/a</w:t>
            </w:r>
          </w:p>
        </w:tc>
      </w:tr>
    </w:tbl>
    <w:p w14:paraId="6BD1DAF1">
      <w:pPr>
        <w:pStyle w:val="47"/>
        <w:spacing w:beforeLines="80" w:after="31"/>
        <w:jc w:val="left"/>
        <w:rPr>
          <w:rFonts w:ascii="Times New Roman" w:hAnsi="Times New Roman" w:eastAsia="宋体" w:cs="Times New Roman"/>
          <w:snapToGrid w:val="0"/>
          <w:color w:val="auto"/>
          <w:spacing w:val="-6"/>
          <w:kern w:val="21"/>
          <w:szCs w:val="21"/>
          <w:highlight w:val="none"/>
        </w:rPr>
      </w:pPr>
      <w:r>
        <w:rPr>
          <w:rFonts w:ascii="Times New Roman" w:hAnsi="Times New Roman" w:eastAsia="宋体" w:cs="Times New Roman"/>
          <w:snapToGrid w:val="0"/>
          <w:color w:val="auto"/>
          <w:kern w:val="21"/>
          <w:szCs w:val="21"/>
          <w:highlight w:val="none"/>
        </w:rPr>
        <w:t>注：</w:t>
      </w:r>
      <w:r>
        <w:rPr>
          <w:rFonts w:ascii="Times New Roman" w:hAnsi="Times New Roman" w:eastAsia="宋体" w:cs="Times New Roman"/>
          <w:snapToGrid w:val="0"/>
          <w:color w:val="auto"/>
          <w:spacing w:val="-16"/>
          <w:kern w:val="21"/>
          <w:szCs w:val="21"/>
          <w:highlight w:val="none"/>
        </w:rPr>
        <w:fldChar w:fldCharType="begin"/>
      </w:r>
      <w:r>
        <w:rPr>
          <w:rFonts w:ascii="Times New Roman" w:hAnsi="Times New Roman" w:eastAsia="宋体" w:cs="Times New Roman"/>
          <w:snapToGrid w:val="0"/>
          <w:color w:val="auto"/>
          <w:spacing w:val="-16"/>
          <w:kern w:val="21"/>
          <w:szCs w:val="21"/>
          <w:highlight w:val="none"/>
        </w:rPr>
        <w:instrText xml:space="preserve"> = 6 \* GB3 \* MERGEFORMAT </w:instrText>
      </w:r>
      <w:r>
        <w:rPr>
          <w:rFonts w:ascii="Times New Roman" w:hAnsi="Times New Roman" w:eastAsia="宋体" w:cs="Times New Roman"/>
          <w:snapToGrid w:val="0"/>
          <w:color w:val="auto"/>
          <w:spacing w:val="-16"/>
          <w:kern w:val="21"/>
          <w:szCs w:val="21"/>
          <w:highlight w:val="none"/>
        </w:rPr>
        <w:fldChar w:fldCharType="separate"/>
      </w:r>
      <w:r>
        <w:rPr>
          <w:rFonts w:ascii="Times New Roman" w:hAnsi="Times New Roman" w:eastAsia="宋体" w:cs="Times New Roman"/>
          <w:color w:val="auto"/>
          <w:szCs w:val="21"/>
          <w:highlight w:val="none"/>
        </w:rPr>
        <w:t>⑥</w:t>
      </w:r>
      <w:r>
        <w:rPr>
          <w:rFonts w:ascii="Times New Roman" w:hAnsi="Times New Roman" w:eastAsia="宋体" w:cs="Times New Roman"/>
          <w:snapToGrid w:val="0"/>
          <w:color w:val="auto"/>
          <w:spacing w:val="-16"/>
          <w:kern w:val="21"/>
          <w:szCs w:val="21"/>
          <w:highlight w:val="none"/>
        </w:rPr>
        <w:fldChar w:fldCharType="end"/>
      </w:r>
      <w:r>
        <w:rPr>
          <w:rFonts w:ascii="Times New Roman" w:hAnsi="Times New Roman" w:eastAsia="宋体" w:cs="Times New Roman"/>
          <w:snapToGrid w:val="0"/>
          <w:color w:val="auto"/>
          <w:spacing w:val="-16"/>
          <w:kern w:val="21"/>
          <w:szCs w:val="21"/>
          <w:highlight w:val="none"/>
        </w:rPr>
        <w:t>=</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1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①</w:t>
      </w:r>
      <w:r>
        <w:rPr>
          <w:rFonts w:ascii="Times New Roman" w:hAnsi="Times New Roman" w:eastAsia="宋体" w:cs="Times New Roman"/>
          <w:snapToGrid w:val="0"/>
          <w:color w:val="auto"/>
          <w:spacing w:val="-6"/>
          <w:kern w:val="21"/>
          <w:szCs w:val="21"/>
          <w:highlight w:val="none"/>
        </w:rPr>
        <w:fldChar w:fldCharType="end"/>
      </w:r>
      <w:r>
        <w:rPr>
          <w:rFonts w:ascii="Times New Roman" w:hAnsi="Times New Roman" w:eastAsia="宋体" w:cs="Times New Roman"/>
          <w:snapToGrid w:val="0"/>
          <w:color w:val="auto"/>
          <w:spacing w:val="-6"/>
          <w:kern w:val="21"/>
          <w:szCs w:val="21"/>
          <w:highlight w:val="none"/>
        </w:rPr>
        <w:t>+</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3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③</w:t>
      </w:r>
      <w:r>
        <w:rPr>
          <w:rFonts w:ascii="Times New Roman" w:hAnsi="Times New Roman" w:eastAsia="宋体" w:cs="Times New Roman"/>
          <w:snapToGrid w:val="0"/>
          <w:color w:val="auto"/>
          <w:spacing w:val="-6"/>
          <w:kern w:val="21"/>
          <w:szCs w:val="21"/>
          <w:highlight w:val="none"/>
        </w:rPr>
        <w:fldChar w:fldCharType="end"/>
      </w:r>
      <w:r>
        <w:rPr>
          <w:rFonts w:ascii="Times New Roman" w:hAnsi="Times New Roman" w:eastAsia="宋体" w:cs="Times New Roman"/>
          <w:snapToGrid w:val="0"/>
          <w:color w:val="auto"/>
          <w:spacing w:val="-6"/>
          <w:kern w:val="21"/>
          <w:szCs w:val="21"/>
          <w:highlight w:val="none"/>
        </w:rPr>
        <w:t>+</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4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④</w:t>
      </w:r>
      <w:r>
        <w:rPr>
          <w:rFonts w:ascii="Times New Roman" w:hAnsi="Times New Roman" w:eastAsia="宋体" w:cs="Times New Roman"/>
          <w:snapToGrid w:val="0"/>
          <w:color w:val="auto"/>
          <w:spacing w:val="-6"/>
          <w:kern w:val="21"/>
          <w:szCs w:val="21"/>
          <w:highlight w:val="none"/>
        </w:rPr>
        <w:fldChar w:fldCharType="end"/>
      </w:r>
      <w:r>
        <w:rPr>
          <w:rFonts w:ascii="Times New Roman" w:hAnsi="Times New Roman" w:eastAsia="宋体" w:cs="Times New Roman"/>
          <w:snapToGrid w:val="0"/>
          <w:color w:val="auto"/>
          <w:spacing w:val="-6"/>
          <w:kern w:val="21"/>
          <w:szCs w:val="21"/>
          <w:highlight w:val="none"/>
        </w:rPr>
        <w:t>-</w:t>
      </w:r>
      <w:r>
        <w:rPr>
          <w:rFonts w:ascii="Times New Roman" w:hAnsi="Times New Roman" w:eastAsia="宋体" w:cs="Times New Roman"/>
          <w:snapToGrid w:val="0"/>
          <w:color w:val="auto"/>
          <w:spacing w:val="-16"/>
          <w:kern w:val="21"/>
          <w:szCs w:val="21"/>
          <w:highlight w:val="none"/>
        </w:rPr>
        <w:fldChar w:fldCharType="begin"/>
      </w:r>
      <w:r>
        <w:rPr>
          <w:rFonts w:ascii="Times New Roman" w:hAnsi="Times New Roman" w:eastAsia="宋体" w:cs="Times New Roman"/>
          <w:snapToGrid w:val="0"/>
          <w:color w:val="auto"/>
          <w:spacing w:val="-16"/>
          <w:kern w:val="21"/>
          <w:szCs w:val="21"/>
          <w:highlight w:val="none"/>
        </w:rPr>
        <w:instrText xml:space="preserve"> = 5 \* GB3 \* MERGEFORMAT </w:instrText>
      </w:r>
      <w:r>
        <w:rPr>
          <w:rFonts w:ascii="Times New Roman" w:hAnsi="Times New Roman" w:eastAsia="宋体" w:cs="Times New Roman"/>
          <w:snapToGrid w:val="0"/>
          <w:color w:val="auto"/>
          <w:spacing w:val="-16"/>
          <w:kern w:val="21"/>
          <w:szCs w:val="21"/>
          <w:highlight w:val="none"/>
        </w:rPr>
        <w:fldChar w:fldCharType="separate"/>
      </w:r>
      <w:r>
        <w:rPr>
          <w:rFonts w:ascii="Times New Roman" w:hAnsi="Times New Roman" w:eastAsia="宋体" w:cs="Times New Roman"/>
          <w:color w:val="auto"/>
          <w:szCs w:val="21"/>
          <w:highlight w:val="none"/>
        </w:rPr>
        <w:t>⑤</w:t>
      </w:r>
      <w:r>
        <w:rPr>
          <w:rFonts w:ascii="Times New Roman" w:hAnsi="Times New Roman" w:eastAsia="宋体" w:cs="Times New Roman"/>
          <w:snapToGrid w:val="0"/>
          <w:color w:val="auto"/>
          <w:spacing w:val="-16"/>
          <w:kern w:val="21"/>
          <w:szCs w:val="21"/>
          <w:highlight w:val="none"/>
        </w:rPr>
        <w:fldChar w:fldCharType="end"/>
      </w:r>
      <w:r>
        <w:rPr>
          <w:rFonts w:ascii="Times New Roman" w:hAnsi="Times New Roman" w:eastAsia="宋体" w:cs="Times New Roman"/>
          <w:snapToGrid w:val="0"/>
          <w:color w:val="auto"/>
          <w:spacing w:val="-16"/>
          <w:kern w:val="21"/>
          <w:szCs w:val="21"/>
          <w:highlight w:val="none"/>
        </w:rPr>
        <w:t>；</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7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⑦</w:t>
      </w:r>
      <w:r>
        <w:rPr>
          <w:rFonts w:ascii="Times New Roman" w:hAnsi="Times New Roman" w:eastAsia="宋体" w:cs="Times New Roman"/>
          <w:snapToGrid w:val="0"/>
          <w:color w:val="auto"/>
          <w:spacing w:val="-6"/>
          <w:kern w:val="21"/>
          <w:szCs w:val="21"/>
          <w:highlight w:val="none"/>
        </w:rPr>
        <w:fldChar w:fldCharType="end"/>
      </w:r>
      <w:r>
        <w:rPr>
          <w:rFonts w:ascii="Times New Roman" w:hAnsi="Times New Roman" w:eastAsia="宋体" w:cs="Times New Roman"/>
          <w:snapToGrid w:val="0"/>
          <w:color w:val="auto"/>
          <w:spacing w:val="-6"/>
          <w:kern w:val="21"/>
          <w:szCs w:val="21"/>
          <w:highlight w:val="none"/>
        </w:rPr>
        <w:t>=</w:t>
      </w:r>
      <w:r>
        <w:rPr>
          <w:rFonts w:ascii="Times New Roman" w:hAnsi="Times New Roman" w:eastAsia="宋体" w:cs="Times New Roman"/>
          <w:snapToGrid w:val="0"/>
          <w:color w:val="auto"/>
          <w:spacing w:val="-16"/>
          <w:kern w:val="21"/>
          <w:szCs w:val="21"/>
          <w:highlight w:val="none"/>
        </w:rPr>
        <w:fldChar w:fldCharType="begin"/>
      </w:r>
      <w:r>
        <w:rPr>
          <w:rFonts w:ascii="Times New Roman" w:hAnsi="Times New Roman" w:eastAsia="宋体" w:cs="Times New Roman"/>
          <w:snapToGrid w:val="0"/>
          <w:color w:val="auto"/>
          <w:spacing w:val="-16"/>
          <w:kern w:val="21"/>
          <w:szCs w:val="21"/>
          <w:highlight w:val="none"/>
        </w:rPr>
        <w:instrText xml:space="preserve"> = 6 \* GB3 \* MERGEFORMAT </w:instrText>
      </w:r>
      <w:r>
        <w:rPr>
          <w:rFonts w:ascii="Times New Roman" w:hAnsi="Times New Roman" w:eastAsia="宋体" w:cs="Times New Roman"/>
          <w:snapToGrid w:val="0"/>
          <w:color w:val="auto"/>
          <w:spacing w:val="-16"/>
          <w:kern w:val="21"/>
          <w:szCs w:val="21"/>
          <w:highlight w:val="none"/>
        </w:rPr>
        <w:fldChar w:fldCharType="separate"/>
      </w:r>
      <w:r>
        <w:rPr>
          <w:rFonts w:ascii="Times New Roman" w:hAnsi="Times New Roman" w:eastAsia="宋体" w:cs="Times New Roman"/>
          <w:color w:val="auto"/>
          <w:szCs w:val="21"/>
          <w:highlight w:val="none"/>
        </w:rPr>
        <w:t>⑥</w:t>
      </w:r>
      <w:r>
        <w:rPr>
          <w:rFonts w:ascii="Times New Roman" w:hAnsi="Times New Roman" w:eastAsia="宋体" w:cs="Times New Roman"/>
          <w:snapToGrid w:val="0"/>
          <w:color w:val="auto"/>
          <w:spacing w:val="-16"/>
          <w:kern w:val="21"/>
          <w:szCs w:val="21"/>
          <w:highlight w:val="none"/>
        </w:rPr>
        <w:fldChar w:fldCharType="end"/>
      </w:r>
      <w:r>
        <w:rPr>
          <w:rFonts w:ascii="Times New Roman" w:hAnsi="Times New Roman" w:eastAsia="宋体" w:cs="Times New Roman"/>
          <w:snapToGrid w:val="0"/>
          <w:color w:val="auto"/>
          <w:spacing w:val="-16"/>
          <w:kern w:val="21"/>
          <w:szCs w:val="21"/>
          <w:highlight w:val="none"/>
        </w:rPr>
        <w:t>-</w:t>
      </w:r>
      <w:r>
        <w:rPr>
          <w:rFonts w:ascii="Times New Roman" w:hAnsi="Times New Roman" w:eastAsia="宋体" w:cs="Times New Roman"/>
          <w:snapToGrid w:val="0"/>
          <w:color w:val="auto"/>
          <w:spacing w:val="-6"/>
          <w:kern w:val="21"/>
          <w:szCs w:val="21"/>
          <w:highlight w:val="none"/>
        </w:rPr>
        <w:fldChar w:fldCharType="begin"/>
      </w:r>
      <w:r>
        <w:rPr>
          <w:rFonts w:ascii="Times New Roman" w:hAnsi="Times New Roman" w:eastAsia="宋体" w:cs="Times New Roman"/>
          <w:snapToGrid w:val="0"/>
          <w:color w:val="auto"/>
          <w:spacing w:val="-6"/>
          <w:kern w:val="21"/>
          <w:szCs w:val="21"/>
          <w:highlight w:val="none"/>
        </w:rPr>
        <w:instrText xml:space="preserve"> = 1 \* GB3 \* MERGEFORMAT </w:instrText>
      </w:r>
      <w:r>
        <w:rPr>
          <w:rFonts w:ascii="Times New Roman" w:hAnsi="Times New Roman" w:eastAsia="宋体" w:cs="Times New Roman"/>
          <w:snapToGrid w:val="0"/>
          <w:color w:val="auto"/>
          <w:spacing w:val="-6"/>
          <w:kern w:val="21"/>
          <w:szCs w:val="21"/>
          <w:highlight w:val="none"/>
        </w:rPr>
        <w:fldChar w:fldCharType="separate"/>
      </w:r>
      <w:r>
        <w:rPr>
          <w:rFonts w:ascii="Times New Roman" w:hAnsi="Times New Roman" w:eastAsia="宋体" w:cs="Times New Roman"/>
          <w:color w:val="auto"/>
          <w:szCs w:val="21"/>
          <w:highlight w:val="none"/>
        </w:rPr>
        <w:t>①</w:t>
      </w:r>
      <w:r>
        <w:rPr>
          <w:rFonts w:ascii="Times New Roman" w:hAnsi="Times New Roman" w:eastAsia="宋体" w:cs="Times New Roman"/>
          <w:snapToGrid w:val="0"/>
          <w:color w:val="auto"/>
          <w:spacing w:val="-6"/>
          <w:kern w:val="21"/>
          <w:szCs w:val="21"/>
          <w:highlight w:val="none"/>
        </w:rPr>
        <w:fldChar w:fldCharType="end"/>
      </w:r>
    </w:p>
    <w:sectPr>
      <w:pgSz w:w="16838" w:h="11906" w:orient="landscape"/>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992891"/>
    </w:sdtPr>
    <w:sdtContent>
      <w:p w14:paraId="78E5C930">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1</w:t>
        </w:r>
        <w:r>
          <w:rPr>
            <w:rFonts w:ascii="Times New Roman" w:hAnsi="Times New Roman" w:cs="Times New Roman"/>
            <w:sz w:val="20"/>
            <w:szCs w:val="20"/>
          </w:rPr>
          <w:fldChar w:fldCharType="end"/>
        </w:r>
      </w:p>
    </w:sdtContent>
  </w:sdt>
  <w:p w14:paraId="51553FC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31641"/>
    </w:sdtPr>
    <w:sdtContent>
      <w:p w14:paraId="11967AF5">
        <w:pPr>
          <w:pStyle w:val="9"/>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42</w:t>
        </w:r>
        <w:r>
          <w:rPr>
            <w:rFonts w:ascii="Times New Roman" w:hAnsi="Times New Roman" w:cs="Times New Roman"/>
            <w:sz w:val="20"/>
            <w:szCs w:val="20"/>
          </w:rPr>
          <w:fldChar w:fldCharType="end"/>
        </w:r>
      </w:p>
    </w:sdtContent>
  </w:sdt>
  <w:p w14:paraId="1F498536">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5DB05">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0ACEC">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CF62F">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AC1F4A"/>
    <w:multiLevelType w:val="singleLevel"/>
    <w:tmpl w:val="CEAC1F4A"/>
    <w:lvl w:ilvl="0" w:tentative="0">
      <w:start w:val="3"/>
      <w:numFmt w:val="decimal"/>
      <w:suff w:val="nothing"/>
      <w:lvlText w:val="%1、"/>
      <w:lvlJc w:val="left"/>
    </w:lvl>
  </w:abstractNum>
  <w:abstractNum w:abstractNumId="1">
    <w:nsid w:val="5755133B"/>
    <w:multiLevelType w:val="multilevel"/>
    <w:tmpl w:val="5755133B"/>
    <w:lvl w:ilvl="0" w:tentative="0">
      <w:start w:val="1"/>
      <w:numFmt w:val="decimal"/>
      <w:lvlText w:val="%1."/>
      <w:lvlJc w:val="left"/>
      <w:pPr>
        <w:ind w:left="432" w:hanging="432"/>
      </w:pPr>
      <w:rPr>
        <w:rFonts w:hint="default"/>
      </w:rPr>
    </w:lvl>
    <w:lvl w:ilvl="1" w:tentative="0">
      <w:start w:val="1"/>
      <w:numFmt w:val="decimal"/>
      <w:lvlText w:val="%1.%2."/>
      <w:lvlJc w:val="left"/>
      <w:pPr>
        <w:ind w:left="575" w:hanging="575"/>
      </w:pPr>
      <w:rPr>
        <w:rFonts w:hint="default"/>
      </w:rPr>
    </w:lvl>
    <w:lvl w:ilvl="2" w:tentative="0">
      <w:start w:val="1"/>
      <w:numFmt w:val="decimal"/>
      <w:lvlText w:val="%1.%2.%3."/>
      <w:lvlJc w:val="left"/>
      <w:pPr>
        <w:ind w:left="720" w:hanging="720"/>
      </w:pPr>
      <w:rPr>
        <w:rFonts w:hint="default"/>
      </w:rPr>
    </w:lvl>
    <w:lvl w:ilvl="3" w:tentative="0">
      <w:start w:val="1"/>
      <w:numFmt w:val="decimal"/>
      <w:pStyle w:val="3"/>
      <w:lvlText w:val="%1.%2.%3.%4."/>
      <w:lvlJc w:val="left"/>
      <w:pPr>
        <w:ind w:left="864" w:hanging="864"/>
      </w:pPr>
      <w:rPr>
        <w:rFonts w:hint="default"/>
      </w:rPr>
    </w:lvl>
    <w:lvl w:ilvl="4" w:tentative="0">
      <w:start w:val="1"/>
      <w:numFmt w:val="decimal"/>
      <w:lvlText w:val="%1.%2.%3.%4.%5."/>
      <w:lvlJc w:val="left"/>
      <w:pPr>
        <w:ind w:left="1008" w:hanging="1008"/>
      </w:pPr>
      <w:rPr>
        <w:rFonts w:hint="default"/>
      </w:rPr>
    </w:lvl>
    <w:lvl w:ilvl="5" w:tentative="0">
      <w:start w:val="1"/>
      <w:numFmt w:val="decimal"/>
      <w:lvlText w:val="%1.%2.%3.%4.%5.%6."/>
      <w:lvlJc w:val="left"/>
      <w:pPr>
        <w:ind w:left="1151" w:hanging="1151"/>
      </w:pPr>
      <w:rPr>
        <w:rFonts w:hint="default"/>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2">
    <w:nsid w:val="625FA9CE"/>
    <w:multiLevelType w:val="singleLevel"/>
    <w:tmpl w:val="625FA9CE"/>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zAyMDA2YTI3MjBiODJiN2RlMmY3NzljNjg4MWM4ZDUifQ=="/>
  </w:docVars>
  <w:rsids>
    <w:rsidRoot w:val="00FD299D"/>
    <w:rsid w:val="0000037A"/>
    <w:rsid w:val="00000ABA"/>
    <w:rsid w:val="00000C30"/>
    <w:rsid w:val="00000EEC"/>
    <w:rsid w:val="00000F9B"/>
    <w:rsid w:val="00001264"/>
    <w:rsid w:val="000014BF"/>
    <w:rsid w:val="00001565"/>
    <w:rsid w:val="000020D7"/>
    <w:rsid w:val="000024B5"/>
    <w:rsid w:val="00002B39"/>
    <w:rsid w:val="00003341"/>
    <w:rsid w:val="0000376D"/>
    <w:rsid w:val="00003D35"/>
    <w:rsid w:val="000042C1"/>
    <w:rsid w:val="00004371"/>
    <w:rsid w:val="00004C0B"/>
    <w:rsid w:val="0000520F"/>
    <w:rsid w:val="0000641C"/>
    <w:rsid w:val="00006695"/>
    <w:rsid w:val="0000691F"/>
    <w:rsid w:val="00006A7B"/>
    <w:rsid w:val="00006D0B"/>
    <w:rsid w:val="00006F6C"/>
    <w:rsid w:val="000074DF"/>
    <w:rsid w:val="00007CAE"/>
    <w:rsid w:val="00007FE0"/>
    <w:rsid w:val="0001005D"/>
    <w:rsid w:val="00010B50"/>
    <w:rsid w:val="00010F7C"/>
    <w:rsid w:val="000110EC"/>
    <w:rsid w:val="00011501"/>
    <w:rsid w:val="000117FA"/>
    <w:rsid w:val="00012083"/>
    <w:rsid w:val="000122FC"/>
    <w:rsid w:val="00012418"/>
    <w:rsid w:val="0001301A"/>
    <w:rsid w:val="00013C81"/>
    <w:rsid w:val="000150C6"/>
    <w:rsid w:val="000161FD"/>
    <w:rsid w:val="00016271"/>
    <w:rsid w:val="0001636E"/>
    <w:rsid w:val="00016874"/>
    <w:rsid w:val="00017140"/>
    <w:rsid w:val="000173FC"/>
    <w:rsid w:val="00017AF6"/>
    <w:rsid w:val="00020530"/>
    <w:rsid w:val="00020940"/>
    <w:rsid w:val="00020A02"/>
    <w:rsid w:val="00020C44"/>
    <w:rsid w:val="000212C1"/>
    <w:rsid w:val="000214D8"/>
    <w:rsid w:val="00021CB0"/>
    <w:rsid w:val="000225B6"/>
    <w:rsid w:val="00022633"/>
    <w:rsid w:val="000231CB"/>
    <w:rsid w:val="0002344F"/>
    <w:rsid w:val="0002373B"/>
    <w:rsid w:val="00023865"/>
    <w:rsid w:val="00023886"/>
    <w:rsid w:val="00023C0C"/>
    <w:rsid w:val="00024B40"/>
    <w:rsid w:val="00025253"/>
    <w:rsid w:val="00025709"/>
    <w:rsid w:val="00025E46"/>
    <w:rsid w:val="00026200"/>
    <w:rsid w:val="00026345"/>
    <w:rsid w:val="0002642D"/>
    <w:rsid w:val="00026506"/>
    <w:rsid w:val="000267BB"/>
    <w:rsid w:val="00026AF6"/>
    <w:rsid w:val="0002730A"/>
    <w:rsid w:val="00027345"/>
    <w:rsid w:val="000274F6"/>
    <w:rsid w:val="000277C9"/>
    <w:rsid w:val="00027B0F"/>
    <w:rsid w:val="00027BCD"/>
    <w:rsid w:val="00027C4B"/>
    <w:rsid w:val="000300EA"/>
    <w:rsid w:val="00030180"/>
    <w:rsid w:val="00030268"/>
    <w:rsid w:val="000306A8"/>
    <w:rsid w:val="00030CA0"/>
    <w:rsid w:val="00030D9E"/>
    <w:rsid w:val="00030E8B"/>
    <w:rsid w:val="000322BF"/>
    <w:rsid w:val="0003237D"/>
    <w:rsid w:val="00032827"/>
    <w:rsid w:val="00033279"/>
    <w:rsid w:val="000333C1"/>
    <w:rsid w:val="0003342F"/>
    <w:rsid w:val="00033B8C"/>
    <w:rsid w:val="00033D2D"/>
    <w:rsid w:val="0003403E"/>
    <w:rsid w:val="00034091"/>
    <w:rsid w:val="00034826"/>
    <w:rsid w:val="00034A5B"/>
    <w:rsid w:val="00034AB1"/>
    <w:rsid w:val="00034C12"/>
    <w:rsid w:val="00035053"/>
    <w:rsid w:val="00035BC5"/>
    <w:rsid w:val="00036469"/>
    <w:rsid w:val="00036DA6"/>
    <w:rsid w:val="00036F08"/>
    <w:rsid w:val="0004041B"/>
    <w:rsid w:val="0004048D"/>
    <w:rsid w:val="000411B3"/>
    <w:rsid w:val="00041DE9"/>
    <w:rsid w:val="000420EE"/>
    <w:rsid w:val="0004274F"/>
    <w:rsid w:val="00042A8B"/>
    <w:rsid w:val="00042BA3"/>
    <w:rsid w:val="00043028"/>
    <w:rsid w:val="0004316B"/>
    <w:rsid w:val="00044405"/>
    <w:rsid w:val="00044645"/>
    <w:rsid w:val="00044E38"/>
    <w:rsid w:val="00044FDF"/>
    <w:rsid w:val="00045959"/>
    <w:rsid w:val="00045AD1"/>
    <w:rsid w:val="000460E1"/>
    <w:rsid w:val="000461F9"/>
    <w:rsid w:val="00046C76"/>
    <w:rsid w:val="00046E9A"/>
    <w:rsid w:val="00047158"/>
    <w:rsid w:val="0004747B"/>
    <w:rsid w:val="000475B0"/>
    <w:rsid w:val="000475B9"/>
    <w:rsid w:val="00047CB4"/>
    <w:rsid w:val="00047DA8"/>
    <w:rsid w:val="00047E46"/>
    <w:rsid w:val="000501C5"/>
    <w:rsid w:val="000501F0"/>
    <w:rsid w:val="0005032E"/>
    <w:rsid w:val="00050712"/>
    <w:rsid w:val="00050C9E"/>
    <w:rsid w:val="00050D18"/>
    <w:rsid w:val="00050EB7"/>
    <w:rsid w:val="00051ACD"/>
    <w:rsid w:val="00051DCF"/>
    <w:rsid w:val="0005222D"/>
    <w:rsid w:val="00052436"/>
    <w:rsid w:val="00052E11"/>
    <w:rsid w:val="00052FC8"/>
    <w:rsid w:val="000538C8"/>
    <w:rsid w:val="00053B80"/>
    <w:rsid w:val="00053F84"/>
    <w:rsid w:val="00054283"/>
    <w:rsid w:val="00055112"/>
    <w:rsid w:val="0005512C"/>
    <w:rsid w:val="00055473"/>
    <w:rsid w:val="00055BC8"/>
    <w:rsid w:val="000560C7"/>
    <w:rsid w:val="00056476"/>
    <w:rsid w:val="00057B42"/>
    <w:rsid w:val="00057E43"/>
    <w:rsid w:val="00060148"/>
    <w:rsid w:val="00060719"/>
    <w:rsid w:val="000609BD"/>
    <w:rsid w:val="00060F2F"/>
    <w:rsid w:val="00061317"/>
    <w:rsid w:val="000616CB"/>
    <w:rsid w:val="000616D5"/>
    <w:rsid w:val="00061B17"/>
    <w:rsid w:val="00061B36"/>
    <w:rsid w:val="0006200A"/>
    <w:rsid w:val="0006211C"/>
    <w:rsid w:val="000624C8"/>
    <w:rsid w:val="00062536"/>
    <w:rsid w:val="0006293D"/>
    <w:rsid w:val="00062FB3"/>
    <w:rsid w:val="00064702"/>
    <w:rsid w:val="00064919"/>
    <w:rsid w:val="00064AA0"/>
    <w:rsid w:val="00066174"/>
    <w:rsid w:val="000669E3"/>
    <w:rsid w:val="00066AA4"/>
    <w:rsid w:val="00067875"/>
    <w:rsid w:val="000709A9"/>
    <w:rsid w:val="00070EB5"/>
    <w:rsid w:val="000713F0"/>
    <w:rsid w:val="0007159A"/>
    <w:rsid w:val="0007186C"/>
    <w:rsid w:val="00071C60"/>
    <w:rsid w:val="0007219A"/>
    <w:rsid w:val="00072E00"/>
    <w:rsid w:val="00075C54"/>
    <w:rsid w:val="00076248"/>
    <w:rsid w:val="00077581"/>
    <w:rsid w:val="00080045"/>
    <w:rsid w:val="00080C1F"/>
    <w:rsid w:val="000810C1"/>
    <w:rsid w:val="000810C3"/>
    <w:rsid w:val="00081266"/>
    <w:rsid w:val="00081392"/>
    <w:rsid w:val="00081AEF"/>
    <w:rsid w:val="00081E6A"/>
    <w:rsid w:val="00081EAE"/>
    <w:rsid w:val="0008207A"/>
    <w:rsid w:val="00082B26"/>
    <w:rsid w:val="00082CD0"/>
    <w:rsid w:val="00082E52"/>
    <w:rsid w:val="00083F5E"/>
    <w:rsid w:val="00084374"/>
    <w:rsid w:val="00084500"/>
    <w:rsid w:val="000847AC"/>
    <w:rsid w:val="000852F0"/>
    <w:rsid w:val="00085B55"/>
    <w:rsid w:val="00085BF4"/>
    <w:rsid w:val="00085EF5"/>
    <w:rsid w:val="00085F08"/>
    <w:rsid w:val="00085FFD"/>
    <w:rsid w:val="000861C1"/>
    <w:rsid w:val="000863ED"/>
    <w:rsid w:val="000867F9"/>
    <w:rsid w:val="00086A33"/>
    <w:rsid w:val="0008775C"/>
    <w:rsid w:val="00090457"/>
    <w:rsid w:val="0009048E"/>
    <w:rsid w:val="0009131B"/>
    <w:rsid w:val="0009160F"/>
    <w:rsid w:val="00091BF0"/>
    <w:rsid w:val="0009215D"/>
    <w:rsid w:val="000923D7"/>
    <w:rsid w:val="00092401"/>
    <w:rsid w:val="00093CE7"/>
    <w:rsid w:val="00094238"/>
    <w:rsid w:val="000943F9"/>
    <w:rsid w:val="00094FC3"/>
    <w:rsid w:val="000951E7"/>
    <w:rsid w:val="00095BE9"/>
    <w:rsid w:val="00095DBD"/>
    <w:rsid w:val="0009650F"/>
    <w:rsid w:val="00096CB6"/>
    <w:rsid w:val="000978C5"/>
    <w:rsid w:val="00097DF3"/>
    <w:rsid w:val="000A06F3"/>
    <w:rsid w:val="000A0A69"/>
    <w:rsid w:val="000A0F75"/>
    <w:rsid w:val="000A1116"/>
    <w:rsid w:val="000A1E29"/>
    <w:rsid w:val="000A2611"/>
    <w:rsid w:val="000A2728"/>
    <w:rsid w:val="000A3539"/>
    <w:rsid w:val="000A37C9"/>
    <w:rsid w:val="000A38C6"/>
    <w:rsid w:val="000A3FD5"/>
    <w:rsid w:val="000A4265"/>
    <w:rsid w:val="000A46A6"/>
    <w:rsid w:val="000A53B3"/>
    <w:rsid w:val="000A59F1"/>
    <w:rsid w:val="000A698F"/>
    <w:rsid w:val="000A6A36"/>
    <w:rsid w:val="000A7583"/>
    <w:rsid w:val="000A7625"/>
    <w:rsid w:val="000A7A23"/>
    <w:rsid w:val="000A7D98"/>
    <w:rsid w:val="000B09D8"/>
    <w:rsid w:val="000B0A12"/>
    <w:rsid w:val="000B181D"/>
    <w:rsid w:val="000B1C2F"/>
    <w:rsid w:val="000B1EDA"/>
    <w:rsid w:val="000B1F55"/>
    <w:rsid w:val="000B2095"/>
    <w:rsid w:val="000B21C0"/>
    <w:rsid w:val="000B28F6"/>
    <w:rsid w:val="000B28FC"/>
    <w:rsid w:val="000B377C"/>
    <w:rsid w:val="000B43C9"/>
    <w:rsid w:val="000B4A05"/>
    <w:rsid w:val="000B504F"/>
    <w:rsid w:val="000B5445"/>
    <w:rsid w:val="000B5C81"/>
    <w:rsid w:val="000B62B8"/>
    <w:rsid w:val="000B6D8B"/>
    <w:rsid w:val="000B7279"/>
    <w:rsid w:val="000B790E"/>
    <w:rsid w:val="000B7B77"/>
    <w:rsid w:val="000B7CC9"/>
    <w:rsid w:val="000C0139"/>
    <w:rsid w:val="000C10EC"/>
    <w:rsid w:val="000C1BEE"/>
    <w:rsid w:val="000C1FC5"/>
    <w:rsid w:val="000C3287"/>
    <w:rsid w:val="000C34B5"/>
    <w:rsid w:val="000C3641"/>
    <w:rsid w:val="000C3B6E"/>
    <w:rsid w:val="000C3EE1"/>
    <w:rsid w:val="000C4B4E"/>
    <w:rsid w:val="000C4F5E"/>
    <w:rsid w:val="000C529A"/>
    <w:rsid w:val="000C599B"/>
    <w:rsid w:val="000C6343"/>
    <w:rsid w:val="000C650B"/>
    <w:rsid w:val="000C653F"/>
    <w:rsid w:val="000C6732"/>
    <w:rsid w:val="000C6B69"/>
    <w:rsid w:val="000C6C1F"/>
    <w:rsid w:val="000C71C8"/>
    <w:rsid w:val="000C71D0"/>
    <w:rsid w:val="000C7AAD"/>
    <w:rsid w:val="000D046B"/>
    <w:rsid w:val="000D0C4E"/>
    <w:rsid w:val="000D0F67"/>
    <w:rsid w:val="000D1AA4"/>
    <w:rsid w:val="000D1BD4"/>
    <w:rsid w:val="000D20E0"/>
    <w:rsid w:val="000D20EE"/>
    <w:rsid w:val="000D2107"/>
    <w:rsid w:val="000D2111"/>
    <w:rsid w:val="000D2290"/>
    <w:rsid w:val="000D2F04"/>
    <w:rsid w:val="000D33AA"/>
    <w:rsid w:val="000D342D"/>
    <w:rsid w:val="000D42F9"/>
    <w:rsid w:val="000D4609"/>
    <w:rsid w:val="000D4F80"/>
    <w:rsid w:val="000D5E3F"/>
    <w:rsid w:val="000D7D4A"/>
    <w:rsid w:val="000E0A21"/>
    <w:rsid w:val="000E0B6E"/>
    <w:rsid w:val="000E0D89"/>
    <w:rsid w:val="000E10C7"/>
    <w:rsid w:val="000E1DA9"/>
    <w:rsid w:val="000E1F31"/>
    <w:rsid w:val="000E256C"/>
    <w:rsid w:val="000E2614"/>
    <w:rsid w:val="000E322E"/>
    <w:rsid w:val="000E3F59"/>
    <w:rsid w:val="000E519A"/>
    <w:rsid w:val="000E5747"/>
    <w:rsid w:val="000E67D5"/>
    <w:rsid w:val="000E6A2D"/>
    <w:rsid w:val="000E6A33"/>
    <w:rsid w:val="000E73DE"/>
    <w:rsid w:val="000E7418"/>
    <w:rsid w:val="000E7C60"/>
    <w:rsid w:val="000F0EA0"/>
    <w:rsid w:val="000F102B"/>
    <w:rsid w:val="000F19F1"/>
    <w:rsid w:val="000F1B99"/>
    <w:rsid w:val="000F2231"/>
    <w:rsid w:val="000F348C"/>
    <w:rsid w:val="000F41FD"/>
    <w:rsid w:val="000F4646"/>
    <w:rsid w:val="000F4B31"/>
    <w:rsid w:val="000F4B68"/>
    <w:rsid w:val="000F4DB1"/>
    <w:rsid w:val="000F4F1F"/>
    <w:rsid w:val="000F51B4"/>
    <w:rsid w:val="000F54C0"/>
    <w:rsid w:val="000F57FE"/>
    <w:rsid w:val="000F5CEA"/>
    <w:rsid w:val="000F6C2D"/>
    <w:rsid w:val="000F710C"/>
    <w:rsid w:val="000F77F3"/>
    <w:rsid w:val="000F78A0"/>
    <w:rsid w:val="000F7EE9"/>
    <w:rsid w:val="000F7F43"/>
    <w:rsid w:val="001006F6"/>
    <w:rsid w:val="00100B23"/>
    <w:rsid w:val="00100EDF"/>
    <w:rsid w:val="001034E0"/>
    <w:rsid w:val="00103603"/>
    <w:rsid w:val="00103BD9"/>
    <w:rsid w:val="00103FB7"/>
    <w:rsid w:val="00104BBB"/>
    <w:rsid w:val="0010524E"/>
    <w:rsid w:val="00105933"/>
    <w:rsid w:val="00106304"/>
    <w:rsid w:val="00106795"/>
    <w:rsid w:val="001070AF"/>
    <w:rsid w:val="001074BE"/>
    <w:rsid w:val="00107594"/>
    <w:rsid w:val="00107C02"/>
    <w:rsid w:val="00110523"/>
    <w:rsid w:val="00110A49"/>
    <w:rsid w:val="00110F73"/>
    <w:rsid w:val="00111909"/>
    <w:rsid w:val="0011239C"/>
    <w:rsid w:val="00112FDD"/>
    <w:rsid w:val="001136D7"/>
    <w:rsid w:val="00113C10"/>
    <w:rsid w:val="001145D7"/>
    <w:rsid w:val="001154A9"/>
    <w:rsid w:val="00115620"/>
    <w:rsid w:val="00115D5E"/>
    <w:rsid w:val="00116500"/>
    <w:rsid w:val="00116F19"/>
    <w:rsid w:val="00116F1F"/>
    <w:rsid w:val="00117493"/>
    <w:rsid w:val="0011772A"/>
    <w:rsid w:val="00117AE4"/>
    <w:rsid w:val="00117B7B"/>
    <w:rsid w:val="0012010C"/>
    <w:rsid w:val="00120449"/>
    <w:rsid w:val="00120468"/>
    <w:rsid w:val="00120C0A"/>
    <w:rsid w:val="00121463"/>
    <w:rsid w:val="00121579"/>
    <w:rsid w:val="00121876"/>
    <w:rsid w:val="00121941"/>
    <w:rsid w:val="0012233D"/>
    <w:rsid w:val="00123277"/>
    <w:rsid w:val="001233C3"/>
    <w:rsid w:val="0012384F"/>
    <w:rsid w:val="00123FC0"/>
    <w:rsid w:val="001240DC"/>
    <w:rsid w:val="00124435"/>
    <w:rsid w:val="00124451"/>
    <w:rsid w:val="00124C5E"/>
    <w:rsid w:val="00125365"/>
    <w:rsid w:val="0012547A"/>
    <w:rsid w:val="00125A53"/>
    <w:rsid w:val="00125CFD"/>
    <w:rsid w:val="00125D05"/>
    <w:rsid w:val="0012640B"/>
    <w:rsid w:val="001265CE"/>
    <w:rsid w:val="00126B8D"/>
    <w:rsid w:val="00126BBB"/>
    <w:rsid w:val="00127058"/>
    <w:rsid w:val="0013002A"/>
    <w:rsid w:val="00130D1B"/>
    <w:rsid w:val="0013125C"/>
    <w:rsid w:val="00131329"/>
    <w:rsid w:val="00131FC9"/>
    <w:rsid w:val="001322A1"/>
    <w:rsid w:val="001324E3"/>
    <w:rsid w:val="001325FB"/>
    <w:rsid w:val="0013296E"/>
    <w:rsid w:val="00132E53"/>
    <w:rsid w:val="0013318B"/>
    <w:rsid w:val="001338ED"/>
    <w:rsid w:val="00133E6B"/>
    <w:rsid w:val="0013411C"/>
    <w:rsid w:val="00134827"/>
    <w:rsid w:val="00135109"/>
    <w:rsid w:val="00135507"/>
    <w:rsid w:val="00135855"/>
    <w:rsid w:val="00136590"/>
    <w:rsid w:val="001366EF"/>
    <w:rsid w:val="00136E51"/>
    <w:rsid w:val="00137303"/>
    <w:rsid w:val="001373CA"/>
    <w:rsid w:val="00140170"/>
    <w:rsid w:val="001401E7"/>
    <w:rsid w:val="00140E92"/>
    <w:rsid w:val="001411A2"/>
    <w:rsid w:val="00141AAA"/>
    <w:rsid w:val="00141EC2"/>
    <w:rsid w:val="0014234A"/>
    <w:rsid w:val="00144F78"/>
    <w:rsid w:val="00145325"/>
    <w:rsid w:val="001455B2"/>
    <w:rsid w:val="0014616A"/>
    <w:rsid w:val="00146910"/>
    <w:rsid w:val="00146F3B"/>
    <w:rsid w:val="00147D42"/>
    <w:rsid w:val="00147E16"/>
    <w:rsid w:val="00150281"/>
    <w:rsid w:val="00150285"/>
    <w:rsid w:val="001505DB"/>
    <w:rsid w:val="001517AB"/>
    <w:rsid w:val="00151E9D"/>
    <w:rsid w:val="001522A4"/>
    <w:rsid w:val="001526C3"/>
    <w:rsid w:val="00152832"/>
    <w:rsid w:val="00152AFF"/>
    <w:rsid w:val="00153465"/>
    <w:rsid w:val="00153FEE"/>
    <w:rsid w:val="00154139"/>
    <w:rsid w:val="001557E5"/>
    <w:rsid w:val="00155B28"/>
    <w:rsid w:val="0015610D"/>
    <w:rsid w:val="00156423"/>
    <w:rsid w:val="00156565"/>
    <w:rsid w:val="001576E0"/>
    <w:rsid w:val="00157C34"/>
    <w:rsid w:val="00160B7F"/>
    <w:rsid w:val="00160B93"/>
    <w:rsid w:val="00162324"/>
    <w:rsid w:val="0016236F"/>
    <w:rsid w:val="00163A88"/>
    <w:rsid w:val="00163DB7"/>
    <w:rsid w:val="001644F9"/>
    <w:rsid w:val="001645F1"/>
    <w:rsid w:val="0016516C"/>
    <w:rsid w:val="00165478"/>
    <w:rsid w:val="001656CB"/>
    <w:rsid w:val="00165AEC"/>
    <w:rsid w:val="00165D57"/>
    <w:rsid w:val="001660EA"/>
    <w:rsid w:val="00166EE4"/>
    <w:rsid w:val="00166F50"/>
    <w:rsid w:val="00166FD5"/>
    <w:rsid w:val="00167370"/>
    <w:rsid w:val="001676D6"/>
    <w:rsid w:val="00167EA9"/>
    <w:rsid w:val="00167EC1"/>
    <w:rsid w:val="00167F3B"/>
    <w:rsid w:val="00170508"/>
    <w:rsid w:val="001708A4"/>
    <w:rsid w:val="00170C3B"/>
    <w:rsid w:val="00170ECE"/>
    <w:rsid w:val="00171478"/>
    <w:rsid w:val="00171B03"/>
    <w:rsid w:val="00172B0F"/>
    <w:rsid w:val="00172D31"/>
    <w:rsid w:val="001731D7"/>
    <w:rsid w:val="00173F53"/>
    <w:rsid w:val="0017480E"/>
    <w:rsid w:val="00174FE5"/>
    <w:rsid w:val="001750D7"/>
    <w:rsid w:val="001755D9"/>
    <w:rsid w:val="001756FA"/>
    <w:rsid w:val="00176012"/>
    <w:rsid w:val="001760D9"/>
    <w:rsid w:val="0017612C"/>
    <w:rsid w:val="0017617B"/>
    <w:rsid w:val="00176274"/>
    <w:rsid w:val="0017668E"/>
    <w:rsid w:val="00177005"/>
    <w:rsid w:val="0017729E"/>
    <w:rsid w:val="00177834"/>
    <w:rsid w:val="001778DE"/>
    <w:rsid w:val="001779AD"/>
    <w:rsid w:val="00177E6E"/>
    <w:rsid w:val="001800A0"/>
    <w:rsid w:val="001801B0"/>
    <w:rsid w:val="001801B5"/>
    <w:rsid w:val="00180577"/>
    <w:rsid w:val="00181326"/>
    <w:rsid w:val="001824A0"/>
    <w:rsid w:val="001834F0"/>
    <w:rsid w:val="00183F35"/>
    <w:rsid w:val="00183FC3"/>
    <w:rsid w:val="00184ABD"/>
    <w:rsid w:val="0018516C"/>
    <w:rsid w:val="00185355"/>
    <w:rsid w:val="0018575C"/>
    <w:rsid w:val="001863C6"/>
    <w:rsid w:val="00187EC9"/>
    <w:rsid w:val="00190385"/>
    <w:rsid w:val="00190602"/>
    <w:rsid w:val="00190BD3"/>
    <w:rsid w:val="00190CF8"/>
    <w:rsid w:val="001914C0"/>
    <w:rsid w:val="00191B90"/>
    <w:rsid w:val="00192434"/>
    <w:rsid w:val="0019318C"/>
    <w:rsid w:val="001938F4"/>
    <w:rsid w:val="00193C25"/>
    <w:rsid w:val="0019454A"/>
    <w:rsid w:val="00194F8A"/>
    <w:rsid w:val="001953B0"/>
    <w:rsid w:val="00195560"/>
    <w:rsid w:val="0019693B"/>
    <w:rsid w:val="00197B07"/>
    <w:rsid w:val="00197E22"/>
    <w:rsid w:val="001A1442"/>
    <w:rsid w:val="001A1C1F"/>
    <w:rsid w:val="001A2656"/>
    <w:rsid w:val="001A2B74"/>
    <w:rsid w:val="001A2D03"/>
    <w:rsid w:val="001A3544"/>
    <w:rsid w:val="001A372B"/>
    <w:rsid w:val="001A38D1"/>
    <w:rsid w:val="001A4B54"/>
    <w:rsid w:val="001A4B97"/>
    <w:rsid w:val="001A56E7"/>
    <w:rsid w:val="001A598A"/>
    <w:rsid w:val="001A5A1C"/>
    <w:rsid w:val="001A6E0C"/>
    <w:rsid w:val="001B0017"/>
    <w:rsid w:val="001B033C"/>
    <w:rsid w:val="001B04E2"/>
    <w:rsid w:val="001B12D3"/>
    <w:rsid w:val="001B1D1E"/>
    <w:rsid w:val="001B22E9"/>
    <w:rsid w:val="001B2AA2"/>
    <w:rsid w:val="001B2D41"/>
    <w:rsid w:val="001B31A2"/>
    <w:rsid w:val="001B345E"/>
    <w:rsid w:val="001B3BF2"/>
    <w:rsid w:val="001B4036"/>
    <w:rsid w:val="001B45B1"/>
    <w:rsid w:val="001B49DF"/>
    <w:rsid w:val="001B58E5"/>
    <w:rsid w:val="001B5969"/>
    <w:rsid w:val="001B5A76"/>
    <w:rsid w:val="001B607E"/>
    <w:rsid w:val="001B6F2B"/>
    <w:rsid w:val="001B7AD5"/>
    <w:rsid w:val="001B7AF0"/>
    <w:rsid w:val="001B7BB2"/>
    <w:rsid w:val="001C0073"/>
    <w:rsid w:val="001C058C"/>
    <w:rsid w:val="001C0BC4"/>
    <w:rsid w:val="001C0E71"/>
    <w:rsid w:val="001C100D"/>
    <w:rsid w:val="001C1589"/>
    <w:rsid w:val="001C17A2"/>
    <w:rsid w:val="001C19E4"/>
    <w:rsid w:val="001C1E70"/>
    <w:rsid w:val="001C237E"/>
    <w:rsid w:val="001C2D65"/>
    <w:rsid w:val="001C31D4"/>
    <w:rsid w:val="001C32C1"/>
    <w:rsid w:val="001C33B3"/>
    <w:rsid w:val="001C3AB4"/>
    <w:rsid w:val="001C4A4C"/>
    <w:rsid w:val="001C4B79"/>
    <w:rsid w:val="001C4CD9"/>
    <w:rsid w:val="001C4D1D"/>
    <w:rsid w:val="001C500B"/>
    <w:rsid w:val="001C5419"/>
    <w:rsid w:val="001C5E56"/>
    <w:rsid w:val="001C5EFD"/>
    <w:rsid w:val="001C6203"/>
    <w:rsid w:val="001C64F6"/>
    <w:rsid w:val="001C6D0C"/>
    <w:rsid w:val="001C6F07"/>
    <w:rsid w:val="001C6F8E"/>
    <w:rsid w:val="001C70E6"/>
    <w:rsid w:val="001C70E9"/>
    <w:rsid w:val="001C7110"/>
    <w:rsid w:val="001C73E5"/>
    <w:rsid w:val="001C799C"/>
    <w:rsid w:val="001C7D0D"/>
    <w:rsid w:val="001D0062"/>
    <w:rsid w:val="001D0E4D"/>
    <w:rsid w:val="001D1889"/>
    <w:rsid w:val="001D23D2"/>
    <w:rsid w:val="001D25FE"/>
    <w:rsid w:val="001D33AC"/>
    <w:rsid w:val="001D33AE"/>
    <w:rsid w:val="001D3A5B"/>
    <w:rsid w:val="001D3A98"/>
    <w:rsid w:val="001D48FD"/>
    <w:rsid w:val="001D5023"/>
    <w:rsid w:val="001D6095"/>
    <w:rsid w:val="001D62FB"/>
    <w:rsid w:val="001D6D1D"/>
    <w:rsid w:val="001D71A6"/>
    <w:rsid w:val="001D7B84"/>
    <w:rsid w:val="001D7F89"/>
    <w:rsid w:val="001E0252"/>
    <w:rsid w:val="001E0962"/>
    <w:rsid w:val="001E104D"/>
    <w:rsid w:val="001E154B"/>
    <w:rsid w:val="001E1C0B"/>
    <w:rsid w:val="001E1C8C"/>
    <w:rsid w:val="001E1F43"/>
    <w:rsid w:val="001E2E68"/>
    <w:rsid w:val="001E3212"/>
    <w:rsid w:val="001E35A3"/>
    <w:rsid w:val="001E3D4A"/>
    <w:rsid w:val="001E57DB"/>
    <w:rsid w:val="001E7260"/>
    <w:rsid w:val="001E7300"/>
    <w:rsid w:val="001F094F"/>
    <w:rsid w:val="001F0CBD"/>
    <w:rsid w:val="001F0FB2"/>
    <w:rsid w:val="001F1132"/>
    <w:rsid w:val="001F2712"/>
    <w:rsid w:val="001F369A"/>
    <w:rsid w:val="001F3D66"/>
    <w:rsid w:val="001F3EB4"/>
    <w:rsid w:val="001F4430"/>
    <w:rsid w:val="001F5691"/>
    <w:rsid w:val="001F5A01"/>
    <w:rsid w:val="001F6812"/>
    <w:rsid w:val="001F6F34"/>
    <w:rsid w:val="001F71BC"/>
    <w:rsid w:val="002001DA"/>
    <w:rsid w:val="00200789"/>
    <w:rsid w:val="00200FFA"/>
    <w:rsid w:val="00201DA3"/>
    <w:rsid w:val="00201E69"/>
    <w:rsid w:val="0020208A"/>
    <w:rsid w:val="00203544"/>
    <w:rsid w:val="00203ACD"/>
    <w:rsid w:val="00204448"/>
    <w:rsid w:val="00204ED3"/>
    <w:rsid w:val="00205553"/>
    <w:rsid w:val="002055AA"/>
    <w:rsid w:val="00206086"/>
    <w:rsid w:val="00206942"/>
    <w:rsid w:val="002069BE"/>
    <w:rsid w:val="002069C5"/>
    <w:rsid w:val="002078AC"/>
    <w:rsid w:val="00207B40"/>
    <w:rsid w:val="00207E63"/>
    <w:rsid w:val="00210039"/>
    <w:rsid w:val="002104BB"/>
    <w:rsid w:val="00210BD1"/>
    <w:rsid w:val="00210D0E"/>
    <w:rsid w:val="00211104"/>
    <w:rsid w:val="002113A4"/>
    <w:rsid w:val="002115F8"/>
    <w:rsid w:val="00211CF3"/>
    <w:rsid w:val="002125CF"/>
    <w:rsid w:val="0021347D"/>
    <w:rsid w:val="00213DBA"/>
    <w:rsid w:val="00214332"/>
    <w:rsid w:val="0021437C"/>
    <w:rsid w:val="00215215"/>
    <w:rsid w:val="00215EAD"/>
    <w:rsid w:val="00215ED2"/>
    <w:rsid w:val="002162E1"/>
    <w:rsid w:val="00216546"/>
    <w:rsid w:val="0021672B"/>
    <w:rsid w:val="00216D4F"/>
    <w:rsid w:val="00217340"/>
    <w:rsid w:val="00217387"/>
    <w:rsid w:val="00217483"/>
    <w:rsid w:val="00217B72"/>
    <w:rsid w:val="00220284"/>
    <w:rsid w:val="002202DA"/>
    <w:rsid w:val="00220D1B"/>
    <w:rsid w:val="00220EF1"/>
    <w:rsid w:val="002210D5"/>
    <w:rsid w:val="00221DF0"/>
    <w:rsid w:val="002224FE"/>
    <w:rsid w:val="002230ED"/>
    <w:rsid w:val="00224687"/>
    <w:rsid w:val="002248CB"/>
    <w:rsid w:val="00224E6F"/>
    <w:rsid w:val="00225983"/>
    <w:rsid w:val="00225CD5"/>
    <w:rsid w:val="00226924"/>
    <w:rsid w:val="00227598"/>
    <w:rsid w:val="0023053F"/>
    <w:rsid w:val="00230A2C"/>
    <w:rsid w:val="00230AF1"/>
    <w:rsid w:val="00230BBB"/>
    <w:rsid w:val="00230C4E"/>
    <w:rsid w:val="0023118A"/>
    <w:rsid w:val="00231B40"/>
    <w:rsid w:val="00231F87"/>
    <w:rsid w:val="00232499"/>
    <w:rsid w:val="00232B0C"/>
    <w:rsid w:val="00232CF4"/>
    <w:rsid w:val="00232EAC"/>
    <w:rsid w:val="00233655"/>
    <w:rsid w:val="0023453B"/>
    <w:rsid w:val="00234625"/>
    <w:rsid w:val="00235B30"/>
    <w:rsid w:val="00235DCD"/>
    <w:rsid w:val="002363AA"/>
    <w:rsid w:val="0023668B"/>
    <w:rsid w:val="0023722C"/>
    <w:rsid w:val="0023743F"/>
    <w:rsid w:val="00237AFC"/>
    <w:rsid w:val="00237CD4"/>
    <w:rsid w:val="00240A21"/>
    <w:rsid w:val="00240CAD"/>
    <w:rsid w:val="00240D15"/>
    <w:rsid w:val="0024110A"/>
    <w:rsid w:val="00241F6A"/>
    <w:rsid w:val="002427FB"/>
    <w:rsid w:val="00243104"/>
    <w:rsid w:val="0024363A"/>
    <w:rsid w:val="00243794"/>
    <w:rsid w:val="00243A1F"/>
    <w:rsid w:val="00243D7B"/>
    <w:rsid w:val="00243F25"/>
    <w:rsid w:val="002443B3"/>
    <w:rsid w:val="002446F6"/>
    <w:rsid w:val="0024539B"/>
    <w:rsid w:val="00245806"/>
    <w:rsid w:val="00245DBA"/>
    <w:rsid w:val="002461BD"/>
    <w:rsid w:val="00246B39"/>
    <w:rsid w:val="00246C65"/>
    <w:rsid w:val="002479CB"/>
    <w:rsid w:val="00247BD9"/>
    <w:rsid w:val="00250858"/>
    <w:rsid w:val="0025097E"/>
    <w:rsid w:val="002509F5"/>
    <w:rsid w:val="00250D8F"/>
    <w:rsid w:val="00250ED3"/>
    <w:rsid w:val="002518AE"/>
    <w:rsid w:val="00251962"/>
    <w:rsid w:val="00253FE8"/>
    <w:rsid w:val="00254145"/>
    <w:rsid w:val="0025450A"/>
    <w:rsid w:val="002549A0"/>
    <w:rsid w:val="002554B0"/>
    <w:rsid w:val="00255632"/>
    <w:rsid w:val="00255747"/>
    <w:rsid w:val="00255EDD"/>
    <w:rsid w:val="00256CB5"/>
    <w:rsid w:val="002578BB"/>
    <w:rsid w:val="00260500"/>
    <w:rsid w:val="00260886"/>
    <w:rsid w:val="002617BF"/>
    <w:rsid w:val="00261F02"/>
    <w:rsid w:val="00262328"/>
    <w:rsid w:val="0026244D"/>
    <w:rsid w:val="00262919"/>
    <w:rsid w:val="00263510"/>
    <w:rsid w:val="00263589"/>
    <w:rsid w:val="00263BBC"/>
    <w:rsid w:val="00263CEE"/>
    <w:rsid w:val="00264047"/>
    <w:rsid w:val="00264D82"/>
    <w:rsid w:val="00265DA2"/>
    <w:rsid w:val="00266C04"/>
    <w:rsid w:val="00266D0A"/>
    <w:rsid w:val="00266DED"/>
    <w:rsid w:val="00266E9D"/>
    <w:rsid w:val="002676F3"/>
    <w:rsid w:val="00267772"/>
    <w:rsid w:val="00267907"/>
    <w:rsid w:val="00267AC3"/>
    <w:rsid w:val="00267C7E"/>
    <w:rsid w:val="002701B7"/>
    <w:rsid w:val="0027045F"/>
    <w:rsid w:val="00270932"/>
    <w:rsid w:val="00270BEB"/>
    <w:rsid w:val="00270E1B"/>
    <w:rsid w:val="002714C7"/>
    <w:rsid w:val="00273591"/>
    <w:rsid w:val="0027381D"/>
    <w:rsid w:val="00273F37"/>
    <w:rsid w:val="00274412"/>
    <w:rsid w:val="00274455"/>
    <w:rsid w:val="00274896"/>
    <w:rsid w:val="00274CA4"/>
    <w:rsid w:val="00274CCB"/>
    <w:rsid w:val="00275B48"/>
    <w:rsid w:val="002760DC"/>
    <w:rsid w:val="00276D05"/>
    <w:rsid w:val="00276F20"/>
    <w:rsid w:val="00277C86"/>
    <w:rsid w:val="002801EF"/>
    <w:rsid w:val="0028084D"/>
    <w:rsid w:val="00280912"/>
    <w:rsid w:val="0028116A"/>
    <w:rsid w:val="00281B96"/>
    <w:rsid w:val="00282ABB"/>
    <w:rsid w:val="00283F37"/>
    <w:rsid w:val="0028447E"/>
    <w:rsid w:val="002844A8"/>
    <w:rsid w:val="00285787"/>
    <w:rsid w:val="00286DC5"/>
    <w:rsid w:val="00287CEF"/>
    <w:rsid w:val="00287FD9"/>
    <w:rsid w:val="00290912"/>
    <w:rsid w:val="002913EC"/>
    <w:rsid w:val="00291570"/>
    <w:rsid w:val="00291D2B"/>
    <w:rsid w:val="00292216"/>
    <w:rsid w:val="00292252"/>
    <w:rsid w:val="002926D7"/>
    <w:rsid w:val="0029285A"/>
    <w:rsid w:val="00292EF5"/>
    <w:rsid w:val="002933F4"/>
    <w:rsid w:val="0029368D"/>
    <w:rsid w:val="00293B82"/>
    <w:rsid w:val="00293D48"/>
    <w:rsid w:val="0029467C"/>
    <w:rsid w:val="00294D19"/>
    <w:rsid w:val="00295374"/>
    <w:rsid w:val="00295A23"/>
    <w:rsid w:val="002961AD"/>
    <w:rsid w:val="00296AD1"/>
    <w:rsid w:val="0029773A"/>
    <w:rsid w:val="00297C48"/>
    <w:rsid w:val="00297EF5"/>
    <w:rsid w:val="002A0B2E"/>
    <w:rsid w:val="002A1B20"/>
    <w:rsid w:val="002A1CF0"/>
    <w:rsid w:val="002A214E"/>
    <w:rsid w:val="002A26A0"/>
    <w:rsid w:val="002A2969"/>
    <w:rsid w:val="002A3047"/>
    <w:rsid w:val="002A3284"/>
    <w:rsid w:val="002A4F71"/>
    <w:rsid w:val="002A5191"/>
    <w:rsid w:val="002A5454"/>
    <w:rsid w:val="002A55D7"/>
    <w:rsid w:val="002A59AA"/>
    <w:rsid w:val="002A5B04"/>
    <w:rsid w:val="002A5FDB"/>
    <w:rsid w:val="002A729C"/>
    <w:rsid w:val="002A7E4F"/>
    <w:rsid w:val="002B03BD"/>
    <w:rsid w:val="002B07EC"/>
    <w:rsid w:val="002B0D63"/>
    <w:rsid w:val="002B0F15"/>
    <w:rsid w:val="002B1340"/>
    <w:rsid w:val="002B1740"/>
    <w:rsid w:val="002B195A"/>
    <w:rsid w:val="002B27F2"/>
    <w:rsid w:val="002B2CD4"/>
    <w:rsid w:val="002B2EC0"/>
    <w:rsid w:val="002B3094"/>
    <w:rsid w:val="002B329B"/>
    <w:rsid w:val="002B3364"/>
    <w:rsid w:val="002B3524"/>
    <w:rsid w:val="002B3726"/>
    <w:rsid w:val="002B4B77"/>
    <w:rsid w:val="002B4D94"/>
    <w:rsid w:val="002B4E98"/>
    <w:rsid w:val="002B5663"/>
    <w:rsid w:val="002B6551"/>
    <w:rsid w:val="002B6630"/>
    <w:rsid w:val="002B6FC5"/>
    <w:rsid w:val="002B734E"/>
    <w:rsid w:val="002B73BE"/>
    <w:rsid w:val="002B744F"/>
    <w:rsid w:val="002B799B"/>
    <w:rsid w:val="002C0077"/>
    <w:rsid w:val="002C05ED"/>
    <w:rsid w:val="002C0B22"/>
    <w:rsid w:val="002C0BAE"/>
    <w:rsid w:val="002C1157"/>
    <w:rsid w:val="002C1D1D"/>
    <w:rsid w:val="002C1E2D"/>
    <w:rsid w:val="002C287D"/>
    <w:rsid w:val="002C29CC"/>
    <w:rsid w:val="002C336A"/>
    <w:rsid w:val="002C3C06"/>
    <w:rsid w:val="002C3D4F"/>
    <w:rsid w:val="002C5244"/>
    <w:rsid w:val="002C53B5"/>
    <w:rsid w:val="002C54C7"/>
    <w:rsid w:val="002C58A5"/>
    <w:rsid w:val="002C591F"/>
    <w:rsid w:val="002C639E"/>
    <w:rsid w:val="002C66AE"/>
    <w:rsid w:val="002C68FD"/>
    <w:rsid w:val="002C6AA5"/>
    <w:rsid w:val="002C759D"/>
    <w:rsid w:val="002C7FDC"/>
    <w:rsid w:val="002D0777"/>
    <w:rsid w:val="002D0AA6"/>
    <w:rsid w:val="002D0BAE"/>
    <w:rsid w:val="002D0CA6"/>
    <w:rsid w:val="002D18C5"/>
    <w:rsid w:val="002D1B07"/>
    <w:rsid w:val="002D248B"/>
    <w:rsid w:val="002D253C"/>
    <w:rsid w:val="002D26A7"/>
    <w:rsid w:val="002D2A8B"/>
    <w:rsid w:val="002D34AA"/>
    <w:rsid w:val="002D3506"/>
    <w:rsid w:val="002D35D8"/>
    <w:rsid w:val="002D3BD0"/>
    <w:rsid w:val="002D3C5A"/>
    <w:rsid w:val="002D3FD4"/>
    <w:rsid w:val="002D4EAF"/>
    <w:rsid w:val="002D55D4"/>
    <w:rsid w:val="002D578A"/>
    <w:rsid w:val="002D5D40"/>
    <w:rsid w:val="002D6044"/>
    <w:rsid w:val="002D63EB"/>
    <w:rsid w:val="002D6B5A"/>
    <w:rsid w:val="002D7599"/>
    <w:rsid w:val="002E04DF"/>
    <w:rsid w:val="002E069B"/>
    <w:rsid w:val="002E0C25"/>
    <w:rsid w:val="002E104F"/>
    <w:rsid w:val="002E1925"/>
    <w:rsid w:val="002E1A46"/>
    <w:rsid w:val="002E2637"/>
    <w:rsid w:val="002E36BE"/>
    <w:rsid w:val="002E3BF2"/>
    <w:rsid w:val="002E3C34"/>
    <w:rsid w:val="002E3CC6"/>
    <w:rsid w:val="002E40F6"/>
    <w:rsid w:val="002E4903"/>
    <w:rsid w:val="002E4DFF"/>
    <w:rsid w:val="002E545C"/>
    <w:rsid w:val="002E5A4D"/>
    <w:rsid w:val="002E612A"/>
    <w:rsid w:val="002E74A3"/>
    <w:rsid w:val="002E74D3"/>
    <w:rsid w:val="002E79EF"/>
    <w:rsid w:val="002E7CCE"/>
    <w:rsid w:val="002E7D06"/>
    <w:rsid w:val="002F00D1"/>
    <w:rsid w:val="002F03D4"/>
    <w:rsid w:val="002F042B"/>
    <w:rsid w:val="002F099B"/>
    <w:rsid w:val="002F11E3"/>
    <w:rsid w:val="002F191C"/>
    <w:rsid w:val="002F1B19"/>
    <w:rsid w:val="002F1E8C"/>
    <w:rsid w:val="002F1FB3"/>
    <w:rsid w:val="002F2553"/>
    <w:rsid w:val="002F28B2"/>
    <w:rsid w:val="002F303B"/>
    <w:rsid w:val="002F44DD"/>
    <w:rsid w:val="002F458E"/>
    <w:rsid w:val="002F4AAE"/>
    <w:rsid w:val="002F4B81"/>
    <w:rsid w:val="002F515E"/>
    <w:rsid w:val="002F51F0"/>
    <w:rsid w:val="002F533E"/>
    <w:rsid w:val="002F5409"/>
    <w:rsid w:val="002F5AC8"/>
    <w:rsid w:val="002F66E2"/>
    <w:rsid w:val="002F6F44"/>
    <w:rsid w:val="002F7076"/>
    <w:rsid w:val="002F796B"/>
    <w:rsid w:val="002F7C34"/>
    <w:rsid w:val="002F7D3C"/>
    <w:rsid w:val="00300599"/>
    <w:rsid w:val="00301E93"/>
    <w:rsid w:val="00302B74"/>
    <w:rsid w:val="00303367"/>
    <w:rsid w:val="00303C65"/>
    <w:rsid w:val="003045D4"/>
    <w:rsid w:val="0030483E"/>
    <w:rsid w:val="00304AD7"/>
    <w:rsid w:val="003058F8"/>
    <w:rsid w:val="00305EEA"/>
    <w:rsid w:val="003067FF"/>
    <w:rsid w:val="00307131"/>
    <w:rsid w:val="0030786B"/>
    <w:rsid w:val="00307F3F"/>
    <w:rsid w:val="003104F8"/>
    <w:rsid w:val="0031061D"/>
    <w:rsid w:val="00310BAF"/>
    <w:rsid w:val="00311734"/>
    <w:rsid w:val="0031213B"/>
    <w:rsid w:val="003137D9"/>
    <w:rsid w:val="00313C4A"/>
    <w:rsid w:val="003155B5"/>
    <w:rsid w:val="00315835"/>
    <w:rsid w:val="00315A35"/>
    <w:rsid w:val="00315B2D"/>
    <w:rsid w:val="00316A04"/>
    <w:rsid w:val="00316F6D"/>
    <w:rsid w:val="0031750D"/>
    <w:rsid w:val="00317649"/>
    <w:rsid w:val="00320122"/>
    <w:rsid w:val="0032027B"/>
    <w:rsid w:val="00320638"/>
    <w:rsid w:val="0032070D"/>
    <w:rsid w:val="00320815"/>
    <w:rsid w:val="00320B88"/>
    <w:rsid w:val="00321002"/>
    <w:rsid w:val="003213C6"/>
    <w:rsid w:val="003215DD"/>
    <w:rsid w:val="00322D9D"/>
    <w:rsid w:val="00323458"/>
    <w:rsid w:val="00323A90"/>
    <w:rsid w:val="0032446A"/>
    <w:rsid w:val="00325031"/>
    <w:rsid w:val="00325B70"/>
    <w:rsid w:val="00325D92"/>
    <w:rsid w:val="00325E43"/>
    <w:rsid w:val="00325FEF"/>
    <w:rsid w:val="00326021"/>
    <w:rsid w:val="0032686F"/>
    <w:rsid w:val="00326DF2"/>
    <w:rsid w:val="00326FB0"/>
    <w:rsid w:val="003273BB"/>
    <w:rsid w:val="003276CE"/>
    <w:rsid w:val="00327F78"/>
    <w:rsid w:val="00330513"/>
    <w:rsid w:val="0033065A"/>
    <w:rsid w:val="00330C9A"/>
    <w:rsid w:val="003310E1"/>
    <w:rsid w:val="003311DF"/>
    <w:rsid w:val="00331441"/>
    <w:rsid w:val="0033151D"/>
    <w:rsid w:val="00332E0C"/>
    <w:rsid w:val="00334D7F"/>
    <w:rsid w:val="00335C96"/>
    <w:rsid w:val="00336391"/>
    <w:rsid w:val="0033671A"/>
    <w:rsid w:val="00336E96"/>
    <w:rsid w:val="003378F0"/>
    <w:rsid w:val="00337A8B"/>
    <w:rsid w:val="00337E1A"/>
    <w:rsid w:val="003401FB"/>
    <w:rsid w:val="00340556"/>
    <w:rsid w:val="00340894"/>
    <w:rsid w:val="00341337"/>
    <w:rsid w:val="00341974"/>
    <w:rsid w:val="00341DF7"/>
    <w:rsid w:val="00342881"/>
    <w:rsid w:val="003429A6"/>
    <w:rsid w:val="00343086"/>
    <w:rsid w:val="003436CD"/>
    <w:rsid w:val="00343BBE"/>
    <w:rsid w:val="00343CBF"/>
    <w:rsid w:val="00344BD2"/>
    <w:rsid w:val="00344C71"/>
    <w:rsid w:val="00345015"/>
    <w:rsid w:val="00345616"/>
    <w:rsid w:val="003459AB"/>
    <w:rsid w:val="0034713A"/>
    <w:rsid w:val="003478A9"/>
    <w:rsid w:val="00347AB2"/>
    <w:rsid w:val="00347BAD"/>
    <w:rsid w:val="00347E06"/>
    <w:rsid w:val="00350F95"/>
    <w:rsid w:val="0035190B"/>
    <w:rsid w:val="00351949"/>
    <w:rsid w:val="003520F2"/>
    <w:rsid w:val="00352627"/>
    <w:rsid w:val="0035266F"/>
    <w:rsid w:val="00352ED8"/>
    <w:rsid w:val="00353A41"/>
    <w:rsid w:val="00353F5E"/>
    <w:rsid w:val="00353F64"/>
    <w:rsid w:val="00354229"/>
    <w:rsid w:val="00354F72"/>
    <w:rsid w:val="00355177"/>
    <w:rsid w:val="00355F01"/>
    <w:rsid w:val="00356914"/>
    <w:rsid w:val="00357234"/>
    <w:rsid w:val="00357280"/>
    <w:rsid w:val="0035744D"/>
    <w:rsid w:val="0036036A"/>
    <w:rsid w:val="00360EC6"/>
    <w:rsid w:val="00361306"/>
    <w:rsid w:val="00361C39"/>
    <w:rsid w:val="00362759"/>
    <w:rsid w:val="00362C55"/>
    <w:rsid w:val="00362C7B"/>
    <w:rsid w:val="003636EE"/>
    <w:rsid w:val="00364237"/>
    <w:rsid w:val="00364A47"/>
    <w:rsid w:val="00364C4D"/>
    <w:rsid w:val="003657A3"/>
    <w:rsid w:val="00365944"/>
    <w:rsid w:val="00365BE0"/>
    <w:rsid w:val="00366A45"/>
    <w:rsid w:val="00366BDB"/>
    <w:rsid w:val="00370750"/>
    <w:rsid w:val="003709B1"/>
    <w:rsid w:val="003709BA"/>
    <w:rsid w:val="0037123D"/>
    <w:rsid w:val="00371385"/>
    <w:rsid w:val="003715DF"/>
    <w:rsid w:val="0037167C"/>
    <w:rsid w:val="00371A7A"/>
    <w:rsid w:val="00371E33"/>
    <w:rsid w:val="0037223B"/>
    <w:rsid w:val="003724D8"/>
    <w:rsid w:val="00372AAA"/>
    <w:rsid w:val="00373776"/>
    <w:rsid w:val="003749FD"/>
    <w:rsid w:val="00374C34"/>
    <w:rsid w:val="00374F4C"/>
    <w:rsid w:val="00374FC9"/>
    <w:rsid w:val="00375260"/>
    <w:rsid w:val="00375349"/>
    <w:rsid w:val="003768DD"/>
    <w:rsid w:val="003774DE"/>
    <w:rsid w:val="00377556"/>
    <w:rsid w:val="00377D2A"/>
    <w:rsid w:val="00377E57"/>
    <w:rsid w:val="00380223"/>
    <w:rsid w:val="00380871"/>
    <w:rsid w:val="00380A84"/>
    <w:rsid w:val="00381BB7"/>
    <w:rsid w:val="00381DAD"/>
    <w:rsid w:val="0038287C"/>
    <w:rsid w:val="003829AC"/>
    <w:rsid w:val="00382E3A"/>
    <w:rsid w:val="0038324F"/>
    <w:rsid w:val="00383EC6"/>
    <w:rsid w:val="00384556"/>
    <w:rsid w:val="00384D2B"/>
    <w:rsid w:val="00385107"/>
    <w:rsid w:val="00385231"/>
    <w:rsid w:val="00385766"/>
    <w:rsid w:val="00385BDB"/>
    <w:rsid w:val="00385D21"/>
    <w:rsid w:val="0038729F"/>
    <w:rsid w:val="00387714"/>
    <w:rsid w:val="003901C6"/>
    <w:rsid w:val="00390456"/>
    <w:rsid w:val="00390698"/>
    <w:rsid w:val="003907B6"/>
    <w:rsid w:val="00390B4A"/>
    <w:rsid w:val="00390C99"/>
    <w:rsid w:val="00391251"/>
    <w:rsid w:val="00391506"/>
    <w:rsid w:val="00391CDE"/>
    <w:rsid w:val="00392B55"/>
    <w:rsid w:val="00392DF3"/>
    <w:rsid w:val="00393409"/>
    <w:rsid w:val="003935E0"/>
    <w:rsid w:val="00393A0C"/>
    <w:rsid w:val="003942DA"/>
    <w:rsid w:val="00394CDE"/>
    <w:rsid w:val="00394E44"/>
    <w:rsid w:val="00394E69"/>
    <w:rsid w:val="003950DA"/>
    <w:rsid w:val="00395251"/>
    <w:rsid w:val="003952AE"/>
    <w:rsid w:val="00395678"/>
    <w:rsid w:val="00395E81"/>
    <w:rsid w:val="00396ADA"/>
    <w:rsid w:val="0039764F"/>
    <w:rsid w:val="0039774C"/>
    <w:rsid w:val="00397AB5"/>
    <w:rsid w:val="00397DAE"/>
    <w:rsid w:val="003A0303"/>
    <w:rsid w:val="003A0DD2"/>
    <w:rsid w:val="003A1697"/>
    <w:rsid w:val="003A1732"/>
    <w:rsid w:val="003A1EC3"/>
    <w:rsid w:val="003A2ED1"/>
    <w:rsid w:val="003A2F45"/>
    <w:rsid w:val="003A3B81"/>
    <w:rsid w:val="003A4101"/>
    <w:rsid w:val="003A4751"/>
    <w:rsid w:val="003A49BD"/>
    <w:rsid w:val="003A4A11"/>
    <w:rsid w:val="003A4A61"/>
    <w:rsid w:val="003A5985"/>
    <w:rsid w:val="003A5D46"/>
    <w:rsid w:val="003A5EFC"/>
    <w:rsid w:val="003A6E72"/>
    <w:rsid w:val="003A703D"/>
    <w:rsid w:val="003A7392"/>
    <w:rsid w:val="003A74DD"/>
    <w:rsid w:val="003A7695"/>
    <w:rsid w:val="003A76AE"/>
    <w:rsid w:val="003A76DE"/>
    <w:rsid w:val="003A77EB"/>
    <w:rsid w:val="003A7D65"/>
    <w:rsid w:val="003B105A"/>
    <w:rsid w:val="003B11B0"/>
    <w:rsid w:val="003B150E"/>
    <w:rsid w:val="003B1A88"/>
    <w:rsid w:val="003B2E42"/>
    <w:rsid w:val="003B527C"/>
    <w:rsid w:val="003B5545"/>
    <w:rsid w:val="003B56C9"/>
    <w:rsid w:val="003B5955"/>
    <w:rsid w:val="003B630A"/>
    <w:rsid w:val="003B6F73"/>
    <w:rsid w:val="003B761A"/>
    <w:rsid w:val="003B79E3"/>
    <w:rsid w:val="003B7B9E"/>
    <w:rsid w:val="003C015B"/>
    <w:rsid w:val="003C0E10"/>
    <w:rsid w:val="003C1AC3"/>
    <w:rsid w:val="003C27B1"/>
    <w:rsid w:val="003C2C4C"/>
    <w:rsid w:val="003C2E61"/>
    <w:rsid w:val="003C33B0"/>
    <w:rsid w:val="003C35C4"/>
    <w:rsid w:val="003C3E8E"/>
    <w:rsid w:val="003C498F"/>
    <w:rsid w:val="003C49BE"/>
    <w:rsid w:val="003C4F56"/>
    <w:rsid w:val="003C588D"/>
    <w:rsid w:val="003C5C20"/>
    <w:rsid w:val="003C613F"/>
    <w:rsid w:val="003C629B"/>
    <w:rsid w:val="003C6767"/>
    <w:rsid w:val="003C6E0C"/>
    <w:rsid w:val="003C6F37"/>
    <w:rsid w:val="003C714B"/>
    <w:rsid w:val="003C71DB"/>
    <w:rsid w:val="003C7551"/>
    <w:rsid w:val="003C76CE"/>
    <w:rsid w:val="003C7E65"/>
    <w:rsid w:val="003D098A"/>
    <w:rsid w:val="003D0DF8"/>
    <w:rsid w:val="003D194E"/>
    <w:rsid w:val="003D1C79"/>
    <w:rsid w:val="003D1E2F"/>
    <w:rsid w:val="003D3001"/>
    <w:rsid w:val="003D3208"/>
    <w:rsid w:val="003D329C"/>
    <w:rsid w:val="003D3586"/>
    <w:rsid w:val="003D3A18"/>
    <w:rsid w:val="003D3D27"/>
    <w:rsid w:val="003D4CFA"/>
    <w:rsid w:val="003D4DEE"/>
    <w:rsid w:val="003D50A7"/>
    <w:rsid w:val="003D517F"/>
    <w:rsid w:val="003D5380"/>
    <w:rsid w:val="003D59FF"/>
    <w:rsid w:val="003D5A72"/>
    <w:rsid w:val="003D6333"/>
    <w:rsid w:val="003D63F4"/>
    <w:rsid w:val="003D6891"/>
    <w:rsid w:val="003D6C11"/>
    <w:rsid w:val="003D7610"/>
    <w:rsid w:val="003D7E48"/>
    <w:rsid w:val="003D7F03"/>
    <w:rsid w:val="003D7FBF"/>
    <w:rsid w:val="003E0132"/>
    <w:rsid w:val="003E01DC"/>
    <w:rsid w:val="003E05B5"/>
    <w:rsid w:val="003E0875"/>
    <w:rsid w:val="003E0FFC"/>
    <w:rsid w:val="003E12D7"/>
    <w:rsid w:val="003E1AFF"/>
    <w:rsid w:val="003E1EB2"/>
    <w:rsid w:val="003E2090"/>
    <w:rsid w:val="003E24E9"/>
    <w:rsid w:val="003E2C2D"/>
    <w:rsid w:val="003E2EB0"/>
    <w:rsid w:val="003E3323"/>
    <w:rsid w:val="003E3D38"/>
    <w:rsid w:val="003E3EF7"/>
    <w:rsid w:val="003E41B4"/>
    <w:rsid w:val="003E4583"/>
    <w:rsid w:val="003E5628"/>
    <w:rsid w:val="003E6BEF"/>
    <w:rsid w:val="003E7201"/>
    <w:rsid w:val="003E7263"/>
    <w:rsid w:val="003E7E5B"/>
    <w:rsid w:val="003F0739"/>
    <w:rsid w:val="003F0848"/>
    <w:rsid w:val="003F0C09"/>
    <w:rsid w:val="003F0EA0"/>
    <w:rsid w:val="003F10F0"/>
    <w:rsid w:val="003F266E"/>
    <w:rsid w:val="003F2AF7"/>
    <w:rsid w:val="003F2C9B"/>
    <w:rsid w:val="003F5092"/>
    <w:rsid w:val="003F54B8"/>
    <w:rsid w:val="003F5832"/>
    <w:rsid w:val="003F6B22"/>
    <w:rsid w:val="003F73F5"/>
    <w:rsid w:val="003F7E55"/>
    <w:rsid w:val="00400811"/>
    <w:rsid w:val="00400936"/>
    <w:rsid w:val="00400EE8"/>
    <w:rsid w:val="00401F61"/>
    <w:rsid w:val="00402B80"/>
    <w:rsid w:val="00403006"/>
    <w:rsid w:val="0040332D"/>
    <w:rsid w:val="00403B85"/>
    <w:rsid w:val="00403C89"/>
    <w:rsid w:val="00403C9D"/>
    <w:rsid w:val="00404913"/>
    <w:rsid w:val="00404A09"/>
    <w:rsid w:val="00404E65"/>
    <w:rsid w:val="00404E9B"/>
    <w:rsid w:val="00404F1E"/>
    <w:rsid w:val="00405704"/>
    <w:rsid w:val="00406027"/>
    <w:rsid w:val="00406107"/>
    <w:rsid w:val="004068EB"/>
    <w:rsid w:val="00406F16"/>
    <w:rsid w:val="00406F93"/>
    <w:rsid w:val="00406FCB"/>
    <w:rsid w:val="00407986"/>
    <w:rsid w:val="00407B53"/>
    <w:rsid w:val="004104A3"/>
    <w:rsid w:val="004104B4"/>
    <w:rsid w:val="00410ED1"/>
    <w:rsid w:val="00411040"/>
    <w:rsid w:val="00411069"/>
    <w:rsid w:val="00411A06"/>
    <w:rsid w:val="004123D6"/>
    <w:rsid w:val="004126DB"/>
    <w:rsid w:val="00413079"/>
    <w:rsid w:val="00413908"/>
    <w:rsid w:val="00414898"/>
    <w:rsid w:val="00414FE8"/>
    <w:rsid w:val="00414FED"/>
    <w:rsid w:val="0041522F"/>
    <w:rsid w:val="00415ECE"/>
    <w:rsid w:val="0041683F"/>
    <w:rsid w:val="00417143"/>
    <w:rsid w:val="004171D0"/>
    <w:rsid w:val="0041768F"/>
    <w:rsid w:val="00420476"/>
    <w:rsid w:val="00420970"/>
    <w:rsid w:val="004211FE"/>
    <w:rsid w:val="00421770"/>
    <w:rsid w:val="00421AE7"/>
    <w:rsid w:val="00421B4F"/>
    <w:rsid w:val="00421C3F"/>
    <w:rsid w:val="00422316"/>
    <w:rsid w:val="004229ED"/>
    <w:rsid w:val="00422DD2"/>
    <w:rsid w:val="00423275"/>
    <w:rsid w:val="00423FA7"/>
    <w:rsid w:val="004247BF"/>
    <w:rsid w:val="00424B91"/>
    <w:rsid w:val="00424BBB"/>
    <w:rsid w:val="00425801"/>
    <w:rsid w:val="004264A7"/>
    <w:rsid w:val="00426C7B"/>
    <w:rsid w:val="004271FF"/>
    <w:rsid w:val="00427603"/>
    <w:rsid w:val="004300C9"/>
    <w:rsid w:val="0043079D"/>
    <w:rsid w:val="00430A5F"/>
    <w:rsid w:val="004313C6"/>
    <w:rsid w:val="004317FB"/>
    <w:rsid w:val="00431DA9"/>
    <w:rsid w:val="00432BCA"/>
    <w:rsid w:val="00432C87"/>
    <w:rsid w:val="00432CAD"/>
    <w:rsid w:val="00433596"/>
    <w:rsid w:val="00433650"/>
    <w:rsid w:val="0043495A"/>
    <w:rsid w:val="004352AF"/>
    <w:rsid w:val="004356BB"/>
    <w:rsid w:val="00436741"/>
    <w:rsid w:val="0043782D"/>
    <w:rsid w:val="00440002"/>
    <w:rsid w:val="004401B0"/>
    <w:rsid w:val="00440C2F"/>
    <w:rsid w:val="004410F0"/>
    <w:rsid w:val="004418C9"/>
    <w:rsid w:val="0044220F"/>
    <w:rsid w:val="004424F4"/>
    <w:rsid w:val="00442834"/>
    <w:rsid w:val="00444270"/>
    <w:rsid w:val="00444496"/>
    <w:rsid w:val="004449CE"/>
    <w:rsid w:val="00444CB5"/>
    <w:rsid w:val="00445BD0"/>
    <w:rsid w:val="00445CBC"/>
    <w:rsid w:val="00446182"/>
    <w:rsid w:val="00446496"/>
    <w:rsid w:val="00446711"/>
    <w:rsid w:val="00446F37"/>
    <w:rsid w:val="00446F8A"/>
    <w:rsid w:val="00447AFB"/>
    <w:rsid w:val="004500EE"/>
    <w:rsid w:val="00450B4D"/>
    <w:rsid w:val="00450C94"/>
    <w:rsid w:val="004514DF"/>
    <w:rsid w:val="00453397"/>
    <w:rsid w:val="0045348C"/>
    <w:rsid w:val="00453878"/>
    <w:rsid w:val="004539B9"/>
    <w:rsid w:val="00453ACC"/>
    <w:rsid w:val="00453B00"/>
    <w:rsid w:val="00454A31"/>
    <w:rsid w:val="00454A3F"/>
    <w:rsid w:val="004555C9"/>
    <w:rsid w:val="00455BB3"/>
    <w:rsid w:val="00455E11"/>
    <w:rsid w:val="00455ECC"/>
    <w:rsid w:val="00456445"/>
    <w:rsid w:val="004567FA"/>
    <w:rsid w:val="00456C79"/>
    <w:rsid w:val="00457694"/>
    <w:rsid w:val="00457B3D"/>
    <w:rsid w:val="00457E93"/>
    <w:rsid w:val="00457FCD"/>
    <w:rsid w:val="00460026"/>
    <w:rsid w:val="0046024A"/>
    <w:rsid w:val="00460BA6"/>
    <w:rsid w:val="00460BDC"/>
    <w:rsid w:val="00460BE7"/>
    <w:rsid w:val="00460F28"/>
    <w:rsid w:val="00461240"/>
    <w:rsid w:val="00461D3A"/>
    <w:rsid w:val="00462973"/>
    <w:rsid w:val="0046389D"/>
    <w:rsid w:val="004640F4"/>
    <w:rsid w:val="00464154"/>
    <w:rsid w:val="00464160"/>
    <w:rsid w:val="004648AB"/>
    <w:rsid w:val="00464FE2"/>
    <w:rsid w:val="004657B4"/>
    <w:rsid w:val="00465DB2"/>
    <w:rsid w:val="0046679D"/>
    <w:rsid w:val="0046761F"/>
    <w:rsid w:val="00467D1F"/>
    <w:rsid w:val="0047058A"/>
    <w:rsid w:val="0047112A"/>
    <w:rsid w:val="00471213"/>
    <w:rsid w:val="00471861"/>
    <w:rsid w:val="00471EF0"/>
    <w:rsid w:val="00471FA6"/>
    <w:rsid w:val="00471FC7"/>
    <w:rsid w:val="004722B7"/>
    <w:rsid w:val="004727C5"/>
    <w:rsid w:val="00473C7A"/>
    <w:rsid w:val="00473E15"/>
    <w:rsid w:val="00474053"/>
    <w:rsid w:val="00474E8F"/>
    <w:rsid w:val="00475264"/>
    <w:rsid w:val="004756D7"/>
    <w:rsid w:val="00475877"/>
    <w:rsid w:val="00475A9D"/>
    <w:rsid w:val="00475E82"/>
    <w:rsid w:val="0047660A"/>
    <w:rsid w:val="0047774F"/>
    <w:rsid w:val="00480105"/>
    <w:rsid w:val="00480C09"/>
    <w:rsid w:val="00481026"/>
    <w:rsid w:val="00481C30"/>
    <w:rsid w:val="00481EF7"/>
    <w:rsid w:val="00481F67"/>
    <w:rsid w:val="00482C2D"/>
    <w:rsid w:val="00482E12"/>
    <w:rsid w:val="00482E8E"/>
    <w:rsid w:val="004839CB"/>
    <w:rsid w:val="00483EA8"/>
    <w:rsid w:val="00484441"/>
    <w:rsid w:val="004848CE"/>
    <w:rsid w:val="0048499D"/>
    <w:rsid w:val="0048554C"/>
    <w:rsid w:val="00485C7A"/>
    <w:rsid w:val="00485F67"/>
    <w:rsid w:val="00486154"/>
    <w:rsid w:val="0048618B"/>
    <w:rsid w:val="004864F7"/>
    <w:rsid w:val="00486C54"/>
    <w:rsid w:val="00486C5A"/>
    <w:rsid w:val="00486CD4"/>
    <w:rsid w:val="00486F26"/>
    <w:rsid w:val="00486FE7"/>
    <w:rsid w:val="00487A6F"/>
    <w:rsid w:val="00487E3B"/>
    <w:rsid w:val="0049061C"/>
    <w:rsid w:val="00490B4D"/>
    <w:rsid w:val="0049119D"/>
    <w:rsid w:val="004914E6"/>
    <w:rsid w:val="00491DDC"/>
    <w:rsid w:val="0049265A"/>
    <w:rsid w:val="00492A5F"/>
    <w:rsid w:val="0049326F"/>
    <w:rsid w:val="004933B8"/>
    <w:rsid w:val="00493E2B"/>
    <w:rsid w:val="00493F9F"/>
    <w:rsid w:val="00494518"/>
    <w:rsid w:val="00494905"/>
    <w:rsid w:val="00494C6F"/>
    <w:rsid w:val="00495B9F"/>
    <w:rsid w:val="004966B2"/>
    <w:rsid w:val="00496F98"/>
    <w:rsid w:val="004970F1"/>
    <w:rsid w:val="0049765E"/>
    <w:rsid w:val="00497A06"/>
    <w:rsid w:val="00497BA7"/>
    <w:rsid w:val="004A00AC"/>
    <w:rsid w:val="004A0CF2"/>
    <w:rsid w:val="004A0E5C"/>
    <w:rsid w:val="004A12BA"/>
    <w:rsid w:val="004A1730"/>
    <w:rsid w:val="004A197B"/>
    <w:rsid w:val="004A1B08"/>
    <w:rsid w:val="004A1FBE"/>
    <w:rsid w:val="004A4163"/>
    <w:rsid w:val="004A470C"/>
    <w:rsid w:val="004A51EB"/>
    <w:rsid w:val="004A532E"/>
    <w:rsid w:val="004A5BDC"/>
    <w:rsid w:val="004B0122"/>
    <w:rsid w:val="004B0469"/>
    <w:rsid w:val="004B052C"/>
    <w:rsid w:val="004B0761"/>
    <w:rsid w:val="004B0C04"/>
    <w:rsid w:val="004B0DAA"/>
    <w:rsid w:val="004B0E87"/>
    <w:rsid w:val="004B0EBC"/>
    <w:rsid w:val="004B1216"/>
    <w:rsid w:val="004B1445"/>
    <w:rsid w:val="004B1D94"/>
    <w:rsid w:val="004B2474"/>
    <w:rsid w:val="004B251F"/>
    <w:rsid w:val="004B27DA"/>
    <w:rsid w:val="004B28CC"/>
    <w:rsid w:val="004B355C"/>
    <w:rsid w:val="004B4078"/>
    <w:rsid w:val="004B5DE1"/>
    <w:rsid w:val="004B63C4"/>
    <w:rsid w:val="004B6AD1"/>
    <w:rsid w:val="004B73A3"/>
    <w:rsid w:val="004C170D"/>
    <w:rsid w:val="004C1C4E"/>
    <w:rsid w:val="004C1E45"/>
    <w:rsid w:val="004C203C"/>
    <w:rsid w:val="004C2445"/>
    <w:rsid w:val="004C2660"/>
    <w:rsid w:val="004C31B7"/>
    <w:rsid w:val="004C3BAC"/>
    <w:rsid w:val="004C3D00"/>
    <w:rsid w:val="004C3E50"/>
    <w:rsid w:val="004C4115"/>
    <w:rsid w:val="004C5871"/>
    <w:rsid w:val="004C597F"/>
    <w:rsid w:val="004C5C5A"/>
    <w:rsid w:val="004C6879"/>
    <w:rsid w:val="004C7D26"/>
    <w:rsid w:val="004C7E77"/>
    <w:rsid w:val="004D078F"/>
    <w:rsid w:val="004D0984"/>
    <w:rsid w:val="004D14F4"/>
    <w:rsid w:val="004D156D"/>
    <w:rsid w:val="004D1694"/>
    <w:rsid w:val="004D17EA"/>
    <w:rsid w:val="004D1E88"/>
    <w:rsid w:val="004D2296"/>
    <w:rsid w:val="004D302D"/>
    <w:rsid w:val="004D3E9F"/>
    <w:rsid w:val="004D453B"/>
    <w:rsid w:val="004D4AC1"/>
    <w:rsid w:val="004D623A"/>
    <w:rsid w:val="004D69B7"/>
    <w:rsid w:val="004D7552"/>
    <w:rsid w:val="004E013A"/>
    <w:rsid w:val="004E05A6"/>
    <w:rsid w:val="004E0EBD"/>
    <w:rsid w:val="004E0FD1"/>
    <w:rsid w:val="004E1170"/>
    <w:rsid w:val="004E1D0E"/>
    <w:rsid w:val="004E1D94"/>
    <w:rsid w:val="004E2835"/>
    <w:rsid w:val="004E337E"/>
    <w:rsid w:val="004E341D"/>
    <w:rsid w:val="004E3AED"/>
    <w:rsid w:val="004E3BAB"/>
    <w:rsid w:val="004E59DF"/>
    <w:rsid w:val="004E5C6A"/>
    <w:rsid w:val="004E5E87"/>
    <w:rsid w:val="004E665D"/>
    <w:rsid w:val="004E6DDB"/>
    <w:rsid w:val="004E7987"/>
    <w:rsid w:val="004E79C8"/>
    <w:rsid w:val="004E7DCC"/>
    <w:rsid w:val="004E7ED2"/>
    <w:rsid w:val="004F079E"/>
    <w:rsid w:val="004F12CB"/>
    <w:rsid w:val="004F1745"/>
    <w:rsid w:val="004F17FE"/>
    <w:rsid w:val="004F207B"/>
    <w:rsid w:val="004F25F5"/>
    <w:rsid w:val="004F2912"/>
    <w:rsid w:val="004F340D"/>
    <w:rsid w:val="004F350A"/>
    <w:rsid w:val="004F4988"/>
    <w:rsid w:val="004F4F3E"/>
    <w:rsid w:val="004F56EE"/>
    <w:rsid w:val="004F6465"/>
    <w:rsid w:val="004F68F1"/>
    <w:rsid w:val="004F7009"/>
    <w:rsid w:val="00500362"/>
    <w:rsid w:val="00500C8B"/>
    <w:rsid w:val="00500D80"/>
    <w:rsid w:val="00500DA7"/>
    <w:rsid w:val="00501A67"/>
    <w:rsid w:val="00501B9B"/>
    <w:rsid w:val="00501FB7"/>
    <w:rsid w:val="00502013"/>
    <w:rsid w:val="00502AD8"/>
    <w:rsid w:val="0050443B"/>
    <w:rsid w:val="00504AF0"/>
    <w:rsid w:val="00504CDD"/>
    <w:rsid w:val="0050522F"/>
    <w:rsid w:val="00505257"/>
    <w:rsid w:val="005062F6"/>
    <w:rsid w:val="00506561"/>
    <w:rsid w:val="00506713"/>
    <w:rsid w:val="00506E95"/>
    <w:rsid w:val="00506FBD"/>
    <w:rsid w:val="005071B9"/>
    <w:rsid w:val="00507A71"/>
    <w:rsid w:val="00507E30"/>
    <w:rsid w:val="00510736"/>
    <w:rsid w:val="00511D72"/>
    <w:rsid w:val="00512612"/>
    <w:rsid w:val="00512813"/>
    <w:rsid w:val="005137B3"/>
    <w:rsid w:val="00513917"/>
    <w:rsid w:val="005141B6"/>
    <w:rsid w:val="005144F4"/>
    <w:rsid w:val="0051482D"/>
    <w:rsid w:val="00514D4F"/>
    <w:rsid w:val="00514E3B"/>
    <w:rsid w:val="00514ED9"/>
    <w:rsid w:val="0051587D"/>
    <w:rsid w:val="005161AA"/>
    <w:rsid w:val="00516B84"/>
    <w:rsid w:val="00516BEC"/>
    <w:rsid w:val="0051735F"/>
    <w:rsid w:val="00517669"/>
    <w:rsid w:val="00520149"/>
    <w:rsid w:val="005211E3"/>
    <w:rsid w:val="00521D8A"/>
    <w:rsid w:val="00522E47"/>
    <w:rsid w:val="00523468"/>
    <w:rsid w:val="00523C8D"/>
    <w:rsid w:val="00524330"/>
    <w:rsid w:val="0052470D"/>
    <w:rsid w:val="00524CA1"/>
    <w:rsid w:val="00524E58"/>
    <w:rsid w:val="005251B8"/>
    <w:rsid w:val="00525682"/>
    <w:rsid w:val="00525ABC"/>
    <w:rsid w:val="00525E37"/>
    <w:rsid w:val="00525F70"/>
    <w:rsid w:val="00526FBC"/>
    <w:rsid w:val="00527285"/>
    <w:rsid w:val="00527291"/>
    <w:rsid w:val="00527ACD"/>
    <w:rsid w:val="00527B36"/>
    <w:rsid w:val="00527D42"/>
    <w:rsid w:val="005311BC"/>
    <w:rsid w:val="00531419"/>
    <w:rsid w:val="00531E2B"/>
    <w:rsid w:val="00532102"/>
    <w:rsid w:val="005329A1"/>
    <w:rsid w:val="00533B31"/>
    <w:rsid w:val="005344EB"/>
    <w:rsid w:val="005348C3"/>
    <w:rsid w:val="00534F9A"/>
    <w:rsid w:val="0053513E"/>
    <w:rsid w:val="005353AE"/>
    <w:rsid w:val="005357EA"/>
    <w:rsid w:val="00535CF1"/>
    <w:rsid w:val="00535EB9"/>
    <w:rsid w:val="00535F2F"/>
    <w:rsid w:val="00536349"/>
    <w:rsid w:val="005366BF"/>
    <w:rsid w:val="00536726"/>
    <w:rsid w:val="00536F5D"/>
    <w:rsid w:val="00536FD0"/>
    <w:rsid w:val="00537B10"/>
    <w:rsid w:val="0054012C"/>
    <w:rsid w:val="005409D8"/>
    <w:rsid w:val="00541426"/>
    <w:rsid w:val="00541607"/>
    <w:rsid w:val="00541DE4"/>
    <w:rsid w:val="00541FFF"/>
    <w:rsid w:val="00542981"/>
    <w:rsid w:val="00542E1F"/>
    <w:rsid w:val="005432B3"/>
    <w:rsid w:val="0054343B"/>
    <w:rsid w:val="0054356C"/>
    <w:rsid w:val="00543981"/>
    <w:rsid w:val="005447FE"/>
    <w:rsid w:val="00544D46"/>
    <w:rsid w:val="00545DA2"/>
    <w:rsid w:val="0054647F"/>
    <w:rsid w:val="00546610"/>
    <w:rsid w:val="00546BA8"/>
    <w:rsid w:val="0054722D"/>
    <w:rsid w:val="005472EC"/>
    <w:rsid w:val="0055002F"/>
    <w:rsid w:val="00550813"/>
    <w:rsid w:val="005509F5"/>
    <w:rsid w:val="00550BD9"/>
    <w:rsid w:val="005513F0"/>
    <w:rsid w:val="005516A3"/>
    <w:rsid w:val="00551AF7"/>
    <w:rsid w:val="00551B72"/>
    <w:rsid w:val="00551CFE"/>
    <w:rsid w:val="00551DD8"/>
    <w:rsid w:val="00551F28"/>
    <w:rsid w:val="00552939"/>
    <w:rsid w:val="0055295A"/>
    <w:rsid w:val="00552E12"/>
    <w:rsid w:val="00552F31"/>
    <w:rsid w:val="00552F3C"/>
    <w:rsid w:val="005532A4"/>
    <w:rsid w:val="005544A8"/>
    <w:rsid w:val="00554764"/>
    <w:rsid w:val="005556C4"/>
    <w:rsid w:val="005559F6"/>
    <w:rsid w:val="00555A14"/>
    <w:rsid w:val="00556893"/>
    <w:rsid w:val="00556C7B"/>
    <w:rsid w:val="00557038"/>
    <w:rsid w:val="005614F1"/>
    <w:rsid w:val="00561F7C"/>
    <w:rsid w:val="00561FB8"/>
    <w:rsid w:val="005624C9"/>
    <w:rsid w:val="0056254D"/>
    <w:rsid w:val="00562E09"/>
    <w:rsid w:val="0056315B"/>
    <w:rsid w:val="005638D1"/>
    <w:rsid w:val="00563D7E"/>
    <w:rsid w:val="00563F1E"/>
    <w:rsid w:val="0056529F"/>
    <w:rsid w:val="00565A95"/>
    <w:rsid w:val="00566037"/>
    <w:rsid w:val="00566550"/>
    <w:rsid w:val="005667E2"/>
    <w:rsid w:val="0056699A"/>
    <w:rsid w:val="00566A90"/>
    <w:rsid w:val="00566B00"/>
    <w:rsid w:val="00566D93"/>
    <w:rsid w:val="00567630"/>
    <w:rsid w:val="00570AA9"/>
    <w:rsid w:val="00570D96"/>
    <w:rsid w:val="0057140E"/>
    <w:rsid w:val="00572617"/>
    <w:rsid w:val="00572738"/>
    <w:rsid w:val="00572773"/>
    <w:rsid w:val="00573141"/>
    <w:rsid w:val="00573166"/>
    <w:rsid w:val="005733C2"/>
    <w:rsid w:val="005733C6"/>
    <w:rsid w:val="00573DA1"/>
    <w:rsid w:val="00573E38"/>
    <w:rsid w:val="00573EDC"/>
    <w:rsid w:val="00574713"/>
    <w:rsid w:val="005749D9"/>
    <w:rsid w:val="005749DF"/>
    <w:rsid w:val="00574EFE"/>
    <w:rsid w:val="005752F1"/>
    <w:rsid w:val="005766B8"/>
    <w:rsid w:val="005768C2"/>
    <w:rsid w:val="00577022"/>
    <w:rsid w:val="005778A0"/>
    <w:rsid w:val="00577987"/>
    <w:rsid w:val="00577F3A"/>
    <w:rsid w:val="005810A9"/>
    <w:rsid w:val="00581E55"/>
    <w:rsid w:val="00582581"/>
    <w:rsid w:val="00582CA8"/>
    <w:rsid w:val="00583752"/>
    <w:rsid w:val="00583D62"/>
    <w:rsid w:val="00583F91"/>
    <w:rsid w:val="0058453E"/>
    <w:rsid w:val="00584D2D"/>
    <w:rsid w:val="00585BD7"/>
    <w:rsid w:val="00586491"/>
    <w:rsid w:val="005867E5"/>
    <w:rsid w:val="00586892"/>
    <w:rsid w:val="00586A40"/>
    <w:rsid w:val="0058749C"/>
    <w:rsid w:val="005879CA"/>
    <w:rsid w:val="00587B29"/>
    <w:rsid w:val="00587CAA"/>
    <w:rsid w:val="00590FBF"/>
    <w:rsid w:val="0059150C"/>
    <w:rsid w:val="00591510"/>
    <w:rsid w:val="00591B5D"/>
    <w:rsid w:val="00591E0C"/>
    <w:rsid w:val="0059287A"/>
    <w:rsid w:val="00592996"/>
    <w:rsid w:val="00592ADA"/>
    <w:rsid w:val="00592FAC"/>
    <w:rsid w:val="00593026"/>
    <w:rsid w:val="0059369F"/>
    <w:rsid w:val="005940CB"/>
    <w:rsid w:val="00594C8D"/>
    <w:rsid w:val="005954E1"/>
    <w:rsid w:val="005957C8"/>
    <w:rsid w:val="00596192"/>
    <w:rsid w:val="00596479"/>
    <w:rsid w:val="0059748E"/>
    <w:rsid w:val="005A047A"/>
    <w:rsid w:val="005A0501"/>
    <w:rsid w:val="005A0BCA"/>
    <w:rsid w:val="005A17F4"/>
    <w:rsid w:val="005A2255"/>
    <w:rsid w:val="005A3B77"/>
    <w:rsid w:val="005A4018"/>
    <w:rsid w:val="005A4076"/>
    <w:rsid w:val="005A65FE"/>
    <w:rsid w:val="005A674A"/>
    <w:rsid w:val="005A6844"/>
    <w:rsid w:val="005A76A4"/>
    <w:rsid w:val="005A77BE"/>
    <w:rsid w:val="005A797F"/>
    <w:rsid w:val="005B0601"/>
    <w:rsid w:val="005B0C68"/>
    <w:rsid w:val="005B28F1"/>
    <w:rsid w:val="005B2F74"/>
    <w:rsid w:val="005B3238"/>
    <w:rsid w:val="005B32B9"/>
    <w:rsid w:val="005B3ADB"/>
    <w:rsid w:val="005B3B49"/>
    <w:rsid w:val="005B4400"/>
    <w:rsid w:val="005B5293"/>
    <w:rsid w:val="005B6DDA"/>
    <w:rsid w:val="005B6E66"/>
    <w:rsid w:val="005B6E70"/>
    <w:rsid w:val="005B6F8A"/>
    <w:rsid w:val="005B7534"/>
    <w:rsid w:val="005B7A2F"/>
    <w:rsid w:val="005C036E"/>
    <w:rsid w:val="005C04F7"/>
    <w:rsid w:val="005C1417"/>
    <w:rsid w:val="005C17FD"/>
    <w:rsid w:val="005C32AE"/>
    <w:rsid w:val="005C3F2D"/>
    <w:rsid w:val="005C4081"/>
    <w:rsid w:val="005C4161"/>
    <w:rsid w:val="005C4323"/>
    <w:rsid w:val="005C4AB5"/>
    <w:rsid w:val="005C4D19"/>
    <w:rsid w:val="005C5801"/>
    <w:rsid w:val="005C58C8"/>
    <w:rsid w:val="005C5D99"/>
    <w:rsid w:val="005C63E9"/>
    <w:rsid w:val="005C6C4C"/>
    <w:rsid w:val="005C6F5C"/>
    <w:rsid w:val="005D02C7"/>
    <w:rsid w:val="005D0514"/>
    <w:rsid w:val="005D09A8"/>
    <w:rsid w:val="005D1087"/>
    <w:rsid w:val="005D2452"/>
    <w:rsid w:val="005D3815"/>
    <w:rsid w:val="005D3DDC"/>
    <w:rsid w:val="005D4081"/>
    <w:rsid w:val="005D47C5"/>
    <w:rsid w:val="005D4914"/>
    <w:rsid w:val="005D4D4F"/>
    <w:rsid w:val="005D5001"/>
    <w:rsid w:val="005D592F"/>
    <w:rsid w:val="005D61F9"/>
    <w:rsid w:val="005D6479"/>
    <w:rsid w:val="005D6514"/>
    <w:rsid w:val="005D69E1"/>
    <w:rsid w:val="005D7EA6"/>
    <w:rsid w:val="005E07A9"/>
    <w:rsid w:val="005E0D7B"/>
    <w:rsid w:val="005E1258"/>
    <w:rsid w:val="005E17BA"/>
    <w:rsid w:val="005E2C99"/>
    <w:rsid w:val="005E316B"/>
    <w:rsid w:val="005E40F1"/>
    <w:rsid w:val="005E428A"/>
    <w:rsid w:val="005E4983"/>
    <w:rsid w:val="005E4BDC"/>
    <w:rsid w:val="005E5564"/>
    <w:rsid w:val="005E6045"/>
    <w:rsid w:val="005E617C"/>
    <w:rsid w:val="005E6B2C"/>
    <w:rsid w:val="005E6D92"/>
    <w:rsid w:val="005E79A1"/>
    <w:rsid w:val="005E7B26"/>
    <w:rsid w:val="005E7EC0"/>
    <w:rsid w:val="005F08EB"/>
    <w:rsid w:val="005F0D4D"/>
    <w:rsid w:val="005F0F5A"/>
    <w:rsid w:val="005F0FFE"/>
    <w:rsid w:val="005F1161"/>
    <w:rsid w:val="005F127D"/>
    <w:rsid w:val="005F181B"/>
    <w:rsid w:val="005F1CF5"/>
    <w:rsid w:val="005F2543"/>
    <w:rsid w:val="005F2768"/>
    <w:rsid w:val="005F2A58"/>
    <w:rsid w:val="005F2B2C"/>
    <w:rsid w:val="005F3E0C"/>
    <w:rsid w:val="005F41B7"/>
    <w:rsid w:val="005F4231"/>
    <w:rsid w:val="005F475F"/>
    <w:rsid w:val="005F4A27"/>
    <w:rsid w:val="005F59B2"/>
    <w:rsid w:val="005F5B30"/>
    <w:rsid w:val="005F602C"/>
    <w:rsid w:val="005F644D"/>
    <w:rsid w:val="005F6786"/>
    <w:rsid w:val="005F729A"/>
    <w:rsid w:val="005F72BE"/>
    <w:rsid w:val="005F72D6"/>
    <w:rsid w:val="005F7374"/>
    <w:rsid w:val="005F7985"/>
    <w:rsid w:val="006000AD"/>
    <w:rsid w:val="00600216"/>
    <w:rsid w:val="00600248"/>
    <w:rsid w:val="0060084E"/>
    <w:rsid w:val="00600D3F"/>
    <w:rsid w:val="0060210C"/>
    <w:rsid w:val="006023F1"/>
    <w:rsid w:val="00602F47"/>
    <w:rsid w:val="00603C4D"/>
    <w:rsid w:val="00603C84"/>
    <w:rsid w:val="00603FB7"/>
    <w:rsid w:val="006044F7"/>
    <w:rsid w:val="006049F2"/>
    <w:rsid w:val="00604A1A"/>
    <w:rsid w:val="00604BBD"/>
    <w:rsid w:val="00604C7E"/>
    <w:rsid w:val="00604EFA"/>
    <w:rsid w:val="006059BA"/>
    <w:rsid w:val="00605B2F"/>
    <w:rsid w:val="00606D30"/>
    <w:rsid w:val="00607026"/>
    <w:rsid w:val="00607080"/>
    <w:rsid w:val="00607534"/>
    <w:rsid w:val="00607D99"/>
    <w:rsid w:val="00607FE3"/>
    <w:rsid w:val="006107FE"/>
    <w:rsid w:val="006108B6"/>
    <w:rsid w:val="0061124F"/>
    <w:rsid w:val="0061206D"/>
    <w:rsid w:val="006127A0"/>
    <w:rsid w:val="00612A7B"/>
    <w:rsid w:val="00614671"/>
    <w:rsid w:val="00614756"/>
    <w:rsid w:val="00614B8A"/>
    <w:rsid w:val="00615C30"/>
    <w:rsid w:val="0061613D"/>
    <w:rsid w:val="00616329"/>
    <w:rsid w:val="006163CA"/>
    <w:rsid w:val="006164FC"/>
    <w:rsid w:val="00616E99"/>
    <w:rsid w:val="006175C6"/>
    <w:rsid w:val="00617E44"/>
    <w:rsid w:val="006200BB"/>
    <w:rsid w:val="00620244"/>
    <w:rsid w:val="00620675"/>
    <w:rsid w:val="006211E3"/>
    <w:rsid w:val="00621A95"/>
    <w:rsid w:val="00621AF3"/>
    <w:rsid w:val="006221CD"/>
    <w:rsid w:val="0062333B"/>
    <w:rsid w:val="006237D5"/>
    <w:rsid w:val="00623C57"/>
    <w:rsid w:val="00626393"/>
    <w:rsid w:val="00627B61"/>
    <w:rsid w:val="006300FF"/>
    <w:rsid w:val="006301E9"/>
    <w:rsid w:val="0063235F"/>
    <w:rsid w:val="00632AE7"/>
    <w:rsid w:val="00633C62"/>
    <w:rsid w:val="006341C6"/>
    <w:rsid w:val="006343D1"/>
    <w:rsid w:val="00634637"/>
    <w:rsid w:val="00634650"/>
    <w:rsid w:val="0063489A"/>
    <w:rsid w:val="006362C9"/>
    <w:rsid w:val="00636DF7"/>
    <w:rsid w:val="00637E23"/>
    <w:rsid w:val="00637EC9"/>
    <w:rsid w:val="0064089B"/>
    <w:rsid w:val="00640BAD"/>
    <w:rsid w:val="00640F94"/>
    <w:rsid w:val="00641003"/>
    <w:rsid w:val="006410F8"/>
    <w:rsid w:val="006412B6"/>
    <w:rsid w:val="0064160B"/>
    <w:rsid w:val="006418C9"/>
    <w:rsid w:val="006424AF"/>
    <w:rsid w:val="006429D1"/>
    <w:rsid w:val="00642DC2"/>
    <w:rsid w:val="00642FBA"/>
    <w:rsid w:val="006436C7"/>
    <w:rsid w:val="00643FDD"/>
    <w:rsid w:val="006445B6"/>
    <w:rsid w:val="00644885"/>
    <w:rsid w:val="00644B72"/>
    <w:rsid w:val="00644B9E"/>
    <w:rsid w:val="0064545A"/>
    <w:rsid w:val="006454FA"/>
    <w:rsid w:val="00645821"/>
    <w:rsid w:val="00645B3C"/>
    <w:rsid w:val="006467B5"/>
    <w:rsid w:val="00646A0A"/>
    <w:rsid w:val="00646B19"/>
    <w:rsid w:val="00646E5C"/>
    <w:rsid w:val="0064723B"/>
    <w:rsid w:val="006505B2"/>
    <w:rsid w:val="00650D8C"/>
    <w:rsid w:val="0065100C"/>
    <w:rsid w:val="00651A3F"/>
    <w:rsid w:val="00651CC0"/>
    <w:rsid w:val="00651D11"/>
    <w:rsid w:val="006520DC"/>
    <w:rsid w:val="00652466"/>
    <w:rsid w:val="00652735"/>
    <w:rsid w:val="006529E8"/>
    <w:rsid w:val="00652BC7"/>
    <w:rsid w:val="00652DC3"/>
    <w:rsid w:val="00653429"/>
    <w:rsid w:val="00654148"/>
    <w:rsid w:val="00654D83"/>
    <w:rsid w:val="00654D9F"/>
    <w:rsid w:val="00654F97"/>
    <w:rsid w:val="00655379"/>
    <w:rsid w:val="0065664E"/>
    <w:rsid w:val="00656D28"/>
    <w:rsid w:val="00660778"/>
    <w:rsid w:val="00660875"/>
    <w:rsid w:val="00660C0A"/>
    <w:rsid w:val="00663041"/>
    <w:rsid w:val="00663522"/>
    <w:rsid w:val="00665194"/>
    <w:rsid w:val="006653C8"/>
    <w:rsid w:val="0066566A"/>
    <w:rsid w:val="00665C6C"/>
    <w:rsid w:val="00665E33"/>
    <w:rsid w:val="00666C77"/>
    <w:rsid w:val="006678AF"/>
    <w:rsid w:val="0066795B"/>
    <w:rsid w:val="00667F2D"/>
    <w:rsid w:val="006706D0"/>
    <w:rsid w:val="00670E44"/>
    <w:rsid w:val="00671A37"/>
    <w:rsid w:val="00671EC4"/>
    <w:rsid w:val="00672D2B"/>
    <w:rsid w:val="00672EA4"/>
    <w:rsid w:val="00673FB2"/>
    <w:rsid w:val="00674ACC"/>
    <w:rsid w:val="00675035"/>
    <w:rsid w:val="00675050"/>
    <w:rsid w:val="0067530E"/>
    <w:rsid w:val="0067628F"/>
    <w:rsid w:val="00676D32"/>
    <w:rsid w:val="006771D4"/>
    <w:rsid w:val="00677ADF"/>
    <w:rsid w:val="00677E87"/>
    <w:rsid w:val="00680B96"/>
    <w:rsid w:val="0068103B"/>
    <w:rsid w:val="00681F62"/>
    <w:rsid w:val="006825A6"/>
    <w:rsid w:val="006828E5"/>
    <w:rsid w:val="0068373F"/>
    <w:rsid w:val="00683859"/>
    <w:rsid w:val="006838EA"/>
    <w:rsid w:val="00684051"/>
    <w:rsid w:val="0068456E"/>
    <w:rsid w:val="006849F2"/>
    <w:rsid w:val="00684FD4"/>
    <w:rsid w:val="00685936"/>
    <w:rsid w:val="00686081"/>
    <w:rsid w:val="0068627F"/>
    <w:rsid w:val="00686FC4"/>
    <w:rsid w:val="00687034"/>
    <w:rsid w:val="0068738E"/>
    <w:rsid w:val="0068759C"/>
    <w:rsid w:val="006877B4"/>
    <w:rsid w:val="00690139"/>
    <w:rsid w:val="00690C39"/>
    <w:rsid w:val="00690CC7"/>
    <w:rsid w:val="00692641"/>
    <w:rsid w:val="0069279E"/>
    <w:rsid w:val="006928E2"/>
    <w:rsid w:val="0069300E"/>
    <w:rsid w:val="0069378D"/>
    <w:rsid w:val="006946B3"/>
    <w:rsid w:val="00695670"/>
    <w:rsid w:val="006A0D07"/>
    <w:rsid w:val="006A22C1"/>
    <w:rsid w:val="006A293F"/>
    <w:rsid w:val="006A299B"/>
    <w:rsid w:val="006A31D7"/>
    <w:rsid w:val="006A343D"/>
    <w:rsid w:val="006A44BA"/>
    <w:rsid w:val="006A44F4"/>
    <w:rsid w:val="006A4E13"/>
    <w:rsid w:val="006A62E9"/>
    <w:rsid w:val="006A676D"/>
    <w:rsid w:val="006A7412"/>
    <w:rsid w:val="006A74EF"/>
    <w:rsid w:val="006A7C9A"/>
    <w:rsid w:val="006A7E1E"/>
    <w:rsid w:val="006B02E1"/>
    <w:rsid w:val="006B0809"/>
    <w:rsid w:val="006B0F1D"/>
    <w:rsid w:val="006B1B96"/>
    <w:rsid w:val="006B332A"/>
    <w:rsid w:val="006B37CE"/>
    <w:rsid w:val="006B3C35"/>
    <w:rsid w:val="006B4758"/>
    <w:rsid w:val="006B4AC8"/>
    <w:rsid w:val="006B5282"/>
    <w:rsid w:val="006B528F"/>
    <w:rsid w:val="006B5D63"/>
    <w:rsid w:val="006B7ACD"/>
    <w:rsid w:val="006C0796"/>
    <w:rsid w:val="006C0A4A"/>
    <w:rsid w:val="006C0C76"/>
    <w:rsid w:val="006C1112"/>
    <w:rsid w:val="006C1558"/>
    <w:rsid w:val="006C1595"/>
    <w:rsid w:val="006C227E"/>
    <w:rsid w:val="006C2CE3"/>
    <w:rsid w:val="006C3754"/>
    <w:rsid w:val="006C38D5"/>
    <w:rsid w:val="006C507F"/>
    <w:rsid w:val="006C5170"/>
    <w:rsid w:val="006C555A"/>
    <w:rsid w:val="006C5FA2"/>
    <w:rsid w:val="006C708B"/>
    <w:rsid w:val="006C7496"/>
    <w:rsid w:val="006C75F4"/>
    <w:rsid w:val="006C7CDE"/>
    <w:rsid w:val="006C7D25"/>
    <w:rsid w:val="006D0097"/>
    <w:rsid w:val="006D0B3B"/>
    <w:rsid w:val="006D1257"/>
    <w:rsid w:val="006D1AEF"/>
    <w:rsid w:val="006D21CC"/>
    <w:rsid w:val="006D25E0"/>
    <w:rsid w:val="006D39DE"/>
    <w:rsid w:val="006D4C53"/>
    <w:rsid w:val="006D4C58"/>
    <w:rsid w:val="006D51DF"/>
    <w:rsid w:val="006D5379"/>
    <w:rsid w:val="006D5732"/>
    <w:rsid w:val="006D6998"/>
    <w:rsid w:val="006D6B5C"/>
    <w:rsid w:val="006D6CB3"/>
    <w:rsid w:val="006D70B0"/>
    <w:rsid w:val="006D7223"/>
    <w:rsid w:val="006D7412"/>
    <w:rsid w:val="006D7795"/>
    <w:rsid w:val="006E0E9E"/>
    <w:rsid w:val="006E18BD"/>
    <w:rsid w:val="006E26D0"/>
    <w:rsid w:val="006E3A67"/>
    <w:rsid w:val="006E3E28"/>
    <w:rsid w:val="006E4D63"/>
    <w:rsid w:val="006E536A"/>
    <w:rsid w:val="006E57CA"/>
    <w:rsid w:val="006E5F7A"/>
    <w:rsid w:val="006E60C6"/>
    <w:rsid w:val="006E60CF"/>
    <w:rsid w:val="006E66BC"/>
    <w:rsid w:val="006E6884"/>
    <w:rsid w:val="006E7510"/>
    <w:rsid w:val="006F02F7"/>
    <w:rsid w:val="006F0AD2"/>
    <w:rsid w:val="006F123C"/>
    <w:rsid w:val="006F1E4D"/>
    <w:rsid w:val="006F22EF"/>
    <w:rsid w:val="006F25F2"/>
    <w:rsid w:val="006F4657"/>
    <w:rsid w:val="006F4D80"/>
    <w:rsid w:val="006F566F"/>
    <w:rsid w:val="006F5879"/>
    <w:rsid w:val="006F5C5F"/>
    <w:rsid w:val="006F6AAA"/>
    <w:rsid w:val="006F6B61"/>
    <w:rsid w:val="006F7E68"/>
    <w:rsid w:val="0070030A"/>
    <w:rsid w:val="0070098D"/>
    <w:rsid w:val="007009E3"/>
    <w:rsid w:val="00700C7D"/>
    <w:rsid w:val="007011B6"/>
    <w:rsid w:val="00701A49"/>
    <w:rsid w:val="00701F5A"/>
    <w:rsid w:val="007023EB"/>
    <w:rsid w:val="00702D89"/>
    <w:rsid w:val="00702E46"/>
    <w:rsid w:val="00703C4A"/>
    <w:rsid w:val="0070439B"/>
    <w:rsid w:val="00704512"/>
    <w:rsid w:val="007054CE"/>
    <w:rsid w:val="00705AA1"/>
    <w:rsid w:val="00706234"/>
    <w:rsid w:val="0070672C"/>
    <w:rsid w:val="007069E6"/>
    <w:rsid w:val="0070702B"/>
    <w:rsid w:val="007075B4"/>
    <w:rsid w:val="00707811"/>
    <w:rsid w:val="00707F5E"/>
    <w:rsid w:val="007109A3"/>
    <w:rsid w:val="0071181B"/>
    <w:rsid w:val="00712A97"/>
    <w:rsid w:val="00712BF4"/>
    <w:rsid w:val="00713733"/>
    <w:rsid w:val="0071386E"/>
    <w:rsid w:val="00713D1C"/>
    <w:rsid w:val="00714C05"/>
    <w:rsid w:val="007154B4"/>
    <w:rsid w:val="007158BD"/>
    <w:rsid w:val="0071607B"/>
    <w:rsid w:val="00717368"/>
    <w:rsid w:val="00717908"/>
    <w:rsid w:val="00717AAA"/>
    <w:rsid w:val="00717B02"/>
    <w:rsid w:val="007200E6"/>
    <w:rsid w:val="00720240"/>
    <w:rsid w:val="007208FC"/>
    <w:rsid w:val="00720C28"/>
    <w:rsid w:val="00720FD3"/>
    <w:rsid w:val="00721DD1"/>
    <w:rsid w:val="007225F1"/>
    <w:rsid w:val="00722F4B"/>
    <w:rsid w:val="007239E8"/>
    <w:rsid w:val="00723BC5"/>
    <w:rsid w:val="00723F9D"/>
    <w:rsid w:val="00724DB3"/>
    <w:rsid w:val="007250FA"/>
    <w:rsid w:val="00725212"/>
    <w:rsid w:val="007254E0"/>
    <w:rsid w:val="0072672A"/>
    <w:rsid w:val="00726B0D"/>
    <w:rsid w:val="00726CDD"/>
    <w:rsid w:val="00727C76"/>
    <w:rsid w:val="00727E7B"/>
    <w:rsid w:val="0073052E"/>
    <w:rsid w:val="00730A89"/>
    <w:rsid w:val="00730B91"/>
    <w:rsid w:val="00730D64"/>
    <w:rsid w:val="00731736"/>
    <w:rsid w:val="00731762"/>
    <w:rsid w:val="0073239A"/>
    <w:rsid w:val="00732991"/>
    <w:rsid w:val="00732E5A"/>
    <w:rsid w:val="00733052"/>
    <w:rsid w:val="00733416"/>
    <w:rsid w:val="0073366A"/>
    <w:rsid w:val="00733BA6"/>
    <w:rsid w:val="00733D71"/>
    <w:rsid w:val="0073474E"/>
    <w:rsid w:val="00735240"/>
    <w:rsid w:val="00735C53"/>
    <w:rsid w:val="00735C9C"/>
    <w:rsid w:val="0073658B"/>
    <w:rsid w:val="007367F4"/>
    <w:rsid w:val="00736DE5"/>
    <w:rsid w:val="0073752A"/>
    <w:rsid w:val="00737617"/>
    <w:rsid w:val="007379E5"/>
    <w:rsid w:val="00737DCE"/>
    <w:rsid w:val="00740BDD"/>
    <w:rsid w:val="007426C5"/>
    <w:rsid w:val="0074338E"/>
    <w:rsid w:val="007435E4"/>
    <w:rsid w:val="007439EB"/>
    <w:rsid w:val="00743B60"/>
    <w:rsid w:val="00743CDA"/>
    <w:rsid w:val="00743E1E"/>
    <w:rsid w:val="00744DBD"/>
    <w:rsid w:val="00745698"/>
    <w:rsid w:val="00746506"/>
    <w:rsid w:val="00746731"/>
    <w:rsid w:val="0074714B"/>
    <w:rsid w:val="007474A2"/>
    <w:rsid w:val="007476B1"/>
    <w:rsid w:val="00747CF4"/>
    <w:rsid w:val="00747D09"/>
    <w:rsid w:val="0075096A"/>
    <w:rsid w:val="00750B95"/>
    <w:rsid w:val="00750BC6"/>
    <w:rsid w:val="00750D65"/>
    <w:rsid w:val="00751B44"/>
    <w:rsid w:val="00751F63"/>
    <w:rsid w:val="00752158"/>
    <w:rsid w:val="00752A44"/>
    <w:rsid w:val="007537FF"/>
    <w:rsid w:val="00754180"/>
    <w:rsid w:val="00754362"/>
    <w:rsid w:val="0075578D"/>
    <w:rsid w:val="007558BE"/>
    <w:rsid w:val="00755E32"/>
    <w:rsid w:val="00756094"/>
    <w:rsid w:val="007600C8"/>
    <w:rsid w:val="007606EE"/>
    <w:rsid w:val="00760955"/>
    <w:rsid w:val="00760CCC"/>
    <w:rsid w:val="007610F6"/>
    <w:rsid w:val="00761206"/>
    <w:rsid w:val="0076127B"/>
    <w:rsid w:val="0076131F"/>
    <w:rsid w:val="00761349"/>
    <w:rsid w:val="00762937"/>
    <w:rsid w:val="00762A9C"/>
    <w:rsid w:val="007637FA"/>
    <w:rsid w:val="0076475B"/>
    <w:rsid w:val="00764FDF"/>
    <w:rsid w:val="007662E5"/>
    <w:rsid w:val="007663B6"/>
    <w:rsid w:val="00766555"/>
    <w:rsid w:val="00766D60"/>
    <w:rsid w:val="007673EA"/>
    <w:rsid w:val="0076753C"/>
    <w:rsid w:val="007676E8"/>
    <w:rsid w:val="00767B0B"/>
    <w:rsid w:val="00770571"/>
    <w:rsid w:val="00770701"/>
    <w:rsid w:val="00770DD9"/>
    <w:rsid w:val="007715F5"/>
    <w:rsid w:val="00771664"/>
    <w:rsid w:val="00771F04"/>
    <w:rsid w:val="00772247"/>
    <w:rsid w:val="00772439"/>
    <w:rsid w:val="00773256"/>
    <w:rsid w:val="007732AB"/>
    <w:rsid w:val="00773810"/>
    <w:rsid w:val="007750D8"/>
    <w:rsid w:val="00775200"/>
    <w:rsid w:val="00775C95"/>
    <w:rsid w:val="00775D37"/>
    <w:rsid w:val="00775EB8"/>
    <w:rsid w:val="00776014"/>
    <w:rsid w:val="00776276"/>
    <w:rsid w:val="00776514"/>
    <w:rsid w:val="0077726B"/>
    <w:rsid w:val="007803CA"/>
    <w:rsid w:val="00780B3F"/>
    <w:rsid w:val="00781132"/>
    <w:rsid w:val="00782276"/>
    <w:rsid w:val="0078270F"/>
    <w:rsid w:val="0078291F"/>
    <w:rsid w:val="00782CA9"/>
    <w:rsid w:val="0078321D"/>
    <w:rsid w:val="00783322"/>
    <w:rsid w:val="00783D1B"/>
    <w:rsid w:val="007847D4"/>
    <w:rsid w:val="00784A37"/>
    <w:rsid w:val="00784C59"/>
    <w:rsid w:val="00785566"/>
    <w:rsid w:val="00785666"/>
    <w:rsid w:val="0078580D"/>
    <w:rsid w:val="00786882"/>
    <w:rsid w:val="00786C9A"/>
    <w:rsid w:val="00786DDA"/>
    <w:rsid w:val="00787490"/>
    <w:rsid w:val="007874D2"/>
    <w:rsid w:val="00787D2A"/>
    <w:rsid w:val="00790043"/>
    <w:rsid w:val="0079025E"/>
    <w:rsid w:val="007902C0"/>
    <w:rsid w:val="0079057D"/>
    <w:rsid w:val="007911B6"/>
    <w:rsid w:val="007914F5"/>
    <w:rsid w:val="00791725"/>
    <w:rsid w:val="00792067"/>
    <w:rsid w:val="00792544"/>
    <w:rsid w:val="00793AAA"/>
    <w:rsid w:val="00794665"/>
    <w:rsid w:val="007946F8"/>
    <w:rsid w:val="00794710"/>
    <w:rsid w:val="00794A11"/>
    <w:rsid w:val="00795366"/>
    <w:rsid w:val="007955FA"/>
    <w:rsid w:val="00796196"/>
    <w:rsid w:val="00796696"/>
    <w:rsid w:val="00796C0F"/>
    <w:rsid w:val="007971C6"/>
    <w:rsid w:val="00797274"/>
    <w:rsid w:val="0079733F"/>
    <w:rsid w:val="007977BC"/>
    <w:rsid w:val="00797952"/>
    <w:rsid w:val="007A0574"/>
    <w:rsid w:val="007A1432"/>
    <w:rsid w:val="007A16BE"/>
    <w:rsid w:val="007A2C6A"/>
    <w:rsid w:val="007A3B76"/>
    <w:rsid w:val="007A4690"/>
    <w:rsid w:val="007A47D9"/>
    <w:rsid w:val="007A62F5"/>
    <w:rsid w:val="007A6500"/>
    <w:rsid w:val="007A68B4"/>
    <w:rsid w:val="007A6A64"/>
    <w:rsid w:val="007A6D5C"/>
    <w:rsid w:val="007A6D6A"/>
    <w:rsid w:val="007A73B1"/>
    <w:rsid w:val="007A743A"/>
    <w:rsid w:val="007B111D"/>
    <w:rsid w:val="007B1966"/>
    <w:rsid w:val="007B19C7"/>
    <w:rsid w:val="007B219F"/>
    <w:rsid w:val="007B21A8"/>
    <w:rsid w:val="007B2700"/>
    <w:rsid w:val="007B2B15"/>
    <w:rsid w:val="007B2B4F"/>
    <w:rsid w:val="007B2D55"/>
    <w:rsid w:val="007B2E94"/>
    <w:rsid w:val="007B3F99"/>
    <w:rsid w:val="007B5564"/>
    <w:rsid w:val="007B5834"/>
    <w:rsid w:val="007B59AC"/>
    <w:rsid w:val="007B5CD0"/>
    <w:rsid w:val="007B605D"/>
    <w:rsid w:val="007B6185"/>
    <w:rsid w:val="007B6305"/>
    <w:rsid w:val="007B6879"/>
    <w:rsid w:val="007B6B14"/>
    <w:rsid w:val="007B6D52"/>
    <w:rsid w:val="007B6EA1"/>
    <w:rsid w:val="007B6EF5"/>
    <w:rsid w:val="007B75A8"/>
    <w:rsid w:val="007B7D1A"/>
    <w:rsid w:val="007C023A"/>
    <w:rsid w:val="007C092A"/>
    <w:rsid w:val="007C0EB1"/>
    <w:rsid w:val="007C13F3"/>
    <w:rsid w:val="007C1D1C"/>
    <w:rsid w:val="007C241B"/>
    <w:rsid w:val="007C29D3"/>
    <w:rsid w:val="007C2CDF"/>
    <w:rsid w:val="007C2D6B"/>
    <w:rsid w:val="007C344D"/>
    <w:rsid w:val="007C35B4"/>
    <w:rsid w:val="007C3633"/>
    <w:rsid w:val="007C4076"/>
    <w:rsid w:val="007C4445"/>
    <w:rsid w:val="007C483D"/>
    <w:rsid w:val="007C493A"/>
    <w:rsid w:val="007C49A3"/>
    <w:rsid w:val="007C4B7A"/>
    <w:rsid w:val="007C4E01"/>
    <w:rsid w:val="007C51FF"/>
    <w:rsid w:val="007C540B"/>
    <w:rsid w:val="007C5567"/>
    <w:rsid w:val="007C55C2"/>
    <w:rsid w:val="007C5709"/>
    <w:rsid w:val="007C58F0"/>
    <w:rsid w:val="007C5E47"/>
    <w:rsid w:val="007C61C4"/>
    <w:rsid w:val="007C6BCF"/>
    <w:rsid w:val="007C6E71"/>
    <w:rsid w:val="007C78DA"/>
    <w:rsid w:val="007D014A"/>
    <w:rsid w:val="007D0841"/>
    <w:rsid w:val="007D25DF"/>
    <w:rsid w:val="007D2713"/>
    <w:rsid w:val="007D2757"/>
    <w:rsid w:val="007D3116"/>
    <w:rsid w:val="007D3445"/>
    <w:rsid w:val="007D3656"/>
    <w:rsid w:val="007D3DBD"/>
    <w:rsid w:val="007D49FA"/>
    <w:rsid w:val="007D549A"/>
    <w:rsid w:val="007D72C7"/>
    <w:rsid w:val="007D73DD"/>
    <w:rsid w:val="007D772C"/>
    <w:rsid w:val="007D7A32"/>
    <w:rsid w:val="007D7A36"/>
    <w:rsid w:val="007D7CCA"/>
    <w:rsid w:val="007E06E0"/>
    <w:rsid w:val="007E13D2"/>
    <w:rsid w:val="007E21A6"/>
    <w:rsid w:val="007E2812"/>
    <w:rsid w:val="007E33AC"/>
    <w:rsid w:val="007E3419"/>
    <w:rsid w:val="007E36AB"/>
    <w:rsid w:val="007E3AA9"/>
    <w:rsid w:val="007E4DA1"/>
    <w:rsid w:val="007E511B"/>
    <w:rsid w:val="007E5A60"/>
    <w:rsid w:val="007E5D03"/>
    <w:rsid w:val="007E5F2F"/>
    <w:rsid w:val="007E6939"/>
    <w:rsid w:val="007E6A3A"/>
    <w:rsid w:val="007E6B09"/>
    <w:rsid w:val="007E7301"/>
    <w:rsid w:val="007E741F"/>
    <w:rsid w:val="007E79C8"/>
    <w:rsid w:val="007E7A94"/>
    <w:rsid w:val="007E7E82"/>
    <w:rsid w:val="007F07DE"/>
    <w:rsid w:val="007F0F95"/>
    <w:rsid w:val="007F14CD"/>
    <w:rsid w:val="007F155F"/>
    <w:rsid w:val="007F1BBD"/>
    <w:rsid w:val="007F1CA0"/>
    <w:rsid w:val="007F25BD"/>
    <w:rsid w:val="007F287F"/>
    <w:rsid w:val="007F2CCB"/>
    <w:rsid w:val="007F3238"/>
    <w:rsid w:val="007F4570"/>
    <w:rsid w:val="007F5A3A"/>
    <w:rsid w:val="007F5DC5"/>
    <w:rsid w:val="007F6A29"/>
    <w:rsid w:val="007F761B"/>
    <w:rsid w:val="007F7637"/>
    <w:rsid w:val="007F76A0"/>
    <w:rsid w:val="007F7BE4"/>
    <w:rsid w:val="00800583"/>
    <w:rsid w:val="0080216D"/>
    <w:rsid w:val="008022FE"/>
    <w:rsid w:val="00802C77"/>
    <w:rsid w:val="008036C0"/>
    <w:rsid w:val="00804276"/>
    <w:rsid w:val="008047CE"/>
    <w:rsid w:val="00804B98"/>
    <w:rsid w:val="00804EF3"/>
    <w:rsid w:val="0080507D"/>
    <w:rsid w:val="008052CA"/>
    <w:rsid w:val="0080531C"/>
    <w:rsid w:val="0080573D"/>
    <w:rsid w:val="00805AF7"/>
    <w:rsid w:val="00805FA9"/>
    <w:rsid w:val="00806202"/>
    <w:rsid w:val="00806D81"/>
    <w:rsid w:val="00807D8E"/>
    <w:rsid w:val="00810A40"/>
    <w:rsid w:val="008110CD"/>
    <w:rsid w:val="0081157F"/>
    <w:rsid w:val="00811622"/>
    <w:rsid w:val="00811CD1"/>
    <w:rsid w:val="00812930"/>
    <w:rsid w:val="00812C84"/>
    <w:rsid w:val="00813261"/>
    <w:rsid w:val="00813985"/>
    <w:rsid w:val="008139FD"/>
    <w:rsid w:val="00813E32"/>
    <w:rsid w:val="00813F60"/>
    <w:rsid w:val="0081402B"/>
    <w:rsid w:val="00814176"/>
    <w:rsid w:val="0081446A"/>
    <w:rsid w:val="00814FEA"/>
    <w:rsid w:val="00817465"/>
    <w:rsid w:val="008202C3"/>
    <w:rsid w:val="00820AA7"/>
    <w:rsid w:val="00820D53"/>
    <w:rsid w:val="00820E93"/>
    <w:rsid w:val="00821270"/>
    <w:rsid w:val="00821AB1"/>
    <w:rsid w:val="00822102"/>
    <w:rsid w:val="00822EB0"/>
    <w:rsid w:val="00823753"/>
    <w:rsid w:val="0082382A"/>
    <w:rsid w:val="00826107"/>
    <w:rsid w:val="00826435"/>
    <w:rsid w:val="008267E6"/>
    <w:rsid w:val="00827795"/>
    <w:rsid w:val="00827874"/>
    <w:rsid w:val="00827A14"/>
    <w:rsid w:val="00830D9B"/>
    <w:rsid w:val="008316E5"/>
    <w:rsid w:val="00831794"/>
    <w:rsid w:val="00831E76"/>
    <w:rsid w:val="00832111"/>
    <w:rsid w:val="00832B0D"/>
    <w:rsid w:val="008334F3"/>
    <w:rsid w:val="0083361C"/>
    <w:rsid w:val="0083364D"/>
    <w:rsid w:val="00833ACF"/>
    <w:rsid w:val="00833C1C"/>
    <w:rsid w:val="0083400B"/>
    <w:rsid w:val="0083531D"/>
    <w:rsid w:val="00835412"/>
    <w:rsid w:val="008363ED"/>
    <w:rsid w:val="008365D7"/>
    <w:rsid w:val="00837A37"/>
    <w:rsid w:val="00837B24"/>
    <w:rsid w:val="00837CE8"/>
    <w:rsid w:val="00837E0B"/>
    <w:rsid w:val="00840280"/>
    <w:rsid w:val="008407EC"/>
    <w:rsid w:val="00840BBD"/>
    <w:rsid w:val="00840E88"/>
    <w:rsid w:val="00841BCA"/>
    <w:rsid w:val="0084210F"/>
    <w:rsid w:val="00842936"/>
    <w:rsid w:val="00842CFD"/>
    <w:rsid w:val="00842D0B"/>
    <w:rsid w:val="00844B20"/>
    <w:rsid w:val="00844D05"/>
    <w:rsid w:val="008450BF"/>
    <w:rsid w:val="00845B43"/>
    <w:rsid w:val="00845D2B"/>
    <w:rsid w:val="00846789"/>
    <w:rsid w:val="00846D20"/>
    <w:rsid w:val="00846D65"/>
    <w:rsid w:val="00846E2A"/>
    <w:rsid w:val="0085023E"/>
    <w:rsid w:val="008503AD"/>
    <w:rsid w:val="00851449"/>
    <w:rsid w:val="0085199A"/>
    <w:rsid w:val="00852926"/>
    <w:rsid w:val="00852CB0"/>
    <w:rsid w:val="00853310"/>
    <w:rsid w:val="00854264"/>
    <w:rsid w:val="00854C35"/>
    <w:rsid w:val="0085543F"/>
    <w:rsid w:val="008554AA"/>
    <w:rsid w:val="00855C75"/>
    <w:rsid w:val="0085652B"/>
    <w:rsid w:val="00856607"/>
    <w:rsid w:val="00856AAF"/>
    <w:rsid w:val="00857933"/>
    <w:rsid w:val="008602EB"/>
    <w:rsid w:val="00860866"/>
    <w:rsid w:val="00860CCA"/>
    <w:rsid w:val="00860F51"/>
    <w:rsid w:val="00860F56"/>
    <w:rsid w:val="008615CC"/>
    <w:rsid w:val="008616B6"/>
    <w:rsid w:val="00861890"/>
    <w:rsid w:val="008621CD"/>
    <w:rsid w:val="00862305"/>
    <w:rsid w:val="00862AD8"/>
    <w:rsid w:val="008632A7"/>
    <w:rsid w:val="008635F3"/>
    <w:rsid w:val="0086393A"/>
    <w:rsid w:val="00863C8C"/>
    <w:rsid w:val="0086437B"/>
    <w:rsid w:val="008648A2"/>
    <w:rsid w:val="00864CCB"/>
    <w:rsid w:val="00865698"/>
    <w:rsid w:val="008659D3"/>
    <w:rsid w:val="00866636"/>
    <w:rsid w:val="00866715"/>
    <w:rsid w:val="00866EBB"/>
    <w:rsid w:val="008671B8"/>
    <w:rsid w:val="0086761E"/>
    <w:rsid w:val="008678BE"/>
    <w:rsid w:val="00867946"/>
    <w:rsid w:val="00867ECB"/>
    <w:rsid w:val="00870B15"/>
    <w:rsid w:val="008716F2"/>
    <w:rsid w:val="00871951"/>
    <w:rsid w:val="00871AC2"/>
    <w:rsid w:val="00871C44"/>
    <w:rsid w:val="008722E5"/>
    <w:rsid w:val="00872444"/>
    <w:rsid w:val="0087400D"/>
    <w:rsid w:val="008740DA"/>
    <w:rsid w:val="00874411"/>
    <w:rsid w:val="00874742"/>
    <w:rsid w:val="00874AEB"/>
    <w:rsid w:val="00876755"/>
    <w:rsid w:val="00877311"/>
    <w:rsid w:val="008773E7"/>
    <w:rsid w:val="00880226"/>
    <w:rsid w:val="00880827"/>
    <w:rsid w:val="00881D6B"/>
    <w:rsid w:val="008828D4"/>
    <w:rsid w:val="00882AB0"/>
    <w:rsid w:val="00882E65"/>
    <w:rsid w:val="00882E7B"/>
    <w:rsid w:val="00883064"/>
    <w:rsid w:val="00883264"/>
    <w:rsid w:val="008836AF"/>
    <w:rsid w:val="008838BA"/>
    <w:rsid w:val="008838F2"/>
    <w:rsid w:val="0088397D"/>
    <w:rsid w:val="00883A3C"/>
    <w:rsid w:val="00883AB0"/>
    <w:rsid w:val="00883BBB"/>
    <w:rsid w:val="00884CA1"/>
    <w:rsid w:val="00885586"/>
    <w:rsid w:val="008861B5"/>
    <w:rsid w:val="00886613"/>
    <w:rsid w:val="00886908"/>
    <w:rsid w:val="00886A8B"/>
    <w:rsid w:val="008879F1"/>
    <w:rsid w:val="00887D9F"/>
    <w:rsid w:val="008901EF"/>
    <w:rsid w:val="008904F8"/>
    <w:rsid w:val="008906CE"/>
    <w:rsid w:val="00891080"/>
    <w:rsid w:val="00891318"/>
    <w:rsid w:val="008918BA"/>
    <w:rsid w:val="00891CDA"/>
    <w:rsid w:val="008926FD"/>
    <w:rsid w:val="00892745"/>
    <w:rsid w:val="00892796"/>
    <w:rsid w:val="00892969"/>
    <w:rsid w:val="00892ADC"/>
    <w:rsid w:val="0089362C"/>
    <w:rsid w:val="0089375B"/>
    <w:rsid w:val="00893B20"/>
    <w:rsid w:val="00894BB6"/>
    <w:rsid w:val="00894CD8"/>
    <w:rsid w:val="0089507D"/>
    <w:rsid w:val="00896A3F"/>
    <w:rsid w:val="008973EC"/>
    <w:rsid w:val="008A02A5"/>
    <w:rsid w:val="008A06DE"/>
    <w:rsid w:val="008A1646"/>
    <w:rsid w:val="008A2C4B"/>
    <w:rsid w:val="008A2DA2"/>
    <w:rsid w:val="008A2F64"/>
    <w:rsid w:val="008A32F7"/>
    <w:rsid w:val="008A32F9"/>
    <w:rsid w:val="008A3C63"/>
    <w:rsid w:val="008A40D7"/>
    <w:rsid w:val="008A4208"/>
    <w:rsid w:val="008A467F"/>
    <w:rsid w:val="008A510D"/>
    <w:rsid w:val="008A51AC"/>
    <w:rsid w:val="008A61D4"/>
    <w:rsid w:val="008A6781"/>
    <w:rsid w:val="008A6AE0"/>
    <w:rsid w:val="008A6C6E"/>
    <w:rsid w:val="008A720E"/>
    <w:rsid w:val="008A7239"/>
    <w:rsid w:val="008A752E"/>
    <w:rsid w:val="008B12B5"/>
    <w:rsid w:val="008B162C"/>
    <w:rsid w:val="008B27BE"/>
    <w:rsid w:val="008B3527"/>
    <w:rsid w:val="008B6318"/>
    <w:rsid w:val="008B6427"/>
    <w:rsid w:val="008B67E0"/>
    <w:rsid w:val="008B6B25"/>
    <w:rsid w:val="008B6F5A"/>
    <w:rsid w:val="008B7877"/>
    <w:rsid w:val="008B7FDA"/>
    <w:rsid w:val="008C0BF4"/>
    <w:rsid w:val="008C0D65"/>
    <w:rsid w:val="008C129C"/>
    <w:rsid w:val="008C1ABE"/>
    <w:rsid w:val="008C1D20"/>
    <w:rsid w:val="008C2CBC"/>
    <w:rsid w:val="008C34F6"/>
    <w:rsid w:val="008C3C26"/>
    <w:rsid w:val="008C4032"/>
    <w:rsid w:val="008C4252"/>
    <w:rsid w:val="008C48BB"/>
    <w:rsid w:val="008C4F16"/>
    <w:rsid w:val="008C51F3"/>
    <w:rsid w:val="008C5532"/>
    <w:rsid w:val="008C6EBA"/>
    <w:rsid w:val="008C6FED"/>
    <w:rsid w:val="008C71E0"/>
    <w:rsid w:val="008D0200"/>
    <w:rsid w:val="008D0678"/>
    <w:rsid w:val="008D0760"/>
    <w:rsid w:val="008D08AF"/>
    <w:rsid w:val="008D13A9"/>
    <w:rsid w:val="008D1639"/>
    <w:rsid w:val="008D2017"/>
    <w:rsid w:val="008D2802"/>
    <w:rsid w:val="008D2CDC"/>
    <w:rsid w:val="008D313E"/>
    <w:rsid w:val="008D3BE2"/>
    <w:rsid w:val="008D3FFE"/>
    <w:rsid w:val="008D419F"/>
    <w:rsid w:val="008D494C"/>
    <w:rsid w:val="008D5567"/>
    <w:rsid w:val="008D560F"/>
    <w:rsid w:val="008D5670"/>
    <w:rsid w:val="008D5B0C"/>
    <w:rsid w:val="008D65CC"/>
    <w:rsid w:val="008D69AA"/>
    <w:rsid w:val="008D70B4"/>
    <w:rsid w:val="008D73CC"/>
    <w:rsid w:val="008D7471"/>
    <w:rsid w:val="008D7A2E"/>
    <w:rsid w:val="008D7A87"/>
    <w:rsid w:val="008E018E"/>
    <w:rsid w:val="008E02BB"/>
    <w:rsid w:val="008E06FD"/>
    <w:rsid w:val="008E088F"/>
    <w:rsid w:val="008E10E0"/>
    <w:rsid w:val="008E1575"/>
    <w:rsid w:val="008E1ABE"/>
    <w:rsid w:val="008E2DF3"/>
    <w:rsid w:val="008E2F5E"/>
    <w:rsid w:val="008E3025"/>
    <w:rsid w:val="008E307B"/>
    <w:rsid w:val="008E338D"/>
    <w:rsid w:val="008E3874"/>
    <w:rsid w:val="008E3982"/>
    <w:rsid w:val="008E3A6E"/>
    <w:rsid w:val="008E3ABD"/>
    <w:rsid w:val="008E3ECF"/>
    <w:rsid w:val="008E4BB1"/>
    <w:rsid w:val="008E515B"/>
    <w:rsid w:val="008E5553"/>
    <w:rsid w:val="008E5583"/>
    <w:rsid w:val="008E5871"/>
    <w:rsid w:val="008E5B65"/>
    <w:rsid w:val="008E739B"/>
    <w:rsid w:val="008F03B7"/>
    <w:rsid w:val="008F0ABC"/>
    <w:rsid w:val="008F1B74"/>
    <w:rsid w:val="008F1C59"/>
    <w:rsid w:val="008F250C"/>
    <w:rsid w:val="008F3031"/>
    <w:rsid w:val="008F3A32"/>
    <w:rsid w:val="008F3D2E"/>
    <w:rsid w:val="008F401C"/>
    <w:rsid w:val="008F410A"/>
    <w:rsid w:val="008F410C"/>
    <w:rsid w:val="008F520D"/>
    <w:rsid w:val="008F58D4"/>
    <w:rsid w:val="008F6CD3"/>
    <w:rsid w:val="008F6DD2"/>
    <w:rsid w:val="008F6F0E"/>
    <w:rsid w:val="008F72FF"/>
    <w:rsid w:val="0090067F"/>
    <w:rsid w:val="00900838"/>
    <w:rsid w:val="00900B01"/>
    <w:rsid w:val="009018AB"/>
    <w:rsid w:val="0090247E"/>
    <w:rsid w:val="00903496"/>
    <w:rsid w:val="00903CB0"/>
    <w:rsid w:val="00904B4A"/>
    <w:rsid w:val="00905078"/>
    <w:rsid w:val="00905654"/>
    <w:rsid w:val="00905EED"/>
    <w:rsid w:val="009066CC"/>
    <w:rsid w:val="00907763"/>
    <w:rsid w:val="0090778D"/>
    <w:rsid w:val="00907EB3"/>
    <w:rsid w:val="00910B04"/>
    <w:rsid w:val="00910B0F"/>
    <w:rsid w:val="009110B9"/>
    <w:rsid w:val="009110BB"/>
    <w:rsid w:val="00911E2F"/>
    <w:rsid w:val="00911F51"/>
    <w:rsid w:val="00912135"/>
    <w:rsid w:val="009125B7"/>
    <w:rsid w:val="00912AD9"/>
    <w:rsid w:val="00912B1E"/>
    <w:rsid w:val="00912E2E"/>
    <w:rsid w:val="00912FFA"/>
    <w:rsid w:val="00914230"/>
    <w:rsid w:val="009142EF"/>
    <w:rsid w:val="00914CB8"/>
    <w:rsid w:val="00914F87"/>
    <w:rsid w:val="00915041"/>
    <w:rsid w:val="00915058"/>
    <w:rsid w:val="0091579F"/>
    <w:rsid w:val="00915920"/>
    <w:rsid w:val="0091662F"/>
    <w:rsid w:val="00916BC5"/>
    <w:rsid w:val="00920164"/>
    <w:rsid w:val="0092059A"/>
    <w:rsid w:val="0092115F"/>
    <w:rsid w:val="00921445"/>
    <w:rsid w:val="00921900"/>
    <w:rsid w:val="009228FB"/>
    <w:rsid w:val="0092337B"/>
    <w:rsid w:val="0092359F"/>
    <w:rsid w:val="00923690"/>
    <w:rsid w:val="009246A2"/>
    <w:rsid w:val="00924804"/>
    <w:rsid w:val="009257AE"/>
    <w:rsid w:val="00925959"/>
    <w:rsid w:val="00925B30"/>
    <w:rsid w:val="0092631C"/>
    <w:rsid w:val="0092692D"/>
    <w:rsid w:val="00926B83"/>
    <w:rsid w:val="00926F0D"/>
    <w:rsid w:val="009278FD"/>
    <w:rsid w:val="00927C26"/>
    <w:rsid w:val="00927F9C"/>
    <w:rsid w:val="009300AE"/>
    <w:rsid w:val="00930524"/>
    <w:rsid w:val="00930F0C"/>
    <w:rsid w:val="00931032"/>
    <w:rsid w:val="009314C7"/>
    <w:rsid w:val="00931B57"/>
    <w:rsid w:val="00932061"/>
    <w:rsid w:val="0093212C"/>
    <w:rsid w:val="009324C2"/>
    <w:rsid w:val="009330EF"/>
    <w:rsid w:val="009346C8"/>
    <w:rsid w:val="00934A05"/>
    <w:rsid w:val="00934FF8"/>
    <w:rsid w:val="00935764"/>
    <w:rsid w:val="00936316"/>
    <w:rsid w:val="00936C62"/>
    <w:rsid w:val="0093717B"/>
    <w:rsid w:val="00937241"/>
    <w:rsid w:val="009375DD"/>
    <w:rsid w:val="009377F3"/>
    <w:rsid w:val="0094014A"/>
    <w:rsid w:val="009407F2"/>
    <w:rsid w:val="00940CAA"/>
    <w:rsid w:val="00943324"/>
    <w:rsid w:val="00943B81"/>
    <w:rsid w:val="0094476F"/>
    <w:rsid w:val="00944AEC"/>
    <w:rsid w:val="00945145"/>
    <w:rsid w:val="009451D7"/>
    <w:rsid w:val="009453BC"/>
    <w:rsid w:val="00945717"/>
    <w:rsid w:val="0094592F"/>
    <w:rsid w:val="00945A25"/>
    <w:rsid w:val="00945C9F"/>
    <w:rsid w:val="00946921"/>
    <w:rsid w:val="00946EA4"/>
    <w:rsid w:val="00947B33"/>
    <w:rsid w:val="00947C0C"/>
    <w:rsid w:val="00950081"/>
    <w:rsid w:val="009507EB"/>
    <w:rsid w:val="009509E8"/>
    <w:rsid w:val="00950A92"/>
    <w:rsid w:val="009513C1"/>
    <w:rsid w:val="00952853"/>
    <w:rsid w:val="0095292E"/>
    <w:rsid w:val="00952989"/>
    <w:rsid w:val="009535D3"/>
    <w:rsid w:val="00953650"/>
    <w:rsid w:val="0095377F"/>
    <w:rsid w:val="00953CF1"/>
    <w:rsid w:val="00953FEC"/>
    <w:rsid w:val="0095401D"/>
    <w:rsid w:val="00954BCD"/>
    <w:rsid w:val="00954C42"/>
    <w:rsid w:val="00955B81"/>
    <w:rsid w:val="0095622D"/>
    <w:rsid w:val="00956B65"/>
    <w:rsid w:val="00957A73"/>
    <w:rsid w:val="009603CB"/>
    <w:rsid w:val="00960AF3"/>
    <w:rsid w:val="00962270"/>
    <w:rsid w:val="00962287"/>
    <w:rsid w:val="009628C3"/>
    <w:rsid w:val="00962A22"/>
    <w:rsid w:val="009636EC"/>
    <w:rsid w:val="00964300"/>
    <w:rsid w:val="009648C5"/>
    <w:rsid w:val="009648CF"/>
    <w:rsid w:val="00967557"/>
    <w:rsid w:val="00967B8F"/>
    <w:rsid w:val="009700F4"/>
    <w:rsid w:val="009710A3"/>
    <w:rsid w:val="00971322"/>
    <w:rsid w:val="00971A02"/>
    <w:rsid w:val="00973171"/>
    <w:rsid w:val="00973539"/>
    <w:rsid w:val="009735C4"/>
    <w:rsid w:val="00973E37"/>
    <w:rsid w:val="00973EB3"/>
    <w:rsid w:val="00973F24"/>
    <w:rsid w:val="00974D92"/>
    <w:rsid w:val="009750C9"/>
    <w:rsid w:val="00975F96"/>
    <w:rsid w:val="009760B4"/>
    <w:rsid w:val="009761F3"/>
    <w:rsid w:val="009766FA"/>
    <w:rsid w:val="0097682C"/>
    <w:rsid w:val="00976831"/>
    <w:rsid w:val="00976D65"/>
    <w:rsid w:val="00977536"/>
    <w:rsid w:val="009776BB"/>
    <w:rsid w:val="00981603"/>
    <w:rsid w:val="0098163B"/>
    <w:rsid w:val="00981CEE"/>
    <w:rsid w:val="009825BC"/>
    <w:rsid w:val="00982C76"/>
    <w:rsid w:val="00983424"/>
    <w:rsid w:val="00983800"/>
    <w:rsid w:val="00984055"/>
    <w:rsid w:val="0098463E"/>
    <w:rsid w:val="0098505E"/>
    <w:rsid w:val="00985296"/>
    <w:rsid w:val="00985525"/>
    <w:rsid w:val="0098585B"/>
    <w:rsid w:val="009858A4"/>
    <w:rsid w:val="00985C49"/>
    <w:rsid w:val="009863E4"/>
    <w:rsid w:val="00986B47"/>
    <w:rsid w:val="00986E50"/>
    <w:rsid w:val="00987579"/>
    <w:rsid w:val="009875EB"/>
    <w:rsid w:val="00990371"/>
    <w:rsid w:val="009904FC"/>
    <w:rsid w:val="00990D6F"/>
    <w:rsid w:val="00991289"/>
    <w:rsid w:val="0099161D"/>
    <w:rsid w:val="00992512"/>
    <w:rsid w:val="009929FF"/>
    <w:rsid w:val="00992C18"/>
    <w:rsid w:val="00993425"/>
    <w:rsid w:val="00993694"/>
    <w:rsid w:val="00994500"/>
    <w:rsid w:val="0099508F"/>
    <w:rsid w:val="00995323"/>
    <w:rsid w:val="0099576E"/>
    <w:rsid w:val="00995C2D"/>
    <w:rsid w:val="009964C8"/>
    <w:rsid w:val="00997339"/>
    <w:rsid w:val="0099735E"/>
    <w:rsid w:val="00997579"/>
    <w:rsid w:val="009976CD"/>
    <w:rsid w:val="009A0164"/>
    <w:rsid w:val="009A15F4"/>
    <w:rsid w:val="009A1895"/>
    <w:rsid w:val="009A1AFC"/>
    <w:rsid w:val="009A1C4B"/>
    <w:rsid w:val="009A2296"/>
    <w:rsid w:val="009A24B4"/>
    <w:rsid w:val="009A2CFA"/>
    <w:rsid w:val="009A30B4"/>
    <w:rsid w:val="009A3432"/>
    <w:rsid w:val="009A3692"/>
    <w:rsid w:val="009A3745"/>
    <w:rsid w:val="009A3E39"/>
    <w:rsid w:val="009A47DB"/>
    <w:rsid w:val="009A4C73"/>
    <w:rsid w:val="009A4D89"/>
    <w:rsid w:val="009A4EC8"/>
    <w:rsid w:val="009A58BC"/>
    <w:rsid w:val="009A5BE5"/>
    <w:rsid w:val="009A5D1B"/>
    <w:rsid w:val="009A6611"/>
    <w:rsid w:val="009A70B3"/>
    <w:rsid w:val="009A70BB"/>
    <w:rsid w:val="009A7B87"/>
    <w:rsid w:val="009A7CA3"/>
    <w:rsid w:val="009B03DC"/>
    <w:rsid w:val="009B0590"/>
    <w:rsid w:val="009B06FE"/>
    <w:rsid w:val="009B0AFB"/>
    <w:rsid w:val="009B11E0"/>
    <w:rsid w:val="009B1634"/>
    <w:rsid w:val="009B1A3A"/>
    <w:rsid w:val="009B2E83"/>
    <w:rsid w:val="009B34D3"/>
    <w:rsid w:val="009B38E4"/>
    <w:rsid w:val="009B455A"/>
    <w:rsid w:val="009B5100"/>
    <w:rsid w:val="009B5421"/>
    <w:rsid w:val="009B59F3"/>
    <w:rsid w:val="009B5AB0"/>
    <w:rsid w:val="009B5D61"/>
    <w:rsid w:val="009B6737"/>
    <w:rsid w:val="009B681E"/>
    <w:rsid w:val="009B6A7E"/>
    <w:rsid w:val="009C0138"/>
    <w:rsid w:val="009C07E8"/>
    <w:rsid w:val="009C113C"/>
    <w:rsid w:val="009C14E1"/>
    <w:rsid w:val="009C15EB"/>
    <w:rsid w:val="009C191F"/>
    <w:rsid w:val="009C1A42"/>
    <w:rsid w:val="009C1AA4"/>
    <w:rsid w:val="009C1C3E"/>
    <w:rsid w:val="009C2E33"/>
    <w:rsid w:val="009C3292"/>
    <w:rsid w:val="009C39CF"/>
    <w:rsid w:val="009C4385"/>
    <w:rsid w:val="009C47C8"/>
    <w:rsid w:val="009C4D12"/>
    <w:rsid w:val="009C4E42"/>
    <w:rsid w:val="009C50ED"/>
    <w:rsid w:val="009C5384"/>
    <w:rsid w:val="009C53C7"/>
    <w:rsid w:val="009C5968"/>
    <w:rsid w:val="009C59B2"/>
    <w:rsid w:val="009C5DEE"/>
    <w:rsid w:val="009C600C"/>
    <w:rsid w:val="009C60D2"/>
    <w:rsid w:val="009C6152"/>
    <w:rsid w:val="009C6A83"/>
    <w:rsid w:val="009C6FCA"/>
    <w:rsid w:val="009C7040"/>
    <w:rsid w:val="009C7E22"/>
    <w:rsid w:val="009D12F8"/>
    <w:rsid w:val="009D16FF"/>
    <w:rsid w:val="009D19EC"/>
    <w:rsid w:val="009D1BB7"/>
    <w:rsid w:val="009D2193"/>
    <w:rsid w:val="009D26C6"/>
    <w:rsid w:val="009D33E2"/>
    <w:rsid w:val="009D3C68"/>
    <w:rsid w:val="009D3D78"/>
    <w:rsid w:val="009D3DEF"/>
    <w:rsid w:val="009D447E"/>
    <w:rsid w:val="009D5647"/>
    <w:rsid w:val="009D5979"/>
    <w:rsid w:val="009D5B40"/>
    <w:rsid w:val="009D6E49"/>
    <w:rsid w:val="009D70EA"/>
    <w:rsid w:val="009D7BFD"/>
    <w:rsid w:val="009E0194"/>
    <w:rsid w:val="009E0947"/>
    <w:rsid w:val="009E13E7"/>
    <w:rsid w:val="009E1B7E"/>
    <w:rsid w:val="009E303D"/>
    <w:rsid w:val="009E39EE"/>
    <w:rsid w:val="009E46E8"/>
    <w:rsid w:val="009E46FC"/>
    <w:rsid w:val="009E5270"/>
    <w:rsid w:val="009E652B"/>
    <w:rsid w:val="009E6B05"/>
    <w:rsid w:val="009E6EA8"/>
    <w:rsid w:val="009E7643"/>
    <w:rsid w:val="009F190A"/>
    <w:rsid w:val="009F2215"/>
    <w:rsid w:val="009F2436"/>
    <w:rsid w:val="009F311C"/>
    <w:rsid w:val="009F3232"/>
    <w:rsid w:val="009F33AF"/>
    <w:rsid w:val="009F3595"/>
    <w:rsid w:val="009F363D"/>
    <w:rsid w:val="009F3A80"/>
    <w:rsid w:val="009F3BBF"/>
    <w:rsid w:val="009F4474"/>
    <w:rsid w:val="009F4A8D"/>
    <w:rsid w:val="009F559B"/>
    <w:rsid w:val="009F5F62"/>
    <w:rsid w:val="009F6563"/>
    <w:rsid w:val="009F6CCE"/>
    <w:rsid w:val="00A00B43"/>
    <w:rsid w:val="00A011FC"/>
    <w:rsid w:val="00A01925"/>
    <w:rsid w:val="00A01B41"/>
    <w:rsid w:val="00A01BDD"/>
    <w:rsid w:val="00A020A7"/>
    <w:rsid w:val="00A028D0"/>
    <w:rsid w:val="00A03613"/>
    <w:rsid w:val="00A03A8C"/>
    <w:rsid w:val="00A04672"/>
    <w:rsid w:val="00A05EDB"/>
    <w:rsid w:val="00A06993"/>
    <w:rsid w:val="00A106C0"/>
    <w:rsid w:val="00A106C7"/>
    <w:rsid w:val="00A109AF"/>
    <w:rsid w:val="00A114BA"/>
    <w:rsid w:val="00A11617"/>
    <w:rsid w:val="00A11BD1"/>
    <w:rsid w:val="00A11CB4"/>
    <w:rsid w:val="00A11F24"/>
    <w:rsid w:val="00A120CA"/>
    <w:rsid w:val="00A129EF"/>
    <w:rsid w:val="00A12B02"/>
    <w:rsid w:val="00A12C3F"/>
    <w:rsid w:val="00A12C8B"/>
    <w:rsid w:val="00A130E0"/>
    <w:rsid w:val="00A130E5"/>
    <w:rsid w:val="00A13325"/>
    <w:rsid w:val="00A13C3C"/>
    <w:rsid w:val="00A13D09"/>
    <w:rsid w:val="00A14B4C"/>
    <w:rsid w:val="00A151A2"/>
    <w:rsid w:val="00A1559F"/>
    <w:rsid w:val="00A157AD"/>
    <w:rsid w:val="00A16641"/>
    <w:rsid w:val="00A16A1E"/>
    <w:rsid w:val="00A173E7"/>
    <w:rsid w:val="00A1786B"/>
    <w:rsid w:val="00A2020E"/>
    <w:rsid w:val="00A2059A"/>
    <w:rsid w:val="00A20CB5"/>
    <w:rsid w:val="00A211D9"/>
    <w:rsid w:val="00A21398"/>
    <w:rsid w:val="00A21BE2"/>
    <w:rsid w:val="00A21D02"/>
    <w:rsid w:val="00A22152"/>
    <w:rsid w:val="00A225E5"/>
    <w:rsid w:val="00A22708"/>
    <w:rsid w:val="00A227C5"/>
    <w:rsid w:val="00A2311D"/>
    <w:rsid w:val="00A233C5"/>
    <w:rsid w:val="00A236DE"/>
    <w:rsid w:val="00A23A42"/>
    <w:rsid w:val="00A23F7D"/>
    <w:rsid w:val="00A24408"/>
    <w:rsid w:val="00A25145"/>
    <w:rsid w:val="00A25C35"/>
    <w:rsid w:val="00A26F32"/>
    <w:rsid w:val="00A27CCA"/>
    <w:rsid w:val="00A3090E"/>
    <w:rsid w:val="00A30EB9"/>
    <w:rsid w:val="00A31919"/>
    <w:rsid w:val="00A32054"/>
    <w:rsid w:val="00A32521"/>
    <w:rsid w:val="00A32EA2"/>
    <w:rsid w:val="00A3350D"/>
    <w:rsid w:val="00A35087"/>
    <w:rsid w:val="00A352CF"/>
    <w:rsid w:val="00A35575"/>
    <w:rsid w:val="00A3580F"/>
    <w:rsid w:val="00A362AC"/>
    <w:rsid w:val="00A373E2"/>
    <w:rsid w:val="00A375AB"/>
    <w:rsid w:val="00A37701"/>
    <w:rsid w:val="00A378DC"/>
    <w:rsid w:val="00A37A56"/>
    <w:rsid w:val="00A37BAB"/>
    <w:rsid w:val="00A4057C"/>
    <w:rsid w:val="00A40E86"/>
    <w:rsid w:val="00A42142"/>
    <w:rsid w:val="00A427D9"/>
    <w:rsid w:val="00A42B21"/>
    <w:rsid w:val="00A42EC6"/>
    <w:rsid w:val="00A435CB"/>
    <w:rsid w:val="00A45023"/>
    <w:rsid w:val="00A45329"/>
    <w:rsid w:val="00A456CC"/>
    <w:rsid w:val="00A457EA"/>
    <w:rsid w:val="00A4666A"/>
    <w:rsid w:val="00A467FE"/>
    <w:rsid w:val="00A47478"/>
    <w:rsid w:val="00A47DB2"/>
    <w:rsid w:val="00A500B9"/>
    <w:rsid w:val="00A505B3"/>
    <w:rsid w:val="00A5088E"/>
    <w:rsid w:val="00A50A40"/>
    <w:rsid w:val="00A50A99"/>
    <w:rsid w:val="00A50CC9"/>
    <w:rsid w:val="00A512F8"/>
    <w:rsid w:val="00A51490"/>
    <w:rsid w:val="00A514BE"/>
    <w:rsid w:val="00A51BBB"/>
    <w:rsid w:val="00A52E1B"/>
    <w:rsid w:val="00A53F2A"/>
    <w:rsid w:val="00A544F6"/>
    <w:rsid w:val="00A5457F"/>
    <w:rsid w:val="00A54EFE"/>
    <w:rsid w:val="00A554E6"/>
    <w:rsid w:val="00A55AEA"/>
    <w:rsid w:val="00A57666"/>
    <w:rsid w:val="00A61B31"/>
    <w:rsid w:val="00A61CED"/>
    <w:rsid w:val="00A625AC"/>
    <w:rsid w:val="00A63660"/>
    <w:rsid w:val="00A63A0B"/>
    <w:rsid w:val="00A63CF1"/>
    <w:rsid w:val="00A64759"/>
    <w:rsid w:val="00A64EBC"/>
    <w:rsid w:val="00A65478"/>
    <w:rsid w:val="00A65D6D"/>
    <w:rsid w:val="00A66280"/>
    <w:rsid w:val="00A6674E"/>
    <w:rsid w:val="00A66D59"/>
    <w:rsid w:val="00A670BE"/>
    <w:rsid w:val="00A67141"/>
    <w:rsid w:val="00A6761A"/>
    <w:rsid w:val="00A67898"/>
    <w:rsid w:val="00A71482"/>
    <w:rsid w:val="00A716F0"/>
    <w:rsid w:val="00A717B5"/>
    <w:rsid w:val="00A7217A"/>
    <w:rsid w:val="00A72E7E"/>
    <w:rsid w:val="00A73D62"/>
    <w:rsid w:val="00A7416D"/>
    <w:rsid w:val="00A74335"/>
    <w:rsid w:val="00A743F7"/>
    <w:rsid w:val="00A75B71"/>
    <w:rsid w:val="00A75D5E"/>
    <w:rsid w:val="00A764BB"/>
    <w:rsid w:val="00A77C38"/>
    <w:rsid w:val="00A8066C"/>
    <w:rsid w:val="00A806E8"/>
    <w:rsid w:val="00A8081E"/>
    <w:rsid w:val="00A815D0"/>
    <w:rsid w:val="00A817DB"/>
    <w:rsid w:val="00A81E9A"/>
    <w:rsid w:val="00A82A14"/>
    <w:rsid w:val="00A82E70"/>
    <w:rsid w:val="00A83CE7"/>
    <w:rsid w:val="00A840E1"/>
    <w:rsid w:val="00A84102"/>
    <w:rsid w:val="00A84245"/>
    <w:rsid w:val="00A8495F"/>
    <w:rsid w:val="00A84A91"/>
    <w:rsid w:val="00A85B93"/>
    <w:rsid w:val="00A85D95"/>
    <w:rsid w:val="00A864D9"/>
    <w:rsid w:val="00A86E37"/>
    <w:rsid w:val="00A87976"/>
    <w:rsid w:val="00A87DAD"/>
    <w:rsid w:val="00A9103D"/>
    <w:rsid w:val="00A91B75"/>
    <w:rsid w:val="00A91F46"/>
    <w:rsid w:val="00A92219"/>
    <w:rsid w:val="00A93B41"/>
    <w:rsid w:val="00A93C76"/>
    <w:rsid w:val="00A94154"/>
    <w:rsid w:val="00A94784"/>
    <w:rsid w:val="00A94A81"/>
    <w:rsid w:val="00A94AA6"/>
    <w:rsid w:val="00A94B45"/>
    <w:rsid w:val="00A94C27"/>
    <w:rsid w:val="00A956A5"/>
    <w:rsid w:val="00A95DF6"/>
    <w:rsid w:val="00A96A45"/>
    <w:rsid w:val="00A97328"/>
    <w:rsid w:val="00A976C1"/>
    <w:rsid w:val="00AA0B37"/>
    <w:rsid w:val="00AA0B4E"/>
    <w:rsid w:val="00AA0CB3"/>
    <w:rsid w:val="00AA1924"/>
    <w:rsid w:val="00AA1B12"/>
    <w:rsid w:val="00AA1DE7"/>
    <w:rsid w:val="00AA26F2"/>
    <w:rsid w:val="00AA3AA9"/>
    <w:rsid w:val="00AA3D10"/>
    <w:rsid w:val="00AA3FC9"/>
    <w:rsid w:val="00AA4F4C"/>
    <w:rsid w:val="00AA595E"/>
    <w:rsid w:val="00AA6764"/>
    <w:rsid w:val="00AA774D"/>
    <w:rsid w:val="00AA78A1"/>
    <w:rsid w:val="00AA7FA8"/>
    <w:rsid w:val="00AB0061"/>
    <w:rsid w:val="00AB0318"/>
    <w:rsid w:val="00AB045C"/>
    <w:rsid w:val="00AB0C0E"/>
    <w:rsid w:val="00AB0C9D"/>
    <w:rsid w:val="00AB0D16"/>
    <w:rsid w:val="00AB1152"/>
    <w:rsid w:val="00AB1390"/>
    <w:rsid w:val="00AB1A90"/>
    <w:rsid w:val="00AB1B8F"/>
    <w:rsid w:val="00AB21DD"/>
    <w:rsid w:val="00AB27A9"/>
    <w:rsid w:val="00AB2BD4"/>
    <w:rsid w:val="00AB2CA3"/>
    <w:rsid w:val="00AB4589"/>
    <w:rsid w:val="00AB4C1D"/>
    <w:rsid w:val="00AB5414"/>
    <w:rsid w:val="00AB56B3"/>
    <w:rsid w:val="00AB5D9A"/>
    <w:rsid w:val="00AB6A5A"/>
    <w:rsid w:val="00AB6BE4"/>
    <w:rsid w:val="00AB6FF2"/>
    <w:rsid w:val="00AB73D5"/>
    <w:rsid w:val="00AC031F"/>
    <w:rsid w:val="00AC0368"/>
    <w:rsid w:val="00AC040D"/>
    <w:rsid w:val="00AC0F6D"/>
    <w:rsid w:val="00AC224F"/>
    <w:rsid w:val="00AC294C"/>
    <w:rsid w:val="00AC2B58"/>
    <w:rsid w:val="00AC2BCC"/>
    <w:rsid w:val="00AC2D18"/>
    <w:rsid w:val="00AC3183"/>
    <w:rsid w:val="00AC39BA"/>
    <w:rsid w:val="00AC39BE"/>
    <w:rsid w:val="00AC3B0A"/>
    <w:rsid w:val="00AC3C93"/>
    <w:rsid w:val="00AC416E"/>
    <w:rsid w:val="00AC44A4"/>
    <w:rsid w:val="00AC4AA4"/>
    <w:rsid w:val="00AC4B45"/>
    <w:rsid w:val="00AC54B9"/>
    <w:rsid w:val="00AC5FAE"/>
    <w:rsid w:val="00AC6396"/>
    <w:rsid w:val="00AC64A0"/>
    <w:rsid w:val="00AC68BE"/>
    <w:rsid w:val="00AC7340"/>
    <w:rsid w:val="00AD03F5"/>
    <w:rsid w:val="00AD0AF2"/>
    <w:rsid w:val="00AD11A8"/>
    <w:rsid w:val="00AD161D"/>
    <w:rsid w:val="00AD2F9B"/>
    <w:rsid w:val="00AD2FF1"/>
    <w:rsid w:val="00AD381A"/>
    <w:rsid w:val="00AD3F02"/>
    <w:rsid w:val="00AD4888"/>
    <w:rsid w:val="00AD488C"/>
    <w:rsid w:val="00AD4A06"/>
    <w:rsid w:val="00AD4AE0"/>
    <w:rsid w:val="00AD56E9"/>
    <w:rsid w:val="00AD5B7B"/>
    <w:rsid w:val="00AD5D04"/>
    <w:rsid w:val="00AD6AE2"/>
    <w:rsid w:val="00AD6C34"/>
    <w:rsid w:val="00AD721C"/>
    <w:rsid w:val="00AD7830"/>
    <w:rsid w:val="00AE0B8C"/>
    <w:rsid w:val="00AE165F"/>
    <w:rsid w:val="00AE1D1D"/>
    <w:rsid w:val="00AE1D8D"/>
    <w:rsid w:val="00AE2499"/>
    <w:rsid w:val="00AE2830"/>
    <w:rsid w:val="00AE289C"/>
    <w:rsid w:val="00AE2BDC"/>
    <w:rsid w:val="00AE32E4"/>
    <w:rsid w:val="00AE3318"/>
    <w:rsid w:val="00AE3545"/>
    <w:rsid w:val="00AE3835"/>
    <w:rsid w:val="00AE3A19"/>
    <w:rsid w:val="00AE3DEC"/>
    <w:rsid w:val="00AE503C"/>
    <w:rsid w:val="00AE5A12"/>
    <w:rsid w:val="00AE662F"/>
    <w:rsid w:val="00AE6F6C"/>
    <w:rsid w:val="00AE71B8"/>
    <w:rsid w:val="00AE72FF"/>
    <w:rsid w:val="00AE731B"/>
    <w:rsid w:val="00AE744D"/>
    <w:rsid w:val="00AE779E"/>
    <w:rsid w:val="00AE7A64"/>
    <w:rsid w:val="00AF0039"/>
    <w:rsid w:val="00AF0134"/>
    <w:rsid w:val="00AF0185"/>
    <w:rsid w:val="00AF0387"/>
    <w:rsid w:val="00AF040D"/>
    <w:rsid w:val="00AF08A3"/>
    <w:rsid w:val="00AF0F3D"/>
    <w:rsid w:val="00AF12AD"/>
    <w:rsid w:val="00AF224B"/>
    <w:rsid w:val="00AF3455"/>
    <w:rsid w:val="00AF39EC"/>
    <w:rsid w:val="00AF4C02"/>
    <w:rsid w:val="00AF4E4D"/>
    <w:rsid w:val="00AF5020"/>
    <w:rsid w:val="00AF5724"/>
    <w:rsid w:val="00AF5938"/>
    <w:rsid w:val="00AF5E4E"/>
    <w:rsid w:val="00AF6B5A"/>
    <w:rsid w:val="00AF6C0D"/>
    <w:rsid w:val="00AF6C21"/>
    <w:rsid w:val="00AF748D"/>
    <w:rsid w:val="00AF75ED"/>
    <w:rsid w:val="00AF79FA"/>
    <w:rsid w:val="00AF7FB8"/>
    <w:rsid w:val="00B0017F"/>
    <w:rsid w:val="00B01E4E"/>
    <w:rsid w:val="00B01EC7"/>
    <w:rsid w:val="00B020A5"/>
    <w:rsid w:val="00B028B6"/>
    <w:rsid w:val="00B02A63"/>
    <w:rsid w:val="00B02E08"/>
    <w:rsid w:val="00B02F63"/>
    <w:rsid w:val="00B03785"/>
    <w:rsid w:val="00B0391E"/>
    <w:rsid w:val="00B04106"/>
    <w:rsid w:val="00B046CB"/>
    <w:rsid w:val="00B048F0"/>
    <w:rsid w:val="00B04F21"/>
    <w:rsid w:val="00B0503B"/>
    <w:rsid w:val="00B06137"/>
    <w:rsid w:val="00B06163"/>
    <w:rsid w:val="00B07093"/>
    <w:rsid w:val="00B07253"/>
    <w:rsid w:val="00B073EB"/>
    <w:rsid w:val="00B07558"/>
    <w:rsid w:val="00B075D1"/>
    <w:rsid w:val="00B07E65"/>
    <w:rsid w:val="00B1088A"/>
    <w:rsid w:val="00B10E06"/>
    <w:rsid w:val="00B10EA7"/>
    <w:rsid w:val="00B1149A"/>
    <w:rsid w:val="00B11D09"/>
    <w:rsid w:val="00B1212A"/>
    <w:rsid w:val="00B12357"/>
    <w:rsid w:val="00B12509"/>
    <w:rsid w:val="00B12B7A"/>
    <w:rsid w:val="00B133C2"/>
    <w:rsid w:val="00B135E7"/>
    <w:rsid w:val="00B13793"/>
    <w:rsid w:val="00B13B33"/>
    <w:rsid w:val="00B13D27"/>
    <w:rsid w:val="00B14159"/>
    <w:rsid w:val="00B15E3D"/>
    <w:rsid w:val="00B162E9"/>
    <w:rsid w:val="00B17B98"/>
    <w:rsid w:val="00B17F86"/>
    <w:rsid w:val="00B20AD6"/>
    <w:rsid w:val="00B2194A"/>
    <w:rsid w:val="00B219D0"/>
    <w:rsid w:val="00B22061"/>
    <w:rsid w:val="00B22143"/>
    <w:rsid w:val="00B233D0"/>
    <w:rsid w:val="00B24697"/>
    <w:rsid w:val="00B249B6"/>
    <w:rsid w:val="00B26321"/>
    <w:rsid w:val="00B27672"/>
    <w:rsid w:val="00B2790D"/>
    <w:rsid w:val="00B3034A"/>
    <w:rsid w:val="00B30A90"/>
    <w:rsid w:val="00B31797"/>
    <w:rsid w:val="00B32A9C"/>
    <w:rsid w:val="00B33384"/>
    <w:rsid w:val="00B33424"/>
    <w:rsid w:val="00B34012"/>
    <w:rsid w:val="00B3449B"/>
    <w:rsid w:val="00B34A76"/>
    <w:rsid w:val="00B34B3D"/>
    <w:rsid w:val="00B3559E"/>
    <w:rsid w:val="00B36487"/>
    <w:rsid w:val="00B36623"/>
    <w:rsid w:val="00B3664D"/>
    <w:rsid w:val="00B369F7"/>
    <w:rsid w:val="00B36AFC"/>
    <w:rsid w:val="00B37734"/>
    <w:rsid w:val="00B37DC4"/>
    <w:rsid w:val="00B37F59"/>
    <w:rsid w:val="00B40394"/>
    <w:rsid w:val="00B40433"/>
    <w:rsid w:val="00B407A8"/>
    <w:rsid w:val="00B409E9"/>
    <w:rsid w:val="00B40AC1"/>
    <w:rsid w:val="00B40D00"/>
    <w:rsid w:val="00B410D1"/>
    <w:rsid w:val="00B41480"/>
    <w:rsid w:val="00B416A1"/>
    <w:rsid w:val="00B41A28"/>
    <w:rsid w:val="00B41FDE"/>
    <w:rsid w:val="00B42068"/>
    <w:rsid w:val="00B42076"/>
    <w:rsid w:val="00B42A84"/>
    <w:rsid w:val="00B43C93"/>
    <w:rsid w:val="00B43D3E"/>
    <w:rsid w:val="00B43D9F"/>
    <w:rsid w:val="00B44613"/>
    <w:rsid w:val="00B44B4E"/>
    <w:rsid w:val="00B450B1"/>
    <w:rsid w:val="00B45767"/>
    <w:rsid w:val="00B45AD0"/>
    <w:rsid w:val="00B463CF"/>
    <w:rsid w:val="00B46D0F"/>
    <w:rsid w:val="00B46DF6"/>
    <w:rsid w:val="00B47491"/>
    <w:rsid w:val="00B4754E"/>
    <w:rsid w:val="00B4796F"/>
    <w:rsid w:val="00B47CF0"/>
    <w:rsid w:val="00B501BE"/>
    <w:rsid w:val="00B50532"/>
    <w:rsid w:val="00B506B1"/>
    <w:rsid w:val="00B51137"/>
    <w:rsid w:val="00B5154E"/>
    <w:rsid w:val="00B518BF"/>
    <w:rsid w:val="00B51A29"/>
    <w:rsid w:val="00B53115"/>
    <w:rsid w:val="00B53B65"/>
    <w:rsid w:val="00B542AE"/>
    <w:rsid w:val="00B544A5"/>
    <w:rsid w:val="00B544CA"/>
    <w:rsid w:val="00B55DBA"/>
    <w:rsid w:val="00B56CD7"/>
    <w:rsid w:val="00B56EF3"/>
    <w:rsid w:val="00B57476"/>
    <w:rsid w:val="00B578FA"/>
    <w:rsid w:val="00B579E1"/>
    <w:rsid w:val="00B57C93"/>
    <w:rsid w:val="00B61BC0"/>
    <w:rsid w:val="00B61CB3"/>
    <w:rsid w:val="00B625B7"/>
    <w:rsid w:val="00B627B5"/>
    <w:rsid w:val="00B6309C"/>
    <w:rsid w:val="00B63D8E"/>
    <w:rsid w:val="00B64005"/>
    <w:rsid w:val="00B64C6A"/>
    <w:rsid w:val="00B650B4"/>
    <w:rsid w:val="00B652C4"/>
    <w:rsid w:val="00B65347"/>
    <w:rsid w:val="00B65DF9"/>
    <w:rsid w:val="00B66DFC"/>
    <w:rsid w:val="00B66FC1"/>
    <w:rsid w:val="00B673EC"/>
    <w:rsid w:val="00B67778"/>
    <w:rsid w:val="00B679DA"/>
    <w:rsid w:val="00B67B4C"/>
    <w:rsid w:val="00B7086F"/>
    <w:rsid w:val="00B709B3"/>
    <w:rsid w:val="00B70F0C"/>
    <w:rsid w:val="00B70F13"/>
    <w:rsid w:val="00B726D5"/>
    <w:rsid w:val="00B73636"/>
    <w:rsid w:val="00B73B0B"/>
    <w:rsid w:val="00B75617"/>
    <w:rsid w:val="00B75822"/>
    <w:rsid w:val="00B7585D"/>
    <w:rsid w:val="00B75AE7"/>
    <w:rsid w:val="00B764E5"/>
    <w:rsid w:val="00B77AE3"/>
    <w:rsid w:val="00B77DB5"/>
    <w:rsid w:val="00B8009D"/>
    <w:rsid w:val="00B8023D"/>
    <w:rsid w:val="00B803D5"/>
    <w:rsid w:val="00B807DC"/>
    <w:rsid w:val="00B81848"/>
    <w:rsid w:val="00B81F58"/>
    <w:rsid w:val="00B8226B"/>
    <w:rsid w:val="00B83274"/>
    <w:rsid w:val="00B832C0"/>
    <w:rsid w:val="00B83323"/>
    <w:rsid w:val="00B83722"/>
    <w:rsid w:val="00B84E32"/>
    <w:rsid w:val="00B85023"/>
    <w:rsid w:val="00B85B76"/>
    <w:rsid w:val="00B86AA0"/>
    <w:rsid w:val="00B86FB1"/>
    <w:rsid w:val="00B87247"/>
    <w:rsid w:val="00B87501"/>
    <w:rsid w:val="00B87E49"/>
    <w:rsid w:val="00B9013D"/>
    <w:rsid w:val="00B9054A"/>
    <w:rsid w:val="00B90747"/>
    <w:rsid w:val="00B90B8A"/>
    <w:rsid w:val="00B90D10"/>
    <w:rsid w:val="00B910BB"/>
    <w:rsid w:val="00B910D5"/>
    <w:rsid w:val="00B91D36"/>
    <w:rsid w:val="00B92497"/>
    <w:rsid w:val="00B926E6"/>
    <w:rsid w:val="00B93319"/>
    <w:rsid w:val="00B9376D"/>
    <w:rsid w:val="00B93DF8"/>
    <w:rsid w:val="00B94618"/>
    <w:rsid w:val="00B95507"/>
    <w:rsid w:val="00B956A4"/>
    <w:rsid w:val="00B958F1"/>
    <w:rsid w:val="00B95EEA"/>
    <w:rsid w:val="00B966E0"/>
    <w:rsid w:val="00B97B3E"/>
    <w:rsid w:val="00B97D25"/>
    <w:rsid w:val="00B97F22"/>
    <w:rsid w:val="00BA0787"/>
    <w:rsid w:val="00BA0D0C"/>
    <w:rsid w:val="00BA1D16"/>
    <w:rsid w:val="00BA274F"/>
    <w:rsid w:val="00BA3F61"/>
    <w:rsid w:val="00BA42AC"/>
    <w:rsid w:val="00BA5165"/>
    <w:rsid w:val="00BA532E"/>
    <w:rsid w:val="00BA5F52"/>
    <w:rsid w:val="00BA67CD"/>
    <w:rsid w:val="00BA6B9B"/>
    <w:rsid w:val="00BA7437"/>
    <w:rsid w:val="00BA79B8"/>
    <w:rsid w:val="00BA7B58"/>
    <w:rsid w:val="00BA7C8A"/>
    <w:rsid w:val="00BB000F"/>
    <w:rsid w:val="00BB0C7E"/>
    <w:rsid w:val="00BB10E0"/>
    <w:rsid w:val="00BB1346"/>
    <w:rsid w:val="00BB13A1"/>
    <w:rsid w:val="00BB15F1"/>
    <w:rsid w:val="00BB1B0E"/>
    <w:rsid w:val="00BB1E1C"/>
    <w:rsid w:val="00BB211D"/>
    <w:rsid w:val="00BB274A"/>
    <w:rsid w:val="00BB2CAE"/>
    <w:rsid w:val="00BB3D6C"/>
    <w:rsid w:val="00BB4938"/>
    <w:rsid w:val="00BB4A7C"/>
    <w:rsid w:val="00BB5350"/>
    <w:rsid w:val="00BB584A"/>
    <w:rsid w:val="00BB5BEB"/>
    <w:rsid w:val="00BB5C45"/>
    <w:rsid w:val="00BB61F0"/>
    <w:rsid w:val="00BB6C72"/>
    <w:rsid w:val="00BB6ECF"/>
    <w:rsid w:val="00BB6F3D"/>
    <w:rsid w:val="00BB75B7"/>
    <w:rsid w:val="00BC0795"/>
    <w:rsid w:val="00BC091D"/>
    <w:rsid w:val="00BC0D94"/>
    <w:rsid w:val="00BC0E39"/>
    <w:rsid w:val="00BC1B91"/>
    <w:rsid w:val="00BC2862"/>
    <w:rsid w:val="00BC28A7"/>
    <w:rsid w:val="00BC2E6E"/>
    <w:rsid w:val="00BC345A"/>
    <w:rsid w:val="00BC3AA4"/>
    <w:rsid w:val="00BC3B04"/>
    <w:rsid w:val="00BC478E"/>
    <w:rsid w:val="00BC5696"/>
    <w:rsid w:val="00BC5897"/>
    <w:rsid w:val="00BC5D36"/>
    <w:rsid w:val="00BC6AD4"/>
    <w:rsid w:val="00BC7214"/>
    <w:rsid w:val="00BC7573"/>
    <w:rsid w:val="00BC76F2"/>
    <w:rsid w:val="00BD014C"/>
    <w:rsid w:val="00BD0442"/>
    <w:rsid w:val="00BD1FF0"/>
    <w:rsid w:val="00BD3185"/>
    <w:rsid w:val="00BD3245"/>
    <w:rsid w:val="00BD359A"/>
    <w:rsid w:val="00BD3A67"/>
    <w:rsid w:val="00BD47D0"/>
    <w:rsid w:val="00BD49D1"/>
    <w:rsid w:val="00BD4AAC"/>
    <w:rsid w:val="00BD52D8"/>
    <w:rsid w:val="00BD69AA"/>
    <w:rsid w:val="00BD6B10"/>
    <w:rsid w:val="00BD6C1C"/>
    <w:rsid w:val="00BD6FF1"/>
    <w:rsid w:val="00BD73C1"/>
    <w:rsid w:val="00BD788A"/>
    <w:rsid w:val="00BE0975"/>
    <w:rsid w:val="00BE0BF1"/>
    <w:rsid w:val="00BE0FF4"/>
    <w:rsid w:val="00BE13BF"/>
    <w:rsid w:val="00BE14B7"/>
    <w:rsid w:val="00BE151E"/>
    <w:rsid w:val="00BE1639"/>
    <w:rsid w:val="00BE219B"/>
    <w:rsid w:val="00BE21A1"/>
    <w:rsid w:val="00BE2234"/>
    <w:rsid w:val="00BE2B6A"/>
    <w:rsid w:val="00BE3BBE"/>
    <w:rsid w:val="00BE4009"/>
    <w:rsid w:val="00BE41E7"/>
    <w:rsid w:val="00BE4225"/>
    <w:rsid w:val="00BE4229"/>
    <w:rsid w:val="00BE4390"/>
    <w:rsid w:val="00BE4BFF"/>
    <w:rsid w:val="00BE5081"/>
    <w:rsid w:val="00BE58C5"/>
    <w:rsid w:val="00BE5E41"/>
    <w:rsid w:val="00BE5E70"/>
    <w:rsid w:val="00BE6378"/>
    <w:rsid w:val="00BE6445"/>
    <w:rsid w:val="00BE6734"/>
    <w:rsid w:val="00BE680A"/>
    <w:rsid w:val="00BE7565"/>
    <w:rsid w:val="00BF03EB"/>
    <w:rsid w:val="00BF0573"/>
    <w:rsid w:val="00BF138A"/>
    <w:rsid w:val="00BF1B95"/>
    <w:rsid w:val="00BF220D"/>
    <w:rsid w:val="00BF311A"/>
    <w:rsid w:val="00BF33C2"/>
    <w:rsid w:val="00BF7002"/>
    <w:rsid w:val="00BF7254"/>
    <w:rsid w:val="00BF7441"/>
    <w:rsid w:val="00BF7AE9"/>
    <w:rsid w:val="00C00423"/>
    <w:rsid w:val="00C007AC"/>
    <w:rsid w:val="00C00D57"/>
    <w:rsid w:val="00C00ED6"/>
    <w:rsid w:val="00C00FDF"/>
    <w:rsid w:val="00C023FC"/>
    <w:rsid w:val="00C02521"/>
    <w:rsid w:val="00C0281D"/>
    <w:rsid w:val="00C02AC0"/>
    <w:rsid w:val="00C03110"/>
    <w:rsid w:val="00C035F0"/>
    <w:rsid w:val="00C036AF"/>
    <w:rsid w:val="00C0403A"/>
    <w:rsid w:val="00C044D7"/>
    <w:rsid w:val="00C04960"/>
    <w:rsid w:val="00C049B2"/>
    <w:rsid w:val="00C04F3D"/>
    <w:rsid w:val="00C05652"/>
    <w:rsid w:val="00C05D3D"/>
    <w:rsid w:val="00C060FF"/>
    <w:rsid w:val="00C062DF"/>
    <w:rsid w:val="00C067ED"/>
    <w:rsid w:val="00C068CA"/>
    <w:rsid w:val="00C069BC"/>
    <w:rsid w:val="00C0728D"/>
    <w:rsid w:val="00C07616"/>
    <w:rsid w:val="00C077F7"/>
    <w:rsid w:val="00C10998"/>
    <w:rsid w:val="00C1112C"/>
    <w:rsid w:val="00C114C4"/>
    <w:rsid w:val="00C117AB"/>
    <w:rsid w:val="00C123D4"/>
    <w:rsid w:val="00C12740"/>
    <w:rsid w:val="00C12B1E"/>
    <w:rsid w:val="00C12E4C"/>
    <w:rsid w:val="00C13613"/>
    <w:rsid w:val="00C13806"/>
    <w:rsid w:val="00C13938"/>
    <w:rsid w:val="00C140EF"/>
    <w:rsid w:val="00C14EF9"/>
    <w:rsid w:val="00C152CE"/>
    <w:rsid w:val="00C1545C"/>
    <w:rsid w:val="00C15B0D"/>
    <w:rsid w:val="00C15BDC"/>
    <w:rsid w:val="00C161A5"/>
    <w:rsid w:val="00C16A3B"/>
    <w:rsid w:val="00C17733"/>
    <w:rsid w:val="00C179D2"/>
    <w:rsid w:val="00C206C4"/>
    <w:rsid w:val="00C20A40"/>
    <w:rsid w:val="00C2135A"/>
    <w:rsid w:val="00C215B0"/>
    <w:rsid w:val="00C215BB"/>
    <w:rsid w:val="00C21B0E"/>
    <w:rsid w:val="00C21D3F"/>
    <w:rsid w:val="00C21E82"/>
    <w:rsid w:val="00C22A62"/>
    <w:rsid w:val="00C22FB7"/>
    <w:rsid w:val="00C23042"/>
    <w:rsid w:val="00C23102"/>
    <w:rsid w:val="00C2340B"/>
    <w:rsid w:val="00C23688"/>
    <w:rsid w:val="00C23C85"/>
    <w:rsid w:val="00C23DAC"/>
    <w:rsid w:val="00C23FEF"/>
    <w:rsid w:val="00C2435E"/>
    <w:rsid w:val="00C24498"/>
    <w:rsid w:val="00C24A4C"/>
    <w:rsid w:val="00C24BF5"/>
    <w:rsid w:val="00C25246"/>
    <w:rsid w:val="00C25A94"/>
    <w:rsid w:val="00C26450"/>
    <w:rsid w:val="00C264B8"/>
    <w:rsid w:val="00C269CE"/>
    <w:rsid w:val="00C303AA"/>
    <w:rsid w:val="00C30A17"/>
    <w:rsid w:val="00C30D2E"/>
    <w:rsid w:val="00C30EB0"/>
    <w:rsid w:val="00C31134"/>
    <w:rsid w:val="00C3290A"/>
    <w:rsid w:val="00C32C2B"/>
    <w:rsid w:val="00C32EC4"/>
    <w:rsid w:val="00C32ECA"/>
    <w:rsid w:val="00C34127"/>
    <w:rsid w:val="00C34151"/>
    <w:rsid w:val="00C34211"/>
    <w:rsid w:val="00C34742"/>
    <w:rsid w:val="00C349DF"/>
    <w:rsid w:val="00C34A4D"/>
    <w:rsid w:val="00C34B61"/>
    <w:rsid w:val="00C34D06"/>
    <w:rsid w:val="00C35474"/>
    <w:rsid w:val="00C35797"/>
    <w:rsid w:val="00C35D03"/>
    <w:rsid w:val="00C35F5E"/>
    <w:rsid w:val="00C35FE2"/>
    <w:rsid w:val="00C376F3"/>
    <w:rsid w:val="00C379FC"/>
    <w:rsid w:val="00C37C05"/>
    <w:rsid w:val="00C406A8"/>
    <w:rsid w:val="00C40741"/>
    <w:rsid w:val="00C40C69"/>
    <w:rsid w:val="00C4103B"/>
    <w:rsid w:val="00C411D3"/>
    <w:rsid w:val="00C41680"/>
    <w:rsid w:val="00C417A1"/>
    <w:rsid w:val="00C41C87"/>
    <w:rsid w:val="00C41CC0"/>
    <w:rsid w:val="00C420C2"/>
    <w:rsid w:val="00C42769"/>
    <w:rsid w:val="00C42841"/>
    <w:rsid w:val="00C429C0"/>
    <w:rsid w:val="00C42B3D"/>
    <w:rsid w:val="00C42C0A"/>
    <w:rsid w:val="00C42CCC"/>
    <w:rsid w:val="00C42FF8"/>
    <w:rsid w:val="00C43595"/>
    <w:rsid w:val="00C43DD9"/>
    <w:rsid w:val="00C4400B"/>
    <w:rsid w:val="00C440B2"/>
    <w:rsid w:val="00C44870"/>
    <w:rsid w:val="00C44C9B"/>
    <w:rsid w:val="00C450B5"/>
    <w:rsid w:val="00C45892"/>
    <w:rsid w:val="00C46A6F"/>
    <w:rsid w:val="00C476DA"/>
    <w:rsid w:val="00C50EB6"/>
    <w:rsid w:val="00C5139A"/>
    <w:rsid w:val="00C51CDD"/>
    <w:rsid w:val="00C52133"/>
    <w:rsid w:val="00C5287E"/>
    <w:rsid w:val="00C538D5"/>
    <w:rsid w:val="00C5437B"/>
    <w:rsid w:val="00C546FE"/>
    <w:rsid w:val="00C55211"/>
    <w:rsid w:val="00C55E02"/>
    <w:rsid w:val="00C56927"/>
    <w:rsid w:val="00C57804"/>
    <w:rsid w:val="00C6099A"/>
    <w:rsid w:val="00C60F58"/>
    <w:rsid w:val="00C610EF"/>
    <w:rsid w:val="00C61B34"/>
    <w:rsid w:val="00C61EF1"/>
    <w:rsid w:val="00C62D0A"/>
    <w:rsid w:val="00C6311F"/>
    <w:rsid w:val="00C6382F"/>
    <w:rsid w:val="00C63FCC"/>
    <w:rsid w:val="00C65B39"/>
    <w:rsid w:val="00C66328"/>
    <w:rsid w:val="00C66516"/>
    <w:rsid w:val="00C66549"/>
    <w:rsid w:val="00C666F6"/>
    <w:rsid w:val="00C67626"/>
    <w:rsid w:val="00C67885"/>
    <w:rsid w:val="00C7065D"/>
    <w:rsid w:val="00C70713"/>
    <w:rsid w:val="00C709FC"/>
    <w:rsid w:val="00C70A1E"/>
    <w:rsid w:val="00C712A2"/>
    <w:rsid w:val="00C71DD8"/>
    <w:rsid w:val="00C720EF"/>
    <w:rsid w:val="00C7273B"/>
    <w:rsid w:val="00C72E7B"/>
    <w:rsid w:val="00C738FC"/>
    <w:rsid w:val="00C7656F"/>
    <w:rsid w:val="00C76834"/>
    <w:rsid w:val="00C76C00"/>
    <w:rsid w:val="00C76D19"/>
    <w:rsid w:val="00C76D20"/>
    <w:rsid w:val="00C7703B"/>
    <w:rsid w:val="00C774B8"/>
    <w:rsid w:val="00C77640"/>
    <w:rsid w:val="00C804F5"/>
    <w:rsid w:val="00C80B49"/>
    <w:rsid w:val="00C81863"/>
    <w:rsid w:val="00C81FF4"/>
    <w:rsid w:val="00C8201F"/>
    <w:rsid w:val="00C82CE4"/>
    <w:rsid w:val="00C82DD1"/>
    <w:rsid w:val="00C83858"/>
    <w:rsid w:val="00C83ACD"/>
    <w:rsid w:val="00C83AD1"/>
    <w:rsid w:val="00C83ADB"/>
    <w:rsid w:val="00C841A8"/>
    <w:rsid w:val="00C8426E"/>
    <w:rsid w:val="00C848CC"/>
    <w:rsid w:val="00C849DC"/>
    <w:rsid w:val="00C84D2E"/>
    <w:rsid w:val="00C850BA"/>
    <w:rsid w:val="00C8558C"/>
    <w:rsid w:val="00C85F42"/>
    <w:rsid w:val="00C86F6A"/>
    <w:rsid w:val="00C876C3"/>
    <w:rsid w:val="00C877A9"/>
    <w:rsid w:val="00C90255"/>
    <w:rsid w:val="00C910B5"/>
    <w:rsid w:val="00C9146C"/>
    <w:rsid w:val="00C91DCB"/>
    <w:rsid w:val="00C92EC7"/>
    <w:rsid w:val="00C9333C"/>
    <w:rsid w:val="00C935F1"/>
    <w:rsid w:val="00C939B8"/>
    <w:rsid w:val="00C93C78"/>
    <w:rsid w:val="00C94820"/>
    <w:rsid w:val="00C95692"/>
    <w:rsid w:val="00C96F6E"/>
    <w:rsid w:val="00C96FF3"/>
    <w:rsid w:val="00C97454"/>
    <w:rsid w:val="00C9788C"/>
    <w:rsid w:val="00C97FCD"/>
    <w:rsid w:val="00CA00C6"/>
    <w:rsid w:val="00CA03A1"/>
    <w:rsid w:val="00CA0821"/>
    <w:rsid w:val="00CA085C"/>
    <w:rsid w:val="00CA125E"/>
    <w:rsid w:val="00CA1447"/>
    <w:rsid w:val="00CA1767"/>
    <w:rsid w:val="00CA27CC"/>
    <w:rsid w:val="00CA27F5"/>
    <w:rsid w:val="00CA2A80"/>
    <w:rsid w:val="00CA2BEE"/>
    <w:rsid w:val="00CA3439"/>
    <w:rsid w:val="00CA36CC"/>
    <w:rsid w:val="00CA47D4"/>
    <w:rsid w:val="00CA62C5"/>
    <w:rsid w:val="00CA77D9"/>
    <w:rsid w:val="00CA7B10"/>
    <w:rsid w:val="00CB04FA"/>
    <w:rsid w:val="00CB1769"/>
    <w:rsid w:val="00CB1CC3"/>
    <w:rsid w:val="00CB1DF7"/>
    <w:rsid w:val="00CB1FB3"/>
    <w:rsid w:val="00CB2352"/>
    <w:rsid w:val="00CB2D82"/>
    <w:rsid w:val="00CB43F7"/>
    <w:rsid w:val="00CB4514"/>
    <w:rsid w:val="00CB4C9E"/>
    <w:rsid w:val="00CB5210"/>
    <w:rsid w:val="00CB55AB"/>
    <w:rsid w:val="00CB5B4D"/>
    <w:rsid w:val="00CB5EDE"/>
    <w:rsid w:val="00CB70A7"/>
    <w:rsid w:val="00CB7523"/>
    <w:rsid w:val="00CB77DD"/>
    <w:rsid w:val="00CB7B2E"/>
    <w:rsid w:val="00CC08D4"/>
    <w:rsid w:val="00CC0985"/>
    <w:rsid w:val="00CC1DA8"/>
    <w:rsid w:val="00CC25B3"/>
    <w:rsid w:val="00CC26F1"/>
    <w:rsid w:val="00CC2899"/>
    <w:rsid w:val="00CC2D98"/>
    <w:rsid w:val="00CC3019"/>
    <w:rsid w:val="00CC3212"/>
    <w:rsid w:val="00CC3512"/>
    <w:rsid w:val="00CC4EFD"/>
    <w:rsid w:val="00CC53A9"/>
    <w:rsid w:val="00CC5B8C"/>
    <w:rsid w:val="00CC5C43"/>
    <w:rsid w:val="00CC5DF0"/>
    <w:rsid w:val="00CC5F1A"/>
    <w:rsid w:val="00CC6267"/>
    <w:rsid w:val="00CC654D"/>
    <w:rsid w:val="00CC71E5"/>
    <w:rsid w:val="00CC7F4C"/>
    <w:rsid w:val="00CD0176"/>
    <w:rsid w:val="00CD06AF"/>
    <w:rsid w:val="00CD09CE"/>
    <w:rsid w:val="00CD1D4A"/>
    <w:rsid w:val="00CD2922"/>
    <w:rsid w:val="00CD3688"/>
    <w:rsid w:val="00CD3758"/>
    <w:rsid w:val="00CD3799"/>
    <w:rsid w:val="00CD43FC"/>
    <w:rsid w:val="00CD46D6"/>
    <w:rsid w:val="00CD4E1E"/>
    <w:rsid w:val="00CD4F00"/>
    <w:rsid w:val="00CD5004"/>
    <w:rsid w:val="00CD5A2B"/>
    <w:rsid w:val="00CD5B80"/>
    <w:rsid w:val="00CD5D4B"/>
    <w:rsid w:val="00CD60FB"/>
    <w:rsid w:val="00CD69AE"/>
    <w:rsid w:val="00CD7A1C"/>
    <w:rsid w:val="00CE111F"/>
    <w:rsid w:val="00CE13C3"/>
    <w:rsid w:val="00CE151F"/>
    <w:rsid w:val="00CE180E"/>
    <w:rsid w:val="00CE1A9E"/>
    <w:rsid w:val="00CE1B90"/>
    <w:rsid w:val="00CE1D73"/>
    <w:rsid w:val="00CE1F97"/>
    <w:rsid w:val="00CE2B1B"/>
    <w:rsid w:val="00CE365F"/>
    <w:rsid w:val="00CE3CB2"/>
    <w:rsid w:val="00CE405D"/>
    <w:rsid w:val="00CE4205"/>
    <w:rsid w:val="00CE4A72"/>
    <w:rsid w:val="00CE5B26"/>
    <w:rsid w:val="00CE5F9A"/>
    <w:rsid w:val="00CE7DF9"/>
    <w:rsid w:val="00CF0047"/>
    <w:rsid w:val="00CF047C"/>
    <w:rsid w:val="00CF0680"/>
    <w:rsid w:val="00CF072B"/>
    <w:rsid w:val="00CF0B17"/>
    <w:rsid w:val="00CF0B5D"/>
    <w:rsid w:val="00CF1985"/>
    <w:rsid w:val="00CF1C21"/>
    <w:rsid w:val="00CF2158"/>
    <w:rsid w:val="00CF2431"/>
    <w:rsid w:val="00CF2664"/>
    <w:rsid w:val="00CF3BA2"/>
    <w:rsid w:val="00CF3BB1"/>
    <w:rsid w:val="00CF421F"/>
    <w:rsid w:val="00CF4492"/>
    <w:rsid w:val="00CF4CE1"/>
    <w:rsid w:val="00CF4E93"/>
    <w:rsid w:val="00CF6B9B"/>
    <w:rsid w:val="00D002F4"/>
    <w:rsid w:val="00D00788"/>
    <w:rsid w:val="00D0170D"/>
    <w:rsid w:val="00D0238D"/>
    <w:rsid w:val="00D02CB3"/>
    <w:rsid w:val="00D03106"/>
    <w:rsid w:val="00D03175"/>
    <w:rsid w:val="00D036F4"/>
    <w:rsid w:val="00D046E0"/>
    <w:rsid w:val="00D058DA"/>
    <w:rsid w:val="00D059AF"/>
    <w:rsid w:val="00D059B8"/>
    <w:rsid w:val="00D05A76"/>
    <w:rsid w:val="00D06AF9"/>
    <w:rsid w:val="00D06C3E"/>
    <w:rsid w:val="00D07E89"/>
    <w:rsid w:val="00D120B7"/>
    <w:rsid w:val="00D12DEF"/>
    <w:rsid w:val="00D12F18"/>
    <w:rsid w:val="00D132BB"/>
    <w:rsid w:val="00D13C98"/>
    <w:rsid w:val="00D13DBB"/>
    <w:rsid w:val="00D140D5"/>
    <w:rsid w:val="00D1412F"/>
    <w:rsid w:val="00D14E18"/>
    <w:rsid w:val="00D15A9C"/>
    <w:rsid w:val="00D15D82"/>
    <w:rsid w:val="00D160B4"/>
    <w:rsid w:val="00D16907"/>
    <w:rsid w:val="00D16C49"/>
    <w:rsid w:val="00D16E03"/>
    <w:rsid w:val="00D16E7F"/>
    <w:rsid w:val="00D178C9"/>
    <w:rsid w:val="00D204F2"/>
    <w:rsid w:val="00D20985"/>
    <w:rsid w:val="00D21701"/>
    <w:rsid w:val="00D22547"/>
    <w:rsid w:val="00D2290A"/>
    <w:rsid w:val="00D22E33"/>
    <w:rsid w:val="00D2304A"/>
    <w:rsid w:val="00D232EA"/>
    <w:rsid w:val="00D23577"/>
    <w:rsid w:val="00D23837"/>
    <w:rsid w:val="00D23CB7"/>
    <w:rsid w:val="00D23D06"/>
    <w:rsid w:val="00D247F3"/>
    <w:rsid w:val="00D24A2E"/>
    <w:rsid w:val="00D24DFD"/>
    <w:rsid w:val="00D251B6"/>
    <w:rsid w:val="00D252EE"/>
    <w:rsid w:val="00D25952"/>
    <w:rsid w:val="00D25968"/>
    <w:rsid w:val="00D25E03"/>
    <w:rsid w:val="00D263F5"/>
    <w:rsid w:val="00D265E5"/>
    <w:rsid w:val="00D26868"/>
    <w:rsid w:val="00D26870"/>
    <w:rsid w:val="00D27369"/>
    <w:rsid w:val="00D277C7"/>
    <w:rsid w:val="00D27C8B"/>
    <w:rsid w:val="00D30429"/>
    <w:rsid w:val="00D304DE"/>
    <w:rsid w:val="00D304E4"/>
    <w:rsid w:val="00D30FDE"/>
    <w:rsid w:val="00D317FE"/>
    <w:rsid w:val="00D321E6"/>
    <w:rsid w:val="00D32CDE"/>
    <w:rsid w:val="00D343DC"/>
    <w:rsid w:val="00D346C2"/>
    <w:rsid w:val="00D35683"/>
    <w:rsid w:val="00D35853"/>
    <w:rsid w:val="00D35928"/>
    <w:rsid w:val="00D36964"/>
    <w:rsid w:val="00D37152"/>
    <w:rsid w:val="00D37632"/>
    <w:rsid w:val="00D40162"/>
    <w:rsid w:val="00D4033A"/>
    <w:rsid w:val="00D41263"/>
    <w:rsid w:val="00D412C5"/>
    <w:rsid w:val="00D41520"/>
    <w:rsid w:val="00D417C7"/>
    <w:rsid w:val="00D418B3"/>
    <w:rsid w:val="00D42302"/>
    <w:rsid w:val="00D4252C"/>
    <w:rsid w:val="00D42614"/>
    <w:rsid w:val="00D42B05"/>
    <w:rsid w:val="00D42CFE"/>
    <w:rsid w:val="00D43330"/>
    <w:rsid w:val="00D438FA"/>
    <w:rsid w:val="00D44865"/>
    <w:rsid w:val="00D44B93"/>
    <w:rsid w:val="00D45F41"/>
    <w:rsid w:val="00D4690E"/>
    <w:rsid w:val="00D46FE2"/>
    <w:rsid w:val="00D5034A"/>
    <w:rsid w:val="00D50502"/>
    <w:rsid w:val="00D506A0"/>
    <w:rsid w:val="00D50C82"/>
    <w:rsid w:val="00D510D9"/>
    <w:rsid w:val="00D51416"/>
    <w:rsid w:val="00D529E9"/>
    <w:rsid w:val="00D52D62"/>
    <w:rsid w:val="00D52FAE"/>
    <w:rsid w:val="00D5310E"/>
    <w:rsid w:val="00D540ED"/>
    <w:rsid w:val="00D54281"/>
    <w:rsid w:val="00D54A4F"/>
    <w:rsid w:val="00D55D99"/>
    <w:rsid w:val="00D55F3E"/>
    <w:rsid w:val="00D560B6"/>
    <w:rsid w:val="00D56EF5"/>
    <w:rsid w:val="00D57686"/>
    <w:rsid w:val="00D57D40"/>
    <w:rsid w:val="00D57F64"/>
    <w:rsid w:val="00D57F73"/>
    <w:rsid w:val="00D6026D"/>
    <w:rsid w:val="00D60F1B"/>
    <w:rsid w:val="00D61248"/>
    <w:rsid w:val="00D618AA"/>
    <w:rsid w:val="00D623ED"/>
    <w:rsid w:val="00D62A3A"/>
    <w:rsid w:val="00D638FD"/>
    <w:rsid w:val="00D63FD7"/>
    <w:rsid w:val="00D64205"/>
    <w:rsid w:val="00D64879"/>
    <w:rsid w:val="00D64F29"/>
    <w:rsid w:val="00D65691"/>
    <w:rsid w:val="00D65813"/>
    <w:rsid w:val="00D65FF1"/>
    <w:rsid w:val="00D6647D"/>
    <w:rsid w:val="00D6651F"/>
    <w:rsid w:val="00D6652F"/>
    <w:rsid w:val="00D667A3"/>
    <w:rsid w:val="00D66B55"/>
    <w:rsid w:val="00D66FE5"/>
    <w:rsid w:val="00D67273"/>
    <w:rsid w:val="00D67AEA"/>
    <w:rsid w:val="00D67B8F"/>
    <w:rsid w:val="00D70433"/>
    <w:rsid w:val="00D70E8B"/>
    <w:rsid w:val="00D71177"/>
    <w:rsid w:val="00D7121D"/>
    <w:rsid w:val="00D724A1"/>
    <w:rsid w:val="00D730F3"/>
    <w:rsid w:val="00D736C9"/>
    <w:rsid w:val="00D74406"/>
    <w:rsid w:val="00D74615"/>
    <w:rsid w:val="00D74747"/>
    <w:rsid w:val="00D751CA"/>
    <w:rsid w:val="00D75968"/>
    <w:rsid w:val="00D75D42"/>
    <w:rsid w:val="00D76678"/>
    <w:rsid w:val="00D77B32"/>
    <w:rsid w:val="00D77D6F"/>
    <w:rsid w:val="00D80069"/>
    <w:rsid w:val="00D8018D"/>
    <w:rsid w:val="00D81508"/>
    <w:rsid w:val="00D81969"/>
    <w:rsid w:val="00D81999"/>
    <w:rsid w:val="00D81CAB"/>
    <w:rsid w:val="00D81F17"/>
    <w:rsid w:val="00D82888"/>
    <w:rsid w:val="00D828B0"/>
    <w:rsid w:val="00D83123"/>
    <w:rsid w:val="00D83391"/>
    <w:rsid w:val="00D83DD0"/>
    <w:rsid w:val="00D83EE1"/>
    <w:rsid w:val="00D84654"/>
    <w:rsid w:val="00D84DEA"/>
    <w:rsid w:val="00D84FF4"/>
    <w:rsid w:val="00D853EB"/>
    <w:rsid w:val="00D86DDE"/>
    <w:rsid w:val="00D8705D"/>
    <w:rsid w:val="00D87AF6"/>
    <w:rsid w:val="00D90276"/>
    <w:rsid w:val="00D907E6"/>
    <w:rsid w:val="00D908E2"/>
    <w:rsid w:val="00D90EF9"/>
    <w:rsid w:val="00D93FB0"/>
    <w:rsid w:val="00D9490F"/>
    <w:rsid w:val="00D94F61"/>
    <w:rsid w:val="00D95E99"/>
    <w:rsid w:val="00D9663A"/>
    <w:rsid w:val="00D96BD9"/>
    <w:rsid w:val="00D97C3B"/>
    <w:rsid w:val="00DA0317"/>
    <w:rsid w:val="00DA093D"/>
    <w:rsid w:val="00DA1B7D"/>
    <w:rsid w:val="00DA28D2"/>
    <w:rsid w:val="00DA2D45"/>
    <w:rsid w:val="00DA3385"/>
    <w:rsid w:val="00DA347D"/>
    <w:rsid w:val="00DA357C"/>
    <w:rsid w:val="00DA3B7A"/>
    <w:rsid w:val="00DA3C75"/>
    <w:rsid w:val="00DA401A"/>
    <w:rsid w:val="00DA40C8"/>
    <w:rsid w:val="00DA40E8"/>
    <w:rsid w:val="00DA43AA"/>
    <w:rsid w:val="00DA4A60"/>
    <w:rsid w:val="00DA519B"/>
    <w:rsid w:val="00DA544E"/>
    <w:rsid w:val="00DA557E"/>
    <w:rsid w:val="00DA55D1"/>
    <w:rsid w:val="00DA57E3"/>
    <w:rsid w:val="00DA6014"/>
    <w:rsid w:val="00DA6230"/>
    <w:rsid w:val="00DA68C1"/>
    <w:rsid w:val="00DA6DF1"/>
    <w:rsid w:val="00DA6FE2"/>
    <w:rsid w:val="00DB0822"/>
    <w:rsid w:val="00DB0ABF"/>
    <w:rsid w:val="00DB1FCD"/>
    <w:rsid w:val="00DB303B"/>
    <w:rsid w:val="00DB382B"/>
    <w:rsid w:val="00DB3931"/>
    <w:rsid w:val="00DB3F86"/>
    <w:rsid w:val="00DB467F"/>
    <w:rsid w:val="00DB4A08"/>
    <w:rsid w:val="00DB5460"/>
    <w:rsid w:val="00DB5A0F"/>
    <w:rsid w:val="00DB60C3"/>
    <w:rsid w:val="00DB63EF"/>
    <w:rsid w:val="00DB6A68"/>
    <w:rsid w:val="00DB6BFA"/>
    <w:rsid w:val="00DB70D0"/>
    <w:rsid w:val="00DC01EA"/>
    <w:rsid w:val="00DC025F"/>
    <w:rsid w:val="00DC04CE"/>
    <w:rsid w:val="00DC0942"/>
    <w:rsid w:val="00DC0CA0"/>
    <w:rsid w:val="00DC1B05"/>
    <w:rsid w:val="00DC22FA"/>
    <w:rsid w:val="00DC29DC"/>
    <w:rsid w:val="00DC46E4"/>
    <w:rsid w:val="00DC4A5A"/>
    <w:rsid w:val="00DC4D38"/>
    <w:rsid w:val="00DC517D"/>
    <w:rsid w:val="00DC53E8"/>
    <w:rsid w:val="00DC5611"/>
    <w:rsid w:val="00DC56CD"/>
    <w:rsid w:val="00DC5DC2"/>
    <w:rsid w:val="00DC5FE9"/>
    <w:rsid w:val="00DC60E7"/>
    <w:rsid w:val="00DC7DB8"/>
    <w:rsid w:val="00DD0AF2"/>
    <w:rsid w:val="00DD177D"/>
    <w:rsid w:val="00DD193F"/>
    <w:rsid w:val="00DD19C5"/>
    <w:rsid w:val="00DD1C59"/>
    <w:rsid w:val="00DD21D3"/>
    <w:rsid w:val="00DD25CA"/>
    <w:rsid w:val="00DD2AC8"/>
    <w:rsid w:val="00DD3180"/>
    <w:rsid w:val="00DD318A"/>
    <w:rsid w:val="00DD3586"/>
    <w:rsid w:val="00DD3643"/>
    <w:rsid w:val="00DD40D5"/>
    <w:rsid w:val="00DD4302"/>
    <w:rsid w:val="00DD4806"/>
    <w:rsid w:val="00DD4C7D"/>
    <w:rsid w:val="00DD5429"/>
    <w:rsid w:val="00DD5522"/>
    <w:rsid w:val="00DD6A33"/>
    <w:rsid w:val="00DD74C9"/>
    <w:rsid w:val="00DD7674"/>
    <w:rsid w:val="00DD78AE"/>
    <w:rsid w:val="00DD7A48"/>
    <w:rsid w:val="00DE0820"/>
    <w:rsid w:val="00DE0B23"/>
    <w:rsid w:val="00DE0C22"/>
    <w:rsid w:val="00DE13A4"/>
    <w:rsid w:val="00DE2313"/>
    <w:rsid w:val="00DE24FE"/>
    <w:rsid w:val="00DE28C8"/>
    <w:rsid w:val="00DE34B7"/>
    <w:rsid w:val="00DE4890"/>
    <w:rsid w:val="00DE4944"/>
    <w:rsid w:val="00DE4989"/>
    <w:rsid w:val="00DE4B90"/>
    <w:rsid w:val="00DE6116"/>
    <w:rsid w:val="00DE6678"/>
    <w:rsid w:val="00DE673C"/>
    <w:rsid w:val="00DE6A87"/>
    <w:rsid w:val="00DE6BC4"/>
    <w:rsid w:val="00DE6E07"/>
    <w:rsid w:val="00DE7168"/>
    <w:rsid w:val="00DE776F"/>
    <w:rsid w:val="00DE78B0"/>
    <w:rsid w:val="00DF0094"/>
    <w:rsid w:val="00DF05D9"/>
    <w:rsid w:val="00DF1FBA"/>
    <w:rsid w:val="00DF28AA"/>
    <w:rsid w:val="00DF2AB0"/>
    <w:rsid w:val="00DF3453"/>
    <w:rsid w:val="00DF367B"/>
    <w:rsid w:val="00DF39A8"/>
    <w:rsid w:val="00DF3B18"/>
    <w:rsid w:val="00DF3B4E"/>
    <w:rsid w:val="00DF43F7"/>
    <w:rsid w:val="00DF4439"/>
    <w:rsid w:val="00DF45AB"/>
    <w:rsid w:val="00DF4B3A"/>
    <w:rsid w:val="00DF5728"/>
    <w:rsid w:val="00DF5EB2"/>
    <w:rsid w:val="00DF6209"/>
    <w:rsid w:val="00DF68BF"/>
    <w:rsid w:val="00DF6B7E"/>
    <w:rsid w:val="00DF7002"/>
    <w:rsid w:val="00DF7942"/>
    <w:rsid w:val="00DF7A56"/>
    <w:rsid w:val="00E00099"/>
    <w:rsid w:val="00E00607"/>
    <w:rsid w:val="00E00C7C"/>
    <w:rsid w:val="00E00D3D"/>
    <w:rsid w:val="00E00E9B"/>
    <w:rsid w:val="00E017D0"/>
    <w:rsid w:val="00E01A43"/>
    <w:rsid w:val="00E020ED"/>
    <w:rsid w:val="00E023ED"/>
    <w:rsid w:val="00E023F5"/>
    <w:rsid w:val="00E0320D"/>
    <w:rsid w:val="00E0339C"/>
    <w:rsid w:val="00E038E1"/>
    <w:rsid w:val="00E0414F"/>
    <w:rsid w:val="00E04943"/>
    <w:rsid w:val="00E0581B"/>
    <w:rsid w:val="00E05870"/>
    <w:rsid w:val="00E058F3"/>
    <w:rsid w:val="00E05E10"/>
    <w:rsid w:val="00E07084"/>
    <w:rsid w:val="00E0755B"/>
    <w:rsid w:val="00E076CD"/>
    <w:rsid w:val="00E07D68"/>
    <w:rsid w:val="00E07DE5"/>
    <w:rsid w:val="00E1016F"/>
    <w:rsid w:val="00E101C1"/>
    <w:rsid w:val="00E105EE"/>
    <w:rsid w:val="00E11886"/>
    <w:rsid w:val="00E124C0"/>
    <w:rsid w:val="00E12BC1"/>
    <w:rsid w:val="00E12DD7"/>
    <w:rsid w:val="00E132FE"/>
    <w:rsid w:val="00E13BF9"/>
    <w:rsid w:val="00E13ECD"/>
    <w:rsid w:val="00E13ED5"/>
    <w:rsid w:val="00E13F62"/>
    <w:rsid w:val="00E15943"/>
    <w:rsid w:val="00E15EEC"/>
    <w:rsid w:val="00E17794"/>
    <w:rsid w:val="00E17B9C"/>
    <w:rsid w:val="00E17D3B"/>
    <w:rsid w:val="00E17FCE"/>
    <w:rsid w:val="00E20920"/>
    <w:rsid w:val="00E20D3F"/>
    <w:rsid w:val="00E20FFC"/>
    <w:rsid w:val="00E2196F"/>
    <w:rsid w:val="00E22D29"/>
    <w:rsid w:val="00E22E96"/>
    <w:rsid w:val="00E23C18"/>
    <w:rsid w:val="00E2550B"/>
    <w:rsid w:val="00E2605E"/>
    <w:rsid w:val="00E2611D"/>
    <w:rsid w:val="00E261B0"/>
    <w:rsid w:val="00E267F8"/>
    <w:rsid w:val="00E2699B"/>
    <w:rsid w:val="00E269D6"/>
    <w:rsid w:val="00E2734C"/>
    <w:rsid w:val="00E30A62"/>
    <w:rsid w:val="00E3101B"/>
    <w:rsid w:val="00E31701"/>
    <w:rsid w:val="00E32B42"/>
    <w:rsid w:val="00E32CCE"/>
    <w:rsid w:val="00E330E0"/>
    <w:rsid w:val="00E33164"/>
    <w:rsid w:val="00E3478E"/>
    <w:rsid w:val="00E34DF7"/>
    <w:rsid w:val="00E350AE"/>
    <w:rsid w:val="00E35AB4"/>
    <w:rsid w:val="00E360E5"/>
    <w:rsid w:val="00E37029"/>
    <w:rsid w:val="00E3747A"/>
    <w:rsid w:val="00E37555"/>
    <w:rsid w:val="00E379C8"/>
    <w:rsid w:val="00E4065B"/>
    <w:rsid w:val="00E410CB"/>
    <w:rsid w:val="00E41138"/>
    <w:rsid w:val="00E411A0"/>
    <w:rsid w:val="00E41990"/>
    <w:rsid w:val="00E419A7"/>
    <w:rsid w:val="00E41A43"/>
    <w:rsid w:val="00E41BE5"/>
    <w:rsid w:val="00E41F41"/>
    <w:rsid w:val="00E42468"/>
    <w:rsid w:val="00E42A99"/>
    <w:rsid w:val="00E42EA5"/>
    <w:rsid w:val="00E42FCB"/>
    <w:rsid w:val="00E4325D"/>
    <w:rsid w:val="00E4373B"/>
    <w:rsid w:val="00E44277"/>
    <w:rsid w:val="00E442AB"/>
    <w:rsid w:val="00E44885"/>
    <w:rsid w:val="00E44B50"/>
    <w:rsid w:val="00E4574E"/>
    <w:rsid w:val="00E46C0E"/>
    <w:rsid w:val="00E46F92"/>
    <w:rsid w:val="00E47069"/>
    <w:rsid w:val="00E500E4"/>
    <w:rsid w:val="00E5065E"/>
    <w:rsid w:val="00E508B8"/>
    <w:rsid w:val="00E50D6A"/>
    <w:rsid w:val="00E50ECB"/>
    <w:rsid w:val="00E5178C"/>
    <w:rsid w:val="00E51B3F"/>
    <w:rsid w:val="00E52ED6"/>
    <w:rsid w:val="00E52FA4"/>
    <w:rsid w:val="00E53A42"/>
    <w:rsid w:val="00E53C01"/>
    <w:rsid w:val="00E53C1D"/>
    <w:rsid w:val="00E53DBC"/>
    <w:rsid w:val="00E54634"/>
    <w:rsid w:val="00E549BE"/>
    <w:rsid w:val="00E54CA5"/>
    <w:rsid w:val="00E54EA3"/>
    <w:rsid w:val="00E55488"/>
    <w:rsid w:val="00E55E18"/>
    <w:rsid w:val="00E56137"/>
    <w:rsid w:val="00E56919"/>
    <w:rsid w:val="00E569EB"/>
    <w:rsid w:val="00E56D7D"/>
    <w:rsid w:val="00E60251"/>
    <w:rsid w:val="00E605B8"/>
    <w:rsid w:val="00E609F9"/>
    <w:rsid w:val="00E60A37"/>
    <w:rsid w:val="00E60BED"/>
    <w:rsid w:val="00E60E1E"/>
    <w:rsid w:val="00E6134F"/>
    <w:rsid w:val="00E61464"/>
    <w:rsid w:val="00E6173E"/>
    <w:rsid w:val="00E61E3C"/>
    <w:rsid w:val="00E620D4"/>
    <w:rsid w:val="00E62121"/>
    <w:rsid w:val="00E62140"/>
    <w:rsid w:val="00E62C72"/>
    <w:rsid w:val="00E62E13"/>
    <w:rsid w:val="00E63921"/>
    <w:rsid w:val="00E63A57"/>
    <w:rsid w:val="00E64415"/>
    <w:rsid w:val="00E64E16"/>
    <w:rsid w:val="00E65477"/>
    <w:rsid w:val="00E657CF"/>
    <w:rsid w:val="00E65A29"/>
    <w:rsid w:val="00E65C05"/>
    <w:rsid w:val="00E66C5A"/>
    <w:rsid w:val="00E66E2A"/>
    <w:rsid w:val="00E66E4D"/>
    <w:rsid w:val="00E67372"/>
    <w:rsid w:val="00E67639"/>
    <w:rsid w:val="00E67867"/>
    <w:rsid w:val="00E678A8"/>
    <w:rsid w:val="00E7086F"/>
    <w:rsid w:val="00E708A4"/>
    <w:rsid w:val="00E708EC"/>
    <w:rsid w:val="00E71064"/>
    <w:rsid w:val="00E713F7"/>
    <w:rsid w:val="00E7190D"/>
    <w:rsid w:val="00E71F44"/>
    <w:rsid w:val="00E72852"/>
    <w:rsid w:val="00E72AB0"/>
    <w:rsid w:val="00E73233"/>
    <w:rsid w:val="00E733E8"/>
    <w:rsid w:val="00E73936"/>
    <w:rsid w:val="00E744CF"/>
    <w:rsid w:val="00E7511C"/>
    <w:rsid w:val="00E753F5"/>
    <w:rsid w:val="00E75495"/>
    <w:rsid w:val="00E75C0B"/>
    <w:rsid w:val="00E75DEA"/>
    <w:rsid w:val="00E765D3"/>
    <w:rsid w:val="00E76AAC"/>
    <w:rsid w:val="00E76E61"/>
    <w:rsid w:val="00E80F75"/>
    <w:rsid w:val="00E8181E"/>
    <w:rsid w:val="00E81EE6"/>
    <w:rsid w:val="00E82AC6"/>
    <w:rsid w:val="00E82C4D"/>
    <w:rsid w:val="00E82D54"/>
    <w:rsid w:val="00E83103"/>
    <w:rsid w:val="00E83690"/>
    <w:rsid w:val="00E84585"/>
    <w:rsid w:val="00E84A39"/>
    <w:rsid w:val="00E84F81"/>
    <w:rsid w:val="00E85283"/>
    <w:rsid w:val="00E85849"/>
    <w:rsid w:val="00E85A19"/>
    <w:rsid w:val="00E85AC0"/>
    <w:rsid w:val="00E860BD"/>
    <w:rsid w:val="00E869E5"/>
    <w:rsid w:val="00E87976"/>
    <w:rsid w:val="00E87B21"/>
    <w:rsid w:val="00E90AFF"/>
    <w:rsid w:val="00E913B3"/>
    <w:rsid w:val="00E9150C"/>
    <w:rsid w:val="00E9191B"/>
    <w:rsid w:val="00E91D44"/>
    <w:rsid w:val="00E921AA"/>
    <w:rsid w:val="00E93122"/>
    <w:rsid w:val="00E934D8"/>
    <w:rsid w:val="00E9377B"/>
    <w:rsid w:val="00E93DB6"/>
    <w:rsid w:val="00E94A35"/>
    <w:rsid w:val="00E94E51"/>
    <w:rsid w:val="00E94FC4"/>
    <w:rsid w:val="00E95E74"/>
    <w:rsid w:val="00E961CD"/>
    <w:rsid w:val="00E969DC"/>
    <w:rsid w:val="00E96BFE"/>
    <w:rsid w:val="00E97010"/>
    <w:rsid w:val="00E97479"/>
    <w:rsid w:val="00EA01E7"/>
    <w:rsid w:val="00EA0EE0"/>
    <w:rsid w:val="00EA0F46"/>
    <w:rsid w:val="00EA1324"/>
    <w:rsid w:val="00EA1327"/>
    <w:rsid w:val="00EA1537"/>
    <w:rsid w:val="00EA1C13"/>
    <w:rsid w:val="00EA2604"/>
    <w:rsid w:val="00EA26A3"/>
    <w:rsid w:val="00EA26A9"/>
    <w:rsid w:val="00EA2714"/>
    <w:rsid w:val="00EA2C2F"/>
    <w:rsid w:val="00EA2C89"/>
    <w:rsid w:val="00EA3674"/>
    <w:rsid w:val="00EA37CE"/>
    <w:rsid w:val="00EA4087"/>
    <w:rsid w:val="00EA46D0"/>
    <w:rsid w:val="00EA4DEC"/>
    <w:rsid w:val="00EA52B1"/>
    <w:rsid w:val="00EA5B56"/>
    <w:rsid w:val="00EA6120"/>
    <w:rsid w:val="00EA6C8D"/>
    <w:rsid w:val="00EA6F8B"/>
    <w:rsid w:val="00EA7CB5"/>
    <w:rsid w:val="00EB05F5"/>
    <w:rsid w:val="00EB0C68"/>
    <w:rsid w:val="00EB0DB5"/>
    <w:rsid w:val="00EB1206"/>
    <w:rsid w:val="00EB14A8"/>
    <w:rsid w:val="00EB1507"/>
    <w:rsid w:val="00EB2144"/>
    <w:rsid w:val="00EB2829"/>
    <w:rsid w:val="00EB35DE"/>
    <w:rsid w:val="00EB3B47"/>
    <w:rsid w:val="00EB3F67"/>
    <w:rsid w:val="00EB4371"/>
    <w:rsid w:val="00EB5B9B"/>
    <w:rsid w:val="00EB5CE4"/>
    <w:rsid w:val="00EB5D03"/>
    <w:rsid w:val="00EB63BA"/>
    <w:rsid w:val="00EB7209"/>
    <w:rsid w:val="00EB786D"/>
    <w:rsid w:val="00EB7F6D"/>
    <w:rsid w:val="00EC01C8"/>
    <w:rsid w:val="00EC051C"/>
    <w:rsid w:val="00EC05C3"/>
    <w:rsid w:val="00EC0622"/>
    <w:rsid w:val="00EC205A"/>
    <w:rsid w:val="00EC22A9"/>
    <w:rsid w:val="00EC2615"/>
    <w:rsid w:val="00EC3BC1"/>
    <w:rsid w:val="00EC4973"/>
    <w:rsid w:val="00EC57CD"/>
    <w:rsid w:val="00EC64BE"/>
    <w:rsid w:val="00EC6CD6"/>
    <w:rsid w:val="00EC6E03"/>
    <w:rsid w:val="00EC71F7"/>
    <w:rsid w:val="00EC78DF"/>
    <w:rsid w:val="00ED10A1"/>
    <w:rsid w:val="00ED1159"/>
    <w:rsid w:val="00ED196D"/>
    <w:rsid w:val="00ED1C28"/>
    <w:rsid w:val="00ED22D4"/>
    <w:rsid w:val="00ED2BC7"/>
    <w:rsid w:val="00ED31FA"/>
    <w:rsid w:val="00ED3668"/>
    <w:rsid w:val="00ED36CE"/>
    <w:rsid w:val="00ED3B14"/>
    <w:rsid w:val="00ED4BFD"/>
    <w:rsid w:val="00ED4F89"/>
    <w:rsid w:val="00ED54CF"/>
    <w:rsid w:val="00ED6EF9"/>
    <w:rsid w:val="00ED7290"/>
    <w:rsid w:val="00ED7AC8"/>
    <w:rsid w:val="00EE152E"/>
    <w:rsid w:val="00EE2559"/>
    <w:rsid w:val="00EE2F33"/>
    <w:rsid w:val="00EE2F86"/>
    <w:rsid w:val="00EE43BB"/>
    <w:rsid w:val="00EE5021"/>
    <w:rsid w:val="00EE5206"/>
    <w:rsid w:val="00EE5782"/>
    <w:rsid w:val="00EE59AE"/>
    <w:rsid w:val="00EE59B2"/>
    <w:rsid w:val="00EE5DFE"/>
    <w:rsid w:val="00EE6495"/>
    <w:rsid w:val="00EE64D5"/>
    <w:rsid w:val="00EE741B"/>
    <w:rsid w:val="00EF0896"/>
    <w:rsid w:val="00EF129F"/>
    <w:rsid w:val="00EF2336"/>
    <w:rsid w:val="00EF2462"/>
    <w:rsid w:val="00EF25B2"/>
    <w:rsid w:val="00EF2745"/>
    <w:rsid w:val="00EF49C5"/>
    <w:rsid w:val="00EF4FD3"/>
    <w:rsid w:val="00EF50C3"/>
    <w:rsid w:val="00EF5DE1"/>
    <w:rsid w:val="00EF60C3"/>
    <w:rsid w:val="00EF6206"/>
    <w:rsid w:val="00EF6816"/>
    <w:rsid w:val="00EF685E"/>
    <w:rsid w:val="00EF6978"/>
    <w:rsid w:val="00EF6FAC"/>
    <w:rsid w:val="00EF745E"/>
    <w:rsid w:val="00EF7DAB"/>
    <w:rsid w:val="00F00176"/>
    <w:rsid w:val="00F008B3"/>
    <w:rsid w:val="00F00918"/>
    <w:rsid w:val="00F00C28"/>
    <w:rsid w:val="00F017A8"/>
    <w:rsid w:val="00F018E1"/>
    <w:rsid w:val="00F03BC7"/>
    <w:rsid w:val="00F046AC"/>
    <w:rsid w:val="00F04BED"/>
    <w:rsid w:val="00F05A29"/>
    <w:rsid w:val="00F05EF3"/>
    <w:rsid w:val="00F06213"/>
    <w:rsid w:val="00F0702F"/>
    <w:rsid w:val="00F075C0"/>
    <w:rsid w:val="00F07D28"/>
    <w:rsid w:val="00F07D33"/>
    <w:rsid w:val="00F10A14"/>
    <w:rsid w:val="00F11475"/>
    <w:rsid w:val="00F1157B"/>
    <w:rsid w:val="00F11F44"/>
    <w:rsid w:val="00F12CE5"/>
    <w:rsid w:val="00F136F1"/>
    <w:rsid w:val="00F1386A"/>
    <w:rsid w:val="00F14E07"/>
    <w:rsid w:val="00F14E8D"/>
    <w:rsid w:val="00F15F40"/>
    <w:rsid w:val="00F160BA"/>
    <w:rsid w:val="00F1657A"/>
    <w:rsid w:val="00F169AF"/>
    <w:rsid w:val="00F17246"/>
    <w:rsid w:val="00F17363"/>
    <w:rsid w:val="00F1765F"/>
    <w:rsid w:val="00F1784F"/>
    <w:rsid w:val="00F20E6A"/>
    <w:rsid w:val="00F21009"/>
    <w:rsid w:val="00F212B8"/>
    <w:rsid w:val="00F21309"/>
    <w:rsid w:val="00F2165C"/>
    <w:rsid w:val="00F2173B"/>
    <w:rsid w:val="00F22616"/>
    <w:rsid w:val="00F2340A"/>
    <w:rsid w:val="00F23828"/>
    <w:rsid w:val="00F23B99"/>
    <w:rsid w:val="00F241B2"/>
    <w:rsid w:val="00F24C7F"/>
    <w:rsid w:val="00F24FF5"/>
    <w:rsid w:val="00F2577D"/>
    <w:rsid w:val="00F27410"/>
    <w:rsid w:val="00F275B1"/>
    <w:rsid w:val="00F27C51"/>
    <w:rsid w:val="00F300D1"/>
    <w:rsid w:val="00F309CA"/>
    <w:rsid w:val="00F3117F"/>
    <w:rsid w:val="00F3264B"/>
    <w:rsid w:val="00F32BED"/>
    <w:rsid w:val="00F32C54"/>
    <w:rsid w:val="00F32D4F"/>
    <w:rsid w:val="00F32F97"/>
    <w:rsid w:val="00F33670"/>
    <w:rsid w:val="00F33DA5"/>
    <w:rsid w:val="00F33DCC"/>
    <w:rsid w:val="00F33E97"/>
    <w:rsid w:val="00F3417F"/>
    <w:rsid w:val="00F34DC2"/>
    <w:rsid w:val="00F34DD6"/>
    <w:rsid w:val="00F3507D"/>
    <w:rsid w:val="00F35C37"/>
    <w:rsid w:val="00F35C3E"/>
    <w:rsid w:val="00F36569"/>
    <w:rsid w:val="00F36B31"/>
    <w:rsid w:val="00F36E54"/>
    <w:rsid w:val="00F379A7"/>
    <w:rsid w:val="00F37A82"/>
    <w:rsid w:val="00F40443"/>
    <w:rsid w:val="00F40804"/>
    <w:rsid w:val="00F40A18"/>
    <w:rsid w:val="00F41038"/>
    <w:rsid w:val="00F41393"/>
    <w:rsid w:val="00F41BB3"/>
    <w:rsid w:val="00F41CE2"/>
    <w:rsid w:val="00F41EE8"/>
    <w:rsid w:val="00F4272C"/>
    <w:rsid w:val="00F42788"/>
    <w:rsid w:val="00F428A2"/>
    <w:rsid w:val="00F43E2F"/>
    <w:rsid w:val="00F43F8E"/>
    <w:rsid w:val="00F43FC3"/>
    <w:rsid w:val="00F44390"/>
    <w:rsid w:val="00F4479E"/>
    <w:rsid w:val="00F448E2"/>
    <w:rsid w:val="00F450EE"/>
    <w:rsid w:val="00F454D4"/>
    <w:rsid w:val="00F459B6"/>
    <w:rsid w:val="00F46437"/>
    <w:rsid w:val="00F467FD"/>
    <w:rsid w:val="00F46807"/>
    <w:rsid w:val="00F46C28"/>
    <w:rsid w:val="00F471E1"/>
    <w:rsid w:val="00F47DAC"/>
    <w:rsid w:val="00F47F36"/>
    <w:rsid w:val="00F50074"/>
    <w:rsid w:val="00F519EB"/>
    <w:rsid w:val="00F5220A"/>
    <w:rsid w:val="00F523F7"/>
    <w:rsid w:val="00F528CC"/>
    <w:rsid w:val="00F528F9"/>
    <w:rsid w:val="00F534B7"/>
    <w:rsid w:val="00F5443D"/>
    <w:rsid w:val="00F5539B"/>
    <w:rsid w:val="00F55C05"/>
    <w:rsid w:val="00F55FE5"/>
    <w:rsid w:val="00F564DE"/>
    <w:rsid w:val="00F5675C"/>
    <w:rsid w:val="00F56A56"/>
    <w:rsid w:val="00F56AFC"/>
    <w:rsid w:val="00F570D5"/>
    <w:rsid w:val="00F576AE"/>
    <w:rsid w:val="00F60005"/>
    <w:rsid w:val="00F6181F"/>
    <w:rsid w:val="00F618BF"/>
    <w:rsid w:val="00F61AAD"/>
    <w:rsid w:val="00F61E61"/>
    <w:rsid w:val="00F62F69"/>
    <w:rsid w:val="00F63127"/>
    <w:rsid w:val="00F63723"/>
    <w:rsid w:val="00F63951"/>
    <w:rsid w:val="00F6422A"/>
    <w:rsid w:val="00F6481D"/>
    <w:rsid w:val="00F64C79"/>
    <w:rsid w:val="00F65E5E"/>
    <w:rsid w:val="00F66334"/>
    <w:rsid w:val="00F67160"/>
    <w:rsid w:val="00F67775"/>
    <w:rsid w:val="00F67FC6"/>
    <w:rsid w:val="00F70654"/>
    <w:rsid w:val="00F71386"/>
    <w:rsid w:val="00F71529"/>
    <w:rsid w:val="00F715E6"/>
    <w:rsid w:val="00F720E7"/>
    <w:rsid w:val="00F7284B"/>
    <w:rsid w:val="00F728F0"/>
    <w:rsid w:val="00F72919"/>
    <w:rsid w:val="00F73485"/>
    <w:rsid w:val="00F7353E"/>
    <w:rsid w:val="00F7384D"/>
    <w:rsid w:val="00F73F77"/>
    <w:rsid w:val="00F74814"/>
    <w:rsid w:val="00F74EC3"/>
    <w:rsid w:val="00F75F12"/>
    <w:rsid w:val="00F76A8A"/>
    <w:rsid w:val="00F76E48"/>
    <w:rsid w:val="00F7737A"/>
    <w:rsid w:val="00F77BCE"/>
    <w:rsid w:val="00F803B2"/>
    <w:rsid w:val="00F8070B"/>
    <w:rsid w:val="00F80976"/>
    <w:rsid w:val="00F810C6"/>
    <w:rsid w:val="00F81236"/>
    <w:rsid w:val="00F8136D"/>
    <w:rsid w:val="00F814E8"/>
    <w:rsid w:val="00F81B5F"/>
    <w:rsid w:val="00F81E1E"/>
    <w:rsid w:val="00F81F3A"/>
    <w:rsid w:val="00F83C16"/>
    <w:rsid w:val="00F84008"/>
    <w:rsid w:val="00F84715"/>
    <w:rsid w:val="00F84D65"/>
    <w:rsid w:val="00F854B2"/>
    <w:rsid w:val="00F85CE2"/>
    <w:rsid w:val="00F85E73"/>
    <w:rsid w:val="00F861CF"/>
    <w:rsid w:val="00F86A6F"/>
    <w:rsid w:val="00F86B01"/>
    <w:rsid w:val="00F86DA6"/>
    <w:rsid w:val="00F87568"/>
    <w:rsid w:val="00F87616"/>
    <w:rsid w:val="00F876C5"/>
    <w:rsid w:val="00F900B7"/>
    <w:rsid w:val="00F904E8"/>
    <w:rsid w:val="00F90580"/>
    <w:rsid w:val="00F9135F"/>
    <w:rsid w:val="00F92831"/>
    <w:rsid w:val="00F92840"/>
    <w:rsid w:val="00F92CD6"/>
    <w:rsid w:val="00F92F90"/>
    <w:rsid w:val="00F932DE"/>
    <w:rsid w:val="00F93CFB"/>
    <w:rsid w:val="00F942FC"/>
    <w:rsid w:val="00F947D4"/>
    <w:rsid w:val="00F948B1"/>
    <w:rsid w:val="00F9512C"/>
    <w:rsid w:val="00F96183"/>
    <w:rsid w:val="00F963B6"/>
    <w:rsid w:val="00F97223"/>
    <w:rsid w:val="00F9780F"/>
    <w:rsid w:val="00F9795E"/>
    <w:rsid w:val="00F97AC5"/>
    <w:rsid w:val="00FA0C13"/>
    <w:rsid w:val="00FA0DBD"/>
    <w:rsid w:val="00FA0E0D"/>
    <w:rsid w:val="00FA1E83"/>
    <w:rsid w:val="00FA233E"/>
    <w:rsid w:val="00FA2360"/>
    <w:rsid w:val="00FA3864"/>
    <w:rsid w:val="00FA3901"/>
    <w:rsid w:val="00FA4758"/>
    <w:rsid w:val="00FA49F0"/>
    <w:rsid w:val="00FA54B2"/>
    <w:rsid w:val="00FA5940"/>
    <w:rsid w:val="00FA5BA4"/>
    <w:rsid w:val="00FA6547"/>
    <w:rsid w:val="00FA6950"/>
    <w:rsid w:val="00FA6E23"/>
    <w:rsid w:val="00FA777D"/>
    <w:rsid w:val="00FA78C2"/>
    <w:rsid w:val="00FA7A4B"/>
    <w:rsid w:val="00FA7AA1"/>
    <w:rsid w:val="00FB0860"/>
    <w:rsid w:val="00FB0F15"/>
    <w:rsid w:val="00FB0F62"/>
    <w:rsid w:val="00FB193D"/>
    <w:rsid w:val="00FB1BCE"/>
    <w:rsid w:val="00FB1D8B"/>
    <w:rsid w:val="00FB2085"/>
    <w:rsid w:val="00FB20F1"/>
    <w:rsid w:val="00FB38B0"/>
    <w:rsid w:val="00FB3AF8"/>
    <w:rsid w:val="00FB3AFB"/>
    <w:rsid w:val="00FB3C22"/>
    <w:rsid w:val="00FB41D7"/>
    <w:rsid w:val="00FB44AE"/>
    <w:rsid w:val="00FB480A"/>
    <w:rsid w:val="00FB4E53"/>
    <w:rsid w:val="00FB5198"/>
    <w:rsid w:val="00FB58EC"/>
    <w:rsid w:val="00FB5A2F"/>
    <w:rsid w:val="00FB660E"/>
    <w:rsid w:val="00FB6A16"/>
    <w:rsid w:val="00FB75BE"/>
    <w:rsid w:val="00FC0548"/>
    <w:rsid w:val="00FC1CB7"/>
    <w:rsid w:val="00FC24F5"/>
    <w:rsid w:val="00FC27B4"/>
    <w:rsid w:val="00FC2B4D"/>
    <w:rsid w:val="00FC3596"/>
    <w:rsid w:val="00FC368F"/>
    <w:rsid w:val="00FC4B79"/>
    <w:rsid w:val="00FC5174"/>
    <w:rsid w:val="00FC5260"/>
    <w:rsid w:val="00FC54F3"/>
    <w:rsid w:val="00FC5D12"/>
    <w:rsid w:val="00FC5F6E"/>
    <w:rsid w:val="00FC604C"/>
    <w:rsid w:val="00FC6671"/>
    <w:rsid w:val="00FC6708"/>
    <w:rsid w:val="00FD0007"/>
    <w:rsid w:val="00FD03A1"/>
    <w:rsid w:val="00FD0669"/>
    <w:rsid w:val="00FD0872"/>
    <w:rsid w:val="00FD0C36"/>
    <w:rsid w:val="00FD0DC8"/>
    <w:rsid w:val="00FD11F2"/>
    <w:rsid w:val="00FD15D7"/>
    <w:rsid w:val="00FD1B4D"/>
    <w:rsid w:val="00FD299D"/>
    <w:rsid w:val="00FD2F4B"/>
    <w:rsid w:val="00FD3965"/>
    <w:rsid w:val="00FD419C"/>
    <w:rsid w:val="00FD450B"/>
    <w:rsid w:val="00FD54BD"/>
    <w:rsid w:val="00FD597B"/>
    <w:rsid w:val="00FD7513"/>
    <w:rsid w:val="00FD7752"/>
    <w:rsid w:val="00FD7A9E"/>
    <w:rsid w:val="00FD7B7F"/>
    <w:rsid w:val="00FD7C74"/>
    <w:rsid w:val="00FE0106"/>
    <w:rsid w:val="00FE08E1"/>
    <w:rsid w:val="00FE09AF"/>
    <w:rsid w:val="00FE0B92"/>
    <w:rsid w:val="00FE0D60"/>
    <w:rsid w:val="00FE10DB"/>
    <w:rsid w:val="00FE1310"/>
    <w:rsid w:val="00FE13BD"/>
    <w:rsid w:val="00FE1990"/>
    <w:rsid w:val="00FE1BB0"/>
    <w:rsid w:val="00FE24BD"/>
    <w:rsid w:val="00FE24E8"/>
    <w:rsid w:val="00FE26ED"/>
    <w:rsid w:val="00FE2C19"/>
    <w:rsid w:val="00FE39F3"/>
    <w:rsid w:val="00FE3DEB"/>
    <w:rsid w:val="00FE4159"/>
    <w:rsid w:val="00FE481C"/>
    <w:rsid w:val="00FE5350"/>
    <w:rsid w:val="00FE5C21"/>
    <w:rsid w:val="00FE6180"/>
    <w:rsid w:val="00FE62CB"/>
    <w:rsid w:val="00FE7ED8"/>
    <w:rsid w:val="00FF082F"/>
    <w:rsid w:val="00FF0BE5"/>
    <w:rsid w:val="00FF0FC3"/>
    <w:rsid w:val="00FF2906"/>
    <w:rsid w:val="00FF303D"/>
    <w:rsid w:val="00FF3199"/>
    <w:rsid w:val="00FF325C"/>
    <w:rsid w:val="00FF3586"/>
    <w:rsid w:val="00FF35D1"/>
    <w:rsid w:val="00FF36FF"/>
    <w:rsid w:val="00FF3F98"/>
    <w:rsid w:val="00FF414A"/>
    <w:rsid w:val="00FF4F19"/>
    <w:rsid w:val="00FF63A5"/>
    <w:rsid w:val="00FF6472"/>
    <w:rsid w:val="00FF6A3F"/>
    <w:rsid w:val="00FF6B9D"/>
    <w:rsid w:val="00FF7012"/>
    <w:rsid w:val="00FF7406"/>
    <w:rsid w:val="00FF745C"/>
    <w:rsid w:val="00FF75B6"/>
    <w:rsid w:val="00FF79C5"/>
    <w:rsid w:val="00FF7A56"/>
    <w:rsid w:val="00FF7E42"/>
    <w:rsid w:val="013808F3"/>
    <w:rsid w:val="01C102EE"/>
    <w:rsid w:val="026B74AB"/>
    <w:rsid w:val="028566E8"/>
    <w:rsid w:val="02DF39F5"/>
    <w:rsid w:val="02E421D0"/>
    <w:rsid w:val="03A52548"/>
    <w:rsid w:val="042B5573"/>
    <w:rsid w:val="05EC26B0"/>
    <w:rsid w:val="060F45F1"/>
    <w:rsid w:val="06482D85"/>
    <w:rsid w:val="06700C2D"/>
    <w:rsid w:val="071505CF"/>
    <w:rsid w:val="083B791F"/>
    <w:rsid w:val="0B7D02A4"/>
    <w:rsid w:val="0D3F3A0E"/>
    <w:rsid w:val="0D5A0848"/>
    <w:rsid w:val="0E62693A"/>
    <w:rsid w:val="0F0942D3"/>
    <w:rsid w:val="11E93F48"/>
    <w:rsid w:val="11F34DC7"/>
    <w:rsid w:val="12C549B5"/>
    <w:rsid w:val="139A55D8"/>
    <w:rsid w:val="13B717A9"/>
    <w:rsid w:val="13EC7D20"/>
    <w:rsid w:val="140B289C"/>
    <w:rsid w:val="14681A9C"/>
    <w:rsid w:val="14FB2910"/>
    <w:rsid w:val="150A2B53"/>
    <w:rsid w:val="15565D98"/>
    <w:rsid w:val="15B91E83"/>
    <w:rsid w:val="166D15EC"/>
    <w:rsid w:val="167F04EF"/>
    <w:rsid w:val="18537976"/>
    <w:rsid w:val="192D6E10"/>
    <w:rsid w:val="19D674A8"/>
    <w:rsid w:val="1AC477F9"/>
    <w:rsid w:val="1BBE6D5D"/>
    <w:rsid w:val="1BC64041"/>
    <w:rsid w:val="1CEC0D90"/>
    <w:rsid w:val="1DF47EFC"/>
    <w:rsid w:val="1EAA7415"/>
    <w:rsid w:val="1EC975DB"/>
    <w:rsid w:val="1FC87893"/>
    <w:rsid w:val="1FD24161"/>
    <w:rsid w:val="20653333"/>
    <w:rsid w:val="20A976C4"/>
    <w:rsid w:val="218E1CF5"/>
    <w:rsid w:val="218E68BA"/>
    <w:rsid w:val="220F17A9"/>
    <w:rsid w:val="23306766"/>
    <w:rsid w:val="23D30025"/>
    <w:rsid w:val="24706372"/>
    <w:rsid w:val="248544AB"/>
    <w:rsid w:val="250F386E"/>
    <w:rsid w:val="25973F8F"/>
    <w:rsid w:val="25D37BC8"/>
    <w:rsid w:val="266F2816"/>
    <w:rsid w:val="26993D37"/>
    <w:rsid w:val="277A3B68"/>
    <w:rsid w:val="28F67807"/>
    <w:rsid w:val="29772E93"/>
    <w:rsid w:val="29A547A1"/>
    <w:rsid w:val="29B11398"/>
    <w:rsid w:val="29B669AE"/>
    <w:rsid w:val="2A2B114A"/>
    <w:rsid w:val="2A443FBA"/>
    <w:rsid w:val="2BCA4992"/>
    <w:rsid w:val="2D102879"/>
    <w:rsid w:val="2D1265F1"/>
    <w:rsid w:val="2DD35D80"/>
    <w:rsid w:val="2DE24215"/>
    <w:rsid w:val="2E2A302D"/>
    <w:rsid w:val="2E4B1DBB"/>
    <w:rsid w:val="2E6266D9"/>
    <w:rsid w:val="2F5527C5"/>
    <w:rsid w:val="301B57BD"/>
    <w:rsid w:val="304070FC"/>
    <w:rsid w:val="30534749"/>
    <w:rsid w:val="3098505F"/>
    <w:rsid w:val="312863E3"/>
    <w:rsid w:val="31DE2F46"/>
    <w:rsid w:val="32A45F3D"/>
    <w:rsid w:val="32AB5D6C"/>
    <w:rsid w:val="32B73E1E"/>
    <w:rsid w:val="32EC50D1"/>
    <w:rsid w:val="33DB60F5"/>
    <w:rsid w:val="344A041F"/>
    <w:rsid w:val="34C04B85"/>
    <w:rsid w:val="34F8770E"/>
    <w:rsid w:val="35320109"/>
    <w:rsid w:val="367A14DF"/>
    <w:rsid w:val="36E00BA3"/>
    <w:rsid w:val="37AA3B1F"/>
    <w:rsid w:val="37B50A4A"/>
    <w:rsid w:val="37B95D33"/>
    <w:rsid w:val="37FB060D"/>
    <w:rsid w:val="39BF365D"/>
    <w:rsid w:val="3BD553B9"/>
    <w:rsid w:val="3EC26E49"/>
    <w:rsid w:val="3F2A0808"/>
    <w:rsid w:val="3F322DB5"/>
    <w:rsid w:val="4114603C"/>
    <w:rsid w:val="418C651A"/>
    <w:rsid w:val="423E0C9B"/>
    <w:rsid w:val="42FE51F6"/>
    <w:rsid w:val="454A32C8"/>
    <w:rsid w:val="454D5FC1"/>
    <w:rsid w:val="46016203"/>
    <w:rsid w:val="464E0242"/>
    <w:rsid w:val="46F25071"/>
    <w:rsid w:val="47685EC2"/>
    <w:rsid w:val="499510C4"/>
    <w:rsid w:val="4A5038AF"/>
    <w:rsid w:val="4A946440"/>
    <w:rsid w:val="4AA62022"/>
    <w:rsid w:val="4BCF5981"/>
    <w:rsid w:val="4D0606CD"/>
    <w:rsid w:val="4D447CA9"/>
    <w:rsid w:val="4F015D67"/>
    <w:rsid w:val="4F38383D"/>
    <w:rsid w:val="4F42646A"/>
    <w:rsid w:val="4FC82E13"/>
    <w:rsid w:val="4FD95B8A"/>
    <w:rsid w:val="50342257"/>
    <w:rsid w:val="51383FC9"/>
    <w:rsid w:val="51DA6087"/>
    <w:rsid w:val="51EC0DD8"/>
    <w:rsid w:val="51EF552E"/>
    <w:rsid w:val="52C758DD"/>
    <w:rsid w:val="53D578AD"/>
    <w:rsid w:val="54372E20"/>
    <w:rsid w:val="545D40F8"/>
    <w:rsid w:val="55935C72"/>
    <w:rsid w:val="56DC0F52"/>
    <w:rsid w:val="56F97D56"/>
    <w:rsid w:val="574D1E50"/>
    <w:rsid w:val="58175711"/>
    <w:rsid w:val="588562C6"/>
    <w:rsid w:val="594F1778"/>
    <w:rsid w:val="59AD307A"/>
    <w:rsid w:val="5A0A5DD6"/>
    <w:rsid w:val="5B4B2B4A"/>
    <w:rsid w:val="5C694B67"/>
    <w:rsid w:val="5C902F0B"/>
    <w:rsid w:val="5D2F4544"/>
    <w:rsid w:val="5D414205"/>
    <w:rsid w:val="5D813C93"/>
    <w:rsid w:val="5E055233"/>
    <w:rsid w:val="5FA8502E"/>
    <w:rsid w:val="60114363"/>
    <w:rsid w:val="608C39E9"/>
    <w:rsid w:val="62214605"/>
    <w:rsid w:val="62742987"/>
    <w:rsid w:val="62E418BB"/>
    <w:rsid w:val="63AB284B"/>
    <w:rsid w:val="64A000CF"/>
    <w:rsid w:val="65A417D5"/>
    <w:rsid w:val="6764746E"/>
    <w:rsid w:val="677D5838"/>
    <w:rsid w:val="678C4C75"/>
    <w:rsid w:val="680E5DD1"/>
    <w:rsid w:val="68415696"/>
    <w:rsid w:val="68C53F3C"/>
    <w:rsid w:val="68ED3493"/>
    <w:rsid w:val="690F6F65"/>
    <w:rsid w:val="6A6264FF"/>
    <w:rsid w:val="6A686D87"/>
    <w:rsid w:val="6B625D4B"/>
    <w:rsid w:val="6C296590"/>
    <w:rsid w:val="6C4C227F"/>
    <w:rsid w:val="6CE9405F"/>
    <w:rsid w:val="6D505D9E"/>
    <w:rsid w:val="6E8421A4"/>
    <w:rsid w:val="6ED21161"/>
    <w:rsid w:val="6F41277F"/>
    <w:rsid w:val="703B2D36"/>
    <w:rsid w:val="71062FFD"/>
    <w:rsid w:val="71265794"/>
    <w:rsid w:val="71FE0128"/>
    <w:rsid w:val="720E0702"/>
    <w:rsid w:val="722E04E1"/>
    <w:rsid w:val="72B772CE"/>
    <w:rsid w:val="733A3FD6"/>
    <w:rsid w:val="739F5EEB"/>
    <w:rsid w:val="73CC2623"/>
    <w:rsid w:val="7417661F"/>
    <w:rsid w:val="74FB3B0F"/>
    <w:rsid w:val="752E2E69"/>
    <w:rsid w:val="75CB4B5C"/>
    <w:rsid w:val="766F3739"/>
    <w:rsid w:val="76715A1F"/>
    <w:rsid w:val="775C3CBE"/>
    <w:rsid w:val="77EA27DD"/>
    <w:rsid w:val="78743289"/>
    <w:rsid w:val="78BD00F0"/>
    <w:rsid w:val="78FA433A"/>
    <w:rsid w:val="79186ECE"/>
    <w:rsid w:val="793B5B55"/>
    <w:rsid w:val="79B06951"/>
    <w:rsid w:val="79E75638"/>
    <w:rsid w:val="7AE364A4"/>
    <w:rsid w:val="7B9559F0"/>
    <w:rsid w:val="7C057575"/>
    <w:rsid w:val="7C6F05E1"/>
    <w:rsid w:val="7C8A4E29"/>
    <w:rsid w:val="7CBB2722"/>
    <w:rsid w:val="7D744763"/>
    <w:rsid w:val="7DB12889"/>
    <w:rsid w:val="7E7202C2"/>
    <w:rsid w:val="7F3B68AE"/>
    <w:rsid w:val="7F5B485B"/>
    <w:rsid w:val="7F6673B4"/>
    <w:rsid w:val="7FAA57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opacity="13107f" focussize="0,0"/>
      <v:stroke weight="0.5pt" color="#FFFF00" endarrowwidth="narrow"/>
    </o:shapedefaults>
    <o:shapelayout v:ext="edit">
      <o:idmap v:ext="edit" data="2,4,5,6,7,8,9,10,11,12,13,14,15,16,17,18,19,20,21,22,23,24,25,26,27,28,29,30,31,32,33,34,35,36,37,38,39,40,41,42,43,44,45,46,47,48,49,50,51,52,53,54,55,56,57,58,59,60"/>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0" w:semiHidden="0" w:name="Body Text First Indent 2"/>
    <w:lsdException w:uiPriority="99" w:name="Note Heading"/>
    <w:lsdException w:qFormat="1" w:uiPriority="99" w:semiHidden="0"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semiHidden/>
    <w:unhideWhenUsed/>
    <w:qFormat/>
    <w:uiPriority w:val="9"/>
    <w:pPr>
      <w:keepNext/>
      <w:keepLines/>
      <w:numPr>
        <w:ilvl w:val="3"/>
        <w:numId w:val="1"/>
      </w:numPr>
      <w:adjustRightInd w:val="0"/>
      <w:snapToGrid w:val="0"/>
      <w:spacing w:line="360" w:lineRule="auto"/>
      <w:outlineLvl w:val="3"/>
    </w:pPr>
    <w:rPr>
      <w:rFonts w:eastAsia="黑体" w:cs="Times New Roman"/>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3"/>
    <w:qFormat/>
    <w:uiPriority w:val="0"/>
    <w:pPr>
      <w:ind w:firstLine="200" w:firstLineChars="200"/>
    </w:pPr>
    <w:rPr>
      <w:rFonts w:eastAsia="宋体"/>
      <w:sz w:val="28"/>
      <w:szCs w:val="24"/>
    </w:rPr>
  </w:style>
  <w:style w:type="paragraph" w:styleId="5">
    <w:name w:val="annotation text"/>
    <w:basedOn w:val="1"/>
    <w:link w:val="30"/>
    <w:autoRedefine/>
    <w:unhideWhenUsed/>
    <w:qFormat/>
    <w:uiPriority w:val="99"/>
    <w:pPr>
      <w:jc w:val="left"/>
      <w:pPrChange w:id="0" w:author="hzhj" w:date="2024-06-27T16:15:00Z">
        <w:pPr>
          <w:widowControl w:val="0"/>
        </w:pPr>
      </w:pPrChange>
    </w:pPr>
    <w:rPr>
      <w:b/>
      <w:sz w:val="28"/>
      <w:szCs w:val="28"/>
      <w:rPrChange w:id="1" w:author="hzhj" w:date="2024-06-27T16:15:00Z">
        <w:rPr>
          <w:rFonts w:asciiTheme="minorHAnsi" w:hAnsiTheme="minorHAnsi" w:eastAsiaTheme="minorEastAsia" w:cstheme="minorBidi"/>
          <w:kern w:val="2"/>
          <w:sz w:val="21"/>
          <w:szCs w:val="22"/>
          <w:lang w:val="en-US" w:eastAsia="zh-CN" w:bidi="ar-SA"/>
        </w:rPr>
      </w:rPrChange>
    </w:rPr>
  </w:style>
  <w:style w:type="paragraph" w:styleId="6">
    <w:name w:val="Body Text"/>
    <w:basedOn w:val="1"/>
    <w:next w:val="1"/>
    <w:link w:val="34"/>
    <w:autoRedefine/>
    <w:unhideWhenUsed/>
    <w:qFormat/>
    <w:uiPriority w:val="99"/>
    <w:pPr>
      <w:spacing w:after="120"/>
    </w:pPr>
  </w:style>
  <w:style w:type="paragraph" w:styleId="7">
    <w:name w:val="Body Text Indent"/>
    <w:basedOn w:val="1"/>
    <w:link w:val="32"/>
    <w:autoRedefine/>
    <w:unhideWhenUsed/>
    <w:qFormat/>
    <w:uiPriority w:val="0"/>
    <w:pPr>
      <w:spacing w:after="120"/>
      <w:ind w:left="420" w:leftChars="200"/>
    </w:pPr>
    <w:rPr>
      <w:rFonts w:ascii="Times New Roman" w:hAnsi="Times New Roman" w:eastAsia="宋体" w:cs="Times New Roman"/>
      <w:kern w:val="0"/>
      <w:sz w:val="20"/>
      <w:szCs w:val="24"/>
    </w:rPr>
  </w:style>
  <w:style w:type="paragraph" w:styleId="8">
    <w:name w:val="Balloon Text"/>
    <w:basedOn w:val="1"/>
    <w:link w:val="29"/>
    <w:autoRedefine/>
    <w:unhideWhenUsed/>
    <w:qFormat/>
    <w:uiPriority w:val="99"/>
    <w:rPr>
      <w:sz w:val="18"/>
      <w:szCs w:val="18"/>
    </w:rPr>
  </w:style>
  <w:style w:type="paragraph" w:styleId="9">
    <w:name w:val="footer"/>
    <w:basedOn w:val="1"/>
    <w:link w:val="41"/>
    <w:autoRedefine/>
    <w:unhideWhenUsed/>
    <w:qFormat/>
    <w:uiPriority w:val="99"/>
    <w:pPr>
      <w:tabs>
        <w:tab w:val="center" w:pos="4153"/>
        <w:tab w:val="right" w:pos="8306"/>
      </w:tabs>
      <w:snapToGrid w:val="0"/>
      <w:jc w:val="left"/>
    </w:pPr>
    <w:rPr>
      <w:sz w:val="18"/>
      <w:szCs w:val="18"/>
    </w:rPr>
  </w:style>
  <w:style w:type="paragraph" w:styleId="10">
    <w:name w:val="header"/>
    <w:basedOn w:val="1"/>
    <w:link w:val="40"/>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Body Text Indent 3"/>
    <w:next w:val="12"/>
    <w:link w:val="39"/>
    <w:autoRedefine/>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2">
    <w:name w:val="样式 正文文本缩进 3 + 左侧:  2 字符"/>
    <w:basedOn w:val="1"/>
    <w:autoRedefine/>
    <w:qFormat/>
    <w:uiPriority w:val="0"/>
  </w:style>
  <w:style w:type="paragraph" w:styleId="13">
    <w:name w:val="Body Text 2"/>
    <w:basedOn w:val="1"/>
    <w:link w:val="59"/>
    <w:autoRedefine/>
    <w:unhideWhenUsed/>
    <w:qFormat/>
    <w:uiPriority w:val="99"/>
    <w:pPr>
      <w:spacing w:after="120" w:line="480" w:lineRule="auto"/>
    </w:pPr>
  </w:style>
  <w:style w:type="paragraph" w:styleId="14">
    <w:name w:val="Normal (Web)"/>
    <w:basedOn w:val="1"/>
    <w:link w:val="28"/>
    <w:autoRedefine/>
    <w:qFormat/>
    <w:uiPriority w:val="99"/>
    <w:pPr>
      <w:widowControl/>
      <w:spacing w:before="100" w:beforeAutospacing="1" w:after="100" w:afterAutospacing="1"/>
      <w:jc w:val="left"/>
    </w:pPr>
    <w:rPr>
      <w:rFonts w:ascii="宋体" w:hAnsi="宋体" w:eastAsia="宋体"/>
      <w:sz w:val="24"/>
    </w:rPr>
  </w:style>
  <w:style w:type="paragraph" w:styleId="15">
    <w:name w:val="annotation subject"/>
    <w:basedOn w:val="5"/>
    <w:next w:val="5"/>
    <w:link w:val="31"/>
    <w:autoRedefine/>
    <w:unhideWhenUsed/>
    <w:qFormat/>
    <w:uiPriority w:val="99"/>
    <w:rPr>
      <w:bCs/>
    </w:rPr>
  </w:style>
  <w:style w:type="paragraph" w:styleId="16">
    <w:name w:val="Body Text First Indent"/>
    <w:basedOn w:val="6"/>
    <w:link w:val="35"/>
    <w:autoRedefine/>
    <w:unhideWhenUsed/>
    <w:qFormat/>
    <w:uiPriority w:val="99"/>
    <w:pPr>
      <w:ind w:firstLine="420" w:firstLineChars="100"/>
    </w:pPr>
  </w:style>
  <w:style w:type="paragraph" w:styleId="17">
    <w:name w:val="Body Text First Indent 2"/>
    <w:basedOn w:val="7"/>
    <w:autoRedefine/>
    <w:unhideWhenUsed/>
    <w:qFormat/>
    <w:uiPriority w:val="0"/>
    <w:pPr>
      <w:ind w:firstLine="420" w:firstLineChars="200"/>
    </w:pPr>
  </w:style>
  <w:style w:type="table" w:styleId="19">
    <w:name w:val="Table Grid"/>
    <w:basedOn w:val="18"/>
    <w:autoRedefine/>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1">
    <w:name w:val="Strong"/>
    <w:basedOn w:val="20"/>
    <w:autoRedefine/>
    <w:qFormat/>
    <w:uiPriority w:val="22"/>
    <w:rPr>
      <w:b/>
    </w:rPr>
  </w:style>
  <w:style w:type="character" w:styleId="22">
    <w:name w:val="Emphasis"/>
    <w:basedOn w:val="20"/>
    <w:qFormat/>
    <w:uiPriority w:val="20"/>
    <w:rPr>
      <w:i/>
    </w:rPr>
  </w:style>
  <w:style w:type="character" w:styleId="23">
    <w:name w:val="Hyperlink"/>
    <w:basedOn w:val="20"/>
    <w:autoRedefine/>
    <w:unhideWhenUsed/>
    <w:qFormat/>
    <w:uiPriority w:val="99"/>
    <w:rPr>
      <w:color w:val="0000FF" w:themeColor="hyperlink"/>
      <w:u w:val="single"/>
    </w:rPr>
  </w:style>
  <w:style w:type="character" w:styleId="24">
    <w:name w:val="annotation reference"/>
    <w:basedOn w:val="20"/>
    <w:autoRedefine/>
    <w:unhideWhenUsed/>
    <w:qFormat/>
    <w:uiPriority w:val="0"/>
    <w:rPr>
      <w:sz w:val="21"/>
      <w:szCs w:val="21"/>
    </w:rPr>
  </w:style>
  <w:style w:type="paragraph" w:customStyle="1" w:styleId="25">
    <w:name w:val="表格标题"/>
    <w:basedOn w:val="6"/>
    <w:next w:val="26"/>
    <w:qFormat/>
    <w:uiPriority w:val="0"/>
    <w:pPr>
      <w:adjustRightInd w:val="0"/>
      <w:snapToGrid w:val="0"/>
      <w:jc w:val="center"/>
    </w:pPr>
    <w:rPr>
      <w:rFonts w:eastAsia="黑体" w:cs="Times New Roman"/>
    </w:rPr>
  </w:style>
  <w:style w:type="paragraph" w:customStyle="1" w:styleId="26">
    <w:name w:val="表格内容"/>
    <w:basedOn w:val="1"/>
    <w:next w:val="1"/>
    <w:link w:val="58"/>
    <w:autoRedefine/>
    <w:qFormat/>
    <w:uiPriority w:val="0"/>
    <w:pPr>
      <w:overflowPunct w:val="0"/>
      <w:adjustRightInd w:val="0"/>
      <w:spacing w:before="40" w:after="60" w:line="200" w:lineRule="atLeast"/>
      <w:textAlignment w:val="baseline"/>
    </w:pPr>
    <w:rPr>
      <w:rFonts w:ascii="Arial" w:hAnsi="Arial" w:eastAsia="仿宋_GB2312" w:cs="Times New Roman"/>
      <w:kern w:val="0"/>
      <w:sz w:val="24"/>
      <w:szCs w:val="20"/>
    </w:rPr>
  </w:style>
  <w:style w:type="paragraph" w:customStyle="1" w:styleId="27">
    <w:name w:val="Default"/>
    <w:link w:val="53"/>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8">
    <w:name w:val="普通(网站) Char"/>
    <w:link w:val="14"/>
    <w:autoRedefine/>
    <w:qFormat/>
    <w:locked/>
    <w:uiPriority w:val="0"/>
    <w:rPr>
      <w:rFonts w:ascii="宋体" w:hAnsi="宋体" w:eastAsia="宋体"/>
      <w:sz w:val="24"/>
    </w:rPr>
  </w:style>
  <w:style w:type="character" w:customStyle="1" w:styleId="29">
    <w:name w:val="批注框文本 Char"/>
    <w:basedOn w:val="20"/>
    <w:link w:val="8"/>
    <w:autoRedefine/>
    <w:semiHidden/>
    <w:qFormat/>
    <w:uiPriority w:val="99"/>
    <w:rPr>
      <w:sz w:val="18"/>
      <w:szCs w:val="18"/>
    </w:rPr>
  </w:style>
  <w:style w:type="character" w:customStyle="1" w:styleId="30">
    <w:name w:val="批注文字 Char"/>
    <w:basedOn w:val="20"/>
    <w:link w:val="5"/>
    <w:autoRedefine/>
    <w:qFormat/>
    <w:uiPriority w:val="99"/>
    <w:rPr>
      <w:rFonts w:asciiTheme="minorHAnsi" w:hAnsiTheme="minorHAnsi" w:eastAsiaTheme="minorEastAsia" w:cstheme="minorBidi"/>
      <w:b/>
      <w:kern w:val="2"/>
      <w:sz w:val="28"/>
      <w:szCs w:val="28"/>
    </w:rPr>
  </w:style>
  <w:style w:type="character" w:customStyle="1" w:styleId="31">
    <w:name w:val="批注主题 Char"/>
    <w:basedOn w:val="30"/>
    <w:link w:val="15"/>
    <w:autoRedefine/>
    <w:semiHidden/>
    <w:qFormat/>
    <w:uiPriority w:val="99"/>
    <w:rPr>
      <w:bCs/>
    </w:rPr>
  </w:style>
  <w:style w:type="character" w:customStyle="1" w:styleId="32">
    <w:name w:val="正文文本缩进 Char"/>
    <w:basedOn w:val="20"/>
    <w:link w:val="7"/>
    <w:autoRedefine/>
    <w:qFormat/>
    <w:uiPriority w:val="0"/>
    <w:rPr>
      <w:rFonts w:ascii="Times New Roman" w:hAnsi="Times New Roman" w:eastAsia="宋体" w:cs="Times New Roman"/>
      <w:kern w:val="0"/>
      <w:sz w:val="20"/>
      <w:szCs w:val="24"/>
    </w:rPr>
  </w:style>
  <w:style w:type="paragraph" w:customStyle="1" w:styleId="33">
    <w:name w:val="MFS正文 Char"/>
    <w:basedOn w:val="16"/>
    <w:autoRedefine/>
    <w:qFormat/>
    <w:uiPriority w:val="0"/>
    <w:pPr>
      <w:adjustRightInd w:val="0"/>
      <w:snapToGrid w:val="0"/>
      <w:spacing w:before="93" w:line="360" w:lineRule="auto"/>
      <w:ind w:firstLine="200" w:firstLineChars="200"/>
    </w:pPr>
    <w:rPr>
      <w:rFonts w:ascii="Times New Roman" w:hAnsi="Times New Roman" w:eastAsia="楷体_GB2312" w:cs="Times New Roman"/>
      <w:sz w:val="24"/>
      <w:szCs w:val="24"/>
    </w:rPr>
  </w:style>
  <w:style w:type="character" w:customStyle="1" w:styleId="34">
    <w:name w:val="正文文本 Char"/>
    <w:basedOn w:val="20"/>
    <w:link w:val="6"/>
    <w:autoRedefine/>
    <w:qFormat/>
    <w:uiPriority w:val="99"/>
  </w:style>
  <w:style w:type="character" w:customStyle="1" w:styleId="35">
    <w:name w:val="正文首行缩进 Char"/>
    <w:basedOn w:val="34"/>
    <w:link w:val="16"/>
    <w:autoRedefine/>
    <w:semiHidden/>
    <w:qFormat/>
    <w:uiPriority w:val="99"/>
  </w:style>
  <w:style w:type="character" w:customStyle="1" w:styleId="36">
    <w:name w:val="表格正文 Char"/>
    <w:link w:val="37"/>
    <w:autoRedefine/>
    <w:qFormat/>
    <w:locked/>
    <w:uiPriority w:val="0"/>
    <w:rPr>
      <w:szCs w:val="24"/>
    </w:rPr>
  </w:style>
  <w:style w:type="paragraph" w:customStyle="1" w:styleId="37">
    <w:name w:val="表格正文"/>
    <w:basedOn w:val="1"/>
    <w:next w:val="1"/>
    <w:link w:val="36"/>
    <w:autoRedefine/>
    <w:qFormat/>
    <w:uiPriority w:val="0"/>
    <w:pPr>
      <w:spacing w:line="360" w:lineRule="exact"/>
      <w:jc w:val="center"/>
    </w:pPr>
    <w:rPr>
      <w:szCs w:val="24"/>
    </w:rPr>
  </w:style>
  <w:style w:type="paragraph" w:customStyle="1" w:styleId="38">
    <w:name w:val="表内容"/>
    <w:basedOn w:val="1"/>
    <w:next w:val="1"/>
    <w:autoRedefine/>
    <w:qFormat/>
    <w:uiPriority w:val="99"/>
    <w:pPr>
      <w:spacing w:line="320" w:lineRule="exact"/>
      <w:jc w:val="center"/>
    </w:pPr>
    <w:rPr>
      <w:rFonts w:ascii="Times New Roman" w:hAnsi="Times New Roman" w:eastAsia="宋体" w:cs="Times New Roman"/>
      <w:szCs w:val="20"/>
    </w:rPr>
  </w:style>
  <w:style w:type="character" w:customStyle="1" w:styleId="39">
    <w:name w:val="正文文本缩进 3 Char"/>
    <w:basedOn w:val="20"/>
    <w:link w:val="11"/>
    <w:autoRedefine/>
    <w:semiHidden/>
    <w:qFormat/>
    <w:uiPriority w:val="99"/>
    <w:rPr>
      <w:sz w:val="16"/>
      <w:szCs w:val="16"/>
    </w:rPr>
  </w:style>
  <w:style w:type="character" w:customStyle="1" w:styleId="40">
    <w:name w:val="页眉 Char"/>
    <w:basedOn w:val="20"/>
    <w:link w:val="10"/>
    <w:autoRedefine/>
    <w:qFormat/>
    <w:uiPriority w:val="99"/>
    <w:rPr>
      <w:sz w:val="18"/>
      <w:szCs w:val="18"/>
    </w:rPr>
  </w:style>
  <w:style w:type="character" w:customStyle="1" w:styleId="41">
    <w:name w:val="页脚 Char"/>
    <w:basedOn w:val="20"/>
    <w:link w:val="9"/>
    <w:autoRedefine/>
    <w:qFormat/>
    <w:uiPriority w:val="99"/>
    <w:rPr>
      <w:sz w:val="18"/>
      <w:szCs w:val="18"/>
    </w:rPr>
  </w:style>
  <w:style w:type="paragraph" w:customStyle="1" w:styleId="4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43">
    <w:name w:val="中文报告书样式"/>
    <w:basedOn w:val="1"/>
    <w:autoRedefine/>
    <w:qFormat/>
    <w:uiPriority w:val="0"/>
    <w:pPr>
      <w:widowControl/>
      <w:adjustRightInd w:val="0"/>
      <w:spacing w:line="480" w:lineRule="atLeast"/>
      <w:ind w:firstLine="482"/>
      <w:jc w:val="left"/>
    </w:pPr>
    <w:rPr>
      <w:rFonts w:ascii="黑体" w:hAnsi="黑体" w:eastAsia="宋体" w:cs="黑体"/>
      <w:kern w:val="24"/>
      <w:sz w:val="24"/>
      <w:szCs w:val="20"/>
    </w:rPr>
  </w:style>
  <w:style w:type="paragraph" w:customStyle="1" w:styleId="44">
    <w:name w:val="表格内格式"/>
    <w:basedOn w:val="1"/>
    <w:link w:val="45"/>
    <w:autoRedefine/>
    <w:qFormat/>
    <w:uiPriority w:val="0"/>
    <w:pPr>
      <w:adjustRightInd w:val="0"/>
      <w:snapToGrid w:val="0"/>
      <w:spacing w:before="60"/>
      <w:jc w:val="center"/>
    </w:pPr>
    <w:rPr>
      <w:rFonts w:ascii="Times New Roman" w:hAnsi="Times New Roman" w:eastAsia="宋体" w:cs="宋体"/>
      <w:snapToGrid w:val="0"/>
      <w:kern w:val="0"/>
      <w:sz w:val="18"/>
      <w:szCs w:val="20"/>
    </w:rPr>
  </w:style>
  <w:style w:type="character" w:customStyle="1" w:styleId="45">
    <w:name w:val="表格内格式 Char"/>
    <w:link w:val="44"/>
    <w:autoRedefine/>
    <w:qFormat/>
    <w:uiPriority w:val="0"/>
    <w:rPr>
      <w:rFonts w:ascii="Times New Roman" w:hAnsi="Times New Roman" w:eastAsia="宋体" w:cs="宋体"/>
      <w:snapToGrid w:val="0"/>
      <w:kern w:val="0"/>
      <w:sz w:val="18"/>
      <w:szCs w:val="20"/>
    </w:rPr>
  </w:style>
  <w:style w:type="character" w:customStyle="1" w:styleId="46">
    <w:name w:val="表格 Char"/>
    <w:link w:val="47"/>
    <w:autoRedefine/>
    <w:qFormat/>
    <w:locked/>
    <w:uiPriority w:val="0"/>
    <w:rPr>
      <w:rFonts w:ascii="宋体"/>
    </w:rPr>
  </w:style>
  <w:style w:type="paragraph" w:customStyle="1" w:styleId="47">
    <w:name w:val="表格"/>
    <w:basedOn w:val="1"/>
    <w:next w:val="1"/>
    <w:link w:val="46"/>
    <w:autoRedefine/>
    <w:qFormat/>
    <w:uiPriority w:val="0"/>
    <w:pPr>
      <w:adjustRightInd w:val="0"/>
      <w:snapToGrid w:val="0"/>
      <w:spacing w:beforeLines="10" w:afterLines="10" w:line="259" w:lineRule="auto"/>
      <w:jc w:val="center"/>
    </w:pPr>
    <w:rPr>
      <w:rFonts w:ascii="宋体"/>
    </w:rPr>
  </w:style>
  <w:style w:type="character" w:customStyle="1" w:styleId="48">
    <w:name w:val="2 表格内容 Char"/>
    <w:link w:val="49"/>
    <w:autoRedefine/>
    <w:qFormat/>
    <w:uiPriority w:val="0"/>
    <w:rPr>
      <w:szCs w:val="21"/>
    </w:rPr>
  </w:style>
  <w:style w:type="paragraph" w:customStyle="1" w:styleId="49">
    <w:name w:val="2 表格内容"/>
    <w:basedOn w:val="1"/>
    <w:link w:val="48"/>
    <w:autoRedefine/>
    <w:qFormat/>
    <w:uiPriority w:val="0"/>
    <w:pPr>
      <w:adjustRightInd w:val="0"/>
      <w:snapToGrid w:val="0"/>
      <w:spacing w:line="320" w:lineRule="exact"/>
      <w:jc w:val="center"/>
    </w:pPr>
    <w:rPr>
      <w:szCs w:val="21"/>
    </w:rPr>
  </w:style>
  <w:style w:type="character" w:customStyle="1" w:styleId="50">
    <w:name w:val="图表标注 Char"/>
    <w:link w:val="51"/>
    <w:autoRedefine/>
    <w:qFormat/>
    <w:uiPriority w:val="0"/>
    <w:rPr>
      <w:rFonts w:eastAsia="黑体"/>
      <w:sz w:val="24"/>
    </w:rPr>
  </w:style>
  <w:style w:type="paragraph" w:customStyle="1" w:styleId="51">
    <w:name w:val="图表标注"/>
    <w:basedOn w:val="1"/>
    <w:link w:val="50"/>
    <w:autoRedefine/>
    <w:qFormat/>
    <w:uiPriority w:val="0"/>
    <w:pPr>
      <w:spacing w:line="480" w:lineRule="exact"/>
      <w:jc w:val="center"/>
    </w:pPr>
    <w:rPr>
      <w:rFonts w:eastAsia="黑体"/>
      <w:sz w:val="24"/>
    </w:rPr>
  </w:style>
  <w:style w:type="character" w:customStyle="1" w:styleId="52">
    <w:name w:val="fontstyle01"/>
    <w:autoRedefine/>
    <w:qFormat/>
    <w:uiPriority w:val="0"/>
    <w:rPr>
      <w:rFonts w:hint="eastAsia" w:ascii="宋体" w:hAnsi="宋体" w:eastAsia="宋体"/>
      <w:color w:val="000000"/>
      <w:sz w:val="24"/>
      <w:szCs w:val="24"/>
    </w:rPr>
  </w:style>
  <w:style w:type="character" w:customStyle="1" w:styleId="53">
    <w:name w:val="Default Char Char"/>
    <w:link w:val="27"/>
    <w:autoRedefine/>
    <w:qFormat/>
    <w:uiPriority w:val="0"/>
    <w:rPr>
      <w:rFonts w:ascii="宋体" w:hAnsi="Times New Roman" w:eastAsia="宋体" w:cs="宋体"/>
      <w:color w:val="000000"/>
      <w:kern w:val="0"/>
      <w:sz w:val="24"/>
      <w:szCs w:val="24"/>
    </w:rPr>
  </w:style>
  <w:style w:type="paragraph" w:customStyle="1" w:styleId="54">
    <w:name w:val="无间隔1"/>
    <w:autoRedefine/>
    <w:qFormat/>
    <w:uiPriority w:val="1"/>
    <w:pPr>
      <w:widowControl w:val="0"/>
      <w:jc w:val="center"/>
    </w:pPr>
    <w:rPr>
      <w:rFonts w:ascii="Times New Roman" w:hAnsi="Times New Roman" w:eastAsia="宋体" w:cs="Times New Roman"/>
      <w:kern w:val="2"/>
      <w:sz w:val="21"/>
      <w:szCs w:val="24"/>
      <w:lang w:val="en-US" w:eastAsia="zh-CN" w:bidi="ar-SA"/>
    </w:rPr>
  </w:style>
  <w:style w:type="paragraph" w:customStyle="1" w:styleId="55">
    <w:name w:val="列出段落1"/>
    <w:basedOn w:val="1"/>
    <w:autoRedefine/>
    <w:qFormat/>
    <w:uiPriority w:val="34"/>
    <w:pPr>
      <w:ind w:firstLine="420" w:firstLineChars="200"/>
    </w:pPr>
    <w:rPr>
      <w:rFonts w:ascii="Times New Roman" w:hAnsi="Times New Roman" w:eastAsia="宋体" w:cs="Times New Roman"/>
    </w:rPr>
  </w:style>
  <w:style w:type="character" w:customStyle="1" w:styleId="56">
    <w:name w:val="报告表正文 Char Char"/>
    <w:link w:val="57"/>
    <w:autoRedefine/>
    <w:qFormat/>
    <w:uiPriority w:val="0"/>
    <w:rPr>
      <w:rFonts w:eastAsia="宋体"/>
      <w:sz w:val="24"/>
    </w:rPr>
  </w:style>
  <w:style w:type="paragraph" w:customStyle="1" w:styleId="57">
    <w:name w:val="报告表正文"/>
    <w:basedOn w:val="1"/>
    <w:link w:val="56"/>
    <w:autoRedefine/>
    <w:qFormat/>
    <w:uiPriority w:val="0"/>
    <w:pPr>
      <w:adjustRightInd w:val="0"/>
      <w:spacing w:line="312" w:lineRule="auto"/>
      <w:ind w:left="113" w:right="113" w:firstLine="482"/>
      <w:jc w:val="left"/>
      <w:textAlignment w:val="baseline"/>
    </w:pPr>
    <w:rPr>
      <w:rFonts w:eastAsia="宋体"/>
      <w:sz w:val="24"/>
    </w:rPr>
  </w:style>
  <w:style w:type="character" w:customStyle="1" w:styleId="58">
    <w:name w:val="表格内容 Char Char"/>
    <w:link w:val="26"/>
    <w:autoRedefine/>
    <w:qFormat/>
    <w:uiPriority w:val="0"/>
    <w:rPr>
      <w:rFonts w:ascii="Arial" w:hAnsi="Arial" w:eastAsia="仿宋_GB2312" w:cs="Times New Roman"/>
      <w:kern w:val="0"/>
      <w:sz w:val="24"/>
      <w:szCs w:val="20"/>
    </w:rPr>
  </w:style>
  <w:style w:type="character" w:customStyle="1" w:styleId="59">
    <w:name w:val="正文文本 2 Char"/>
    <w:basedOn w:val="20"/>
    <w:link w:val="13"/>
    <w:autoRedefine/>
    <w:semiHidden/>
    <w:qFormat/>
    <w:uiPriority w:val="99"/>
  </w:style>
  <w:style w:type="character" w:customStyle="1" w:styleId="60">
    <w:name w:val="批注文字 Char2"/>
    <w:autoRedefine/>
    <w:qFormat/>
    <w:uiPriority w:val="99"/>
    <w:rPr>
      <w:szCs w:val="24"/>
    </w:rPr>
  </w:style>
  <w:style w:type="character" w:customStyle="1" w:styleId="61">
    <w:name w:val="占位符文本1"/>
    <w:basedOn w:val="20"/>
    <w:autoRedefine/>
    <w:semiHidden/>
    <w:qFormat/>
    <w:uiPriority w:val="99"/>
    <w:rPr>
      <w:color w:val="808080"/>
    </w:rPr>
  </w:style>
  <w:style w:type="paragraph" w:customStyle="1" w:styleId="62">
    <w:name w:val="+正文"/>
    <w:basedOn w:val="1"/>
    <w:autoRedefine/>
    <w:qFormat/>
    <w:uiPriority w:val="0"/>
    <w:pPr>
      <w:spacing w:line="360" w:lineRule="auto"/>
      <w:ind w:firstLine="200" w:firstLineChars="200"/>
    </w:pPr>
    <w:rPr>
      <w:rFonts w:eastAsia="宋体"/>
      <w:sz w:val="24"/>
      <w:szCs w:val="28"/>
    </w:rPr>
  </w:style>
  <w:style w:type="paragraph" w:customStyle="1" w:styleId="63">
    <w:name w:val="Table Paragraph"/>
    <w:basedOn w:val="1"/>
    <w:autoRedefine/>
    <w:qFormat/>
    <w:uiPriority w:val="1"/>
  </w:style>
  <w:style w:type="paragraph" w:customStyle="1" w:styleId="64">
    <w:name w:val="Table Text"/>
    <w:basedOn w:val="1"/>
    <w:autoRedefine/>
    <w:semiHidden/>
    <w:qFormat/>
    <w:uiPriority w:val="0"/>
    <w:rPr>
      <w:rFonts w:ascii="宋体" w:hAnsi="宋体" w:eastAsia="宋体" w:cs="宋体"/>
      <w:sz w:val="24"/>
      <w:szCs w:val="24"/>
      <w:lang w:eastAsia="en-US"/>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character" w:customStyle="1" w:styleId="66">
    <w:name w:val="font31"/>
    <w:basedOn w:val="20"/>
    <w:autoRedefine/>
    <w:qFormat/>
    <w:uiPriority w:val="0"/>
    <w:rPr>
      <w:rFonts w:hint="eastAsia" w:ascii="宋体" w:hAnsi="宋体" w:eastAsia="宋体" w:cs="宋体"/>
      <w:color w:val="000000"/>
      <w:sz w:val="18"/>
      <w:szCs w:val="18"/>
      <w:u w:val="none"/>
    </w:rPr>
  </w:style>
  <w:style w:type="character" w:customStyle="1" w:styleId="67">
    <w:name w:val="font21"/>
    <w:basedOn w:val="20"/>
    <w:autoRedefine/>
    <w:qFormat/>
    <w:uiPriority w:val="0"/>
    <w:rPr>
      <w:rFonts w:hint="default" w:ascii="Times New Roman" w:hAnsi="Times New Roman" w:cs="Times New Roman"/>
      <w:color w:val="000000"/>
      <w:sz w:val="18"/>
      <w:szCs w:val="18"/>
      <w:u w:val="none"/>
    </w:rPr>
  </w:style>
  <w:style w:type="character" w:customStyle="1" w:styleId="68">
    <w:name w:val="font41"/>
    <w:basedOn w:val="20"/>
    <w:autoRedefine/>
    <w:qFormat/>
    <w:uiPriority w:val="0"/>
    <w:rPr>
      <w:rFonts w:hint="default" w:ascii="Times New Roman" w:hAnsi="Times New Roman" w:cs="Times New Roman"/>
      <w:color w:val="000000"/>
      <w:sz w:val="18"/>
      <w:szCs w:val="18"/>
      <w:u w:val="none"/>
    </w:rPr>
  </w:style>
  <w:style w:type="character" w:customStyle="1" w:styleId="69">
    <w:name w:val="font71"/>
    <w:basedOn w:val="20"/>
    <w:autoRedefine/>
    <w:qFormat/>
    <w:uiPriority w:val="0"/>
    <w:rPr>
      <w:rFonts w:hint="eastAsia" w:ascii="宋体" w:hAnsi="宋体" w:eastAsia="宋体" w:cs="宋体"/>
      <w:b/>
      <w:bCs/>
      <w:color w:val="000000"/>
      <w:sz w:val="18"/>
      <w:szCs w:val="18"/>
      <w:u w:val="none"/>
    </w:rPr>
  </w:style>
  <w:style w:type="character" w:customStyle="1" w:styleId="70">
    <w:name w:val="font11"/>
    <w:basedOn w:val="20"/>
    <w:autoRedefine/>
    <w:qFormat/>
    <w:uiPriority w:val="0"/>
    <w:rPr>
      <w:rFonts w:hint="default" w:ascii="Times New Roman" w:hAnsi="Times New Roman" w:cs="Times New Roman"/>
      <w:b/>
      <w:bCs/>
      <w:color w:val="000000"/>
      <w:sz w:val="18"/>
      <w:szCs w:val="18"/>
      <w:u w:val="none"/>
    </w:rPr>
  </w:style>
  <w:style w:type="character" w:customStyle="1" w:styleId="71">
    <w:name w:val="font81"/>
    <w:basedOn w:val="20"/>
    <w:autoRedefine/>
    <w:qFormat/>
    <w:uiPriority w:val="0"/>
    <w:rPr>
      <w:rFonts w:hint="eastAsia" w:ascii="宋体" w:hAnsi="宋体" w:eastAsia="宋体" w:cs="宋体"/>
      <w:color w:val="000000"/>
      <w:sz w:val="18"/>
      <w:szCs w:val="18"/>
      <w:u w:val="none"/>
    </w:rPr>
  </w:style>
  <w:style w:type="character" w:customStyle="1" w:styleId="72">
    <w:name w:val="font91"/>
    <w:basedOn w:val="20"/>
    <w:autoRedefine/>
    <w:qFormat/>
    <w:uiPriority w:val="0"/>
    <w:rPr>
      <w:rFonts w:hint="eastAsia" w:ascii="宋体" w:hAnsi="宋体" w:eastAsia="宋体" w:cs="宋体"/>
      <w:color w:val="000000"/>
      <w:sz w:val="18"/>
      <w:szCs w:val="18"/>
      <w:u w:val="none"/>
    </w:rPr>
  </w:style>
  <w:style w:type="character" w:customStyle="1" w:styleId="73">
    <w:name w:val="font101"/>
    <w:basedOn w:val="20"/>
    <w:autoRedefine/>
    <w:qFormat/>
    <w:uiPriority w:val="0"/>
    <w:rPr>
      <w:rFonts w:hint="default" w:ascii="Times New Roman" w:hAnsi="Times New Roman" w:cs="Times New Roman"/>
      <w:color w:val="000000"/>
      <w:sz w:val="18"/>
      <w:szCs w:val="18"/>
      <w:u w:val="none"/>
    </w:rPr>
  </w:style>
  <w:style w:type="character" w:customStyle="1" w:styleId="74">
    <w:name w:val="font112"/>
    <w:basedOn w:val="20"/>
    <w:autoRedefine/>
    <w:qFormat/>
    <w:uiPriority w:val="0"/>
    <w:rPr>
      <w:rFonts w:hint="eastAsia" w:ascii="宋体" w:hAnsi="宋体" w:eastAsia="宋体" w:cs="宋体"/>
      <w:color w:val="000000"/>
      <w:sz w:val="18"/>
      <w:szCs w:val="18"/>
      <w:u w:val="none"/>
    </w:rPr>
  </w:style>
  <w:style w:type="character" w:customStyle="1" w:styleId="75">
    <w:name w:val="font121"/>
    <w:basedOn w:val="20"/>
    <w:autoRedefine/>
    <w:qFormat/>
    <w:uiPriority w:val="0"/>
    <w:rPr>
      <w:rFonts w:hint="eastAsia" w:ascii="宋体" w:hAnsi="宋体" w:eastAsia="宋体" w:cs="宋体"/>
      <w:b/>
      <w:bCs/>
      <w:color w:val="000000"/>
      <w:sz w:val="18"/>
      <w:szCs w:val="18"/>
      <w:u w:val="none"/>
    </w:rPr>
  </w:style>
  <w:style w:type="character" w:customStyle="1" w:styleId="76">
    <w:name w:val="font131"/>
    <w:basedOn w:val="20"/>
    <w:autoRedefine/>
    <w:qFormat/>
    <w:uiPriority w:val="0"/>
    <w:rPr>
      <w:rFonts w:hint="default" w:ascii="Times New Roman" w:hAnsi="Times New Roman" w:cs="Times New Roman"/>
      <w:color w:val="000000"/>
      <w:sz w:val="20"/>
      <w:szCs w:val="20"/>
      <w:u w:val="none"/>
    </w:rPr>
  </w:style>
  <w:style w:type="character" w:customStyle="1" w:styleId="77">
    <w:name w:val="font141"/>
    <w:basedOn w:val="20"/>
    <w:autoRedefine/>
    <w:qFormat/>
    <w:uiPriority w:val="0"/>
    <w:rPr>
      <w:rFonts w:hint="eastAsia" w:ascii="宋体" w:hAnsi="宋体" w:eastAsia="宋体" w:cs="宋体"/>
      <w:color w:val="000000"/>
      <w:sz w:val="20"/>
      <w:szCs w:val="20"/>
      <w:u w:val="none"/>
    </w:rPr>
  </w:style>
  <w:style w:type="character" w:customStyle="1" w:styleId="78">
    <w:name w:val="font61"/>
    <w:basedOn w:val="20"/>
    <w:autoRedefine/>
    <w:qFormat/>
    <w:uiPriority w:val="0"/>
    <w:rPr>
      <w:rFonts w:hint="default" w:ascii="Times New Roman" w:hAnsi="Times New Roman" w:cs="Times New Roman"/>
      <w:color w:val="000000"/>
      <w:sz w:val="18"/>
      <w:szCs w:val="18"/>
      <w:u w:val="none"/>
    </w:rPr>
  </w:style>
  <w:style w:type="paragraph" w:customStyle="1" w:styleId="79">
    <w:name w:val="li_正文"/>
    <w:basedOn w:val="1"/>
    <w:autoRedefine/>
    <w:qFormat/>
    <w:uiPriority w:val="0"/>
    <w:pPr>
      <w:tabs>
        <w:tab w:val="left" w:pos="2340"/>
        <w:tab w:val="left" w:pos="4320"/>
      </w:tabs>
      <w:ind w:firstLine="530" w:firstLineChars="200"/>
    </w:pPr>
    <w:rPr>
      <w:rFonts w:ascii="Calibri" w:hAnsi="Calibri" w:eastAsia="宋体" w:cs="Times New Roman"/>
      <w:sz w:val="28"/>
      <w:szCs w:val="28"/>
    </w:rPr>
  </w:style>
  <w:style w:type="paragraph" w:styleId="80">
    <w:name w:val="List Paragraph"/>
    <w:basedOn w:val="1"/>
    <w:autoRedefine/>
    <w:qFormat/>
    <w:uiPriority w:val="99"/>
    <w:pPr>
      <w:ind w:firstLine="420" w:firstLineChars="200"/>
    </w:pPr>
  </w:style>
  <w:style w:type="paragraph" w:styleId="81">
    <w:name w:val="No Spacing"/>
    <w:autoRedefine/>
    <w:qFormat/>
    <w:uiPriority w:val="1"/>
    <w:pPr>
      <w:jc w:val="center"/>
    </w:pPr>
    <w:rPr>
      <w:rFonts w:asciiTheme="minorHAnsi" w:hAnsiTheme="minorHAnsi" w:eastAsiaTheme="minorEastAsia" w:cstheme="minorBidi"/>
      <w:sz w:val="21"/>
      <w:lang w:val="en-US" w:eastAsia="zh-CN" w:bidi="ar-SA"/>
    </w:rPr>
  </w:style>
  <w:style w:type="paragraph" w:customStyle="1" w:styleId="82">
    <w:name w:val="简单回函地址"/>
    <w:basedOn w:val="1"/>
    <w:autoRedefine/>
    <w:qFormat/>
    <w:uiPriority w:val="0"/>
    <w:pPr>
      <w:keepNext/>
      <w:keepLines/>
      <w:snapToGrid w:val="0"/>
      <w:spacing w:line="480" w:lineRule="exact"/>
      <w:ind w:firstLine="480" w:firstLineChars="200"/>
    </w:pPr>
    <w:rPr>
      <w:rFonts w:ascii="Times New Roman" w:hAnsi="Times New Roman" w:eastAsia="宋体" w:cs="Times New Roman"/>
      <w:sz w:val="24"/>
      <w:szCs w:val="20"/>
    </w:rPr>
  </w:style>
  <w:style w:type="paragraph" w:customStyle="1" w:styleId="83">
    <w:name w:val="1正文"/>
    <w:autoRedefine/>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84">
    <w:name w:val="font51"/>
    <w:basedOn w:val="20"/>
    <w:autoRedefine/>
    <w:qFormat/>
    <w:uiPriority w:val="0"/>
    <w:rPr>
      <w:rFonts w:hint="default" w:ascii="Times New Roman" w:hAnsi="Times New Roman" w:cs="Times New Roman"/>
      <w:color w:val="000000"/>
      <w:sz w:val="18"/>
      <w:szCs w:val="18"/>
      <w:u w:val="none"/>
    </w:rPr>
  </w:style>
  <w:style w:type="character" w:customStyle="1" w:styleId="85">
    <w:name w:val="text_jrykg"/>
    <w:basedOn w:val="20"/>
    <w:autoRedefine/>
    <w:qFormat/>
    <w:uiPriority w:val="0"/>
  </w:style>
  <w:style w:type="paragraph" w:customStyle="1" w:styleId="86">
    <w:name w:val="BodyText1I2"/>
    <w:basedOn w:val="1"/>
    <w:next w:val="1"/>
    <w:qFormat/>
    <w:uiPriority w:val="0"/>
    <w:pPr>
      <w:ind w:firstLine="420"/>
      <w:textAlignment w:val="baseline"/>
    </w:pPr>
  </w:style>
  <w:style w:type="paragraph" w:customStyle="1" w:styleId="87">
    <w:name w:val="表格1"/>
    <w:basedOn w:val="4"/>
    <w:qFormat/>
    <w:uiPriority w:val="0"/>
    <w:pPr>
      <w:adjustRightInd w:val="0"/>
      <w:spacing w:line="360" w:lineRule="auto"/>
      <w:ind w:firstLine="0" w:firstLineChars="0"/>
      <w:jc w:val="center"/>
      <w:textAlignment w:val="baseline"/>
    </w:pPr>
    <w:rPr>
      <w:rFonts w:ascii="宋体" w:hAnsi="宋体"/>
      <w:kern w:val="0"/>
      <w:sz w:val="24"/>
    </w:rPr>
  </w:style>
  <w:style w:type="paragraph" w:customStyle="1" w:styleId="88">
    <w:name w:val="图表"/>
    <w:basedOn w:val="1"/>
    <w:qFormat/>
    <w:uiPriority w:val="0"/>
    <w:pPr>
      <w:adjustRightInd w:val="0"/>
      <w:snapToGrid w:val="0"/>
      <w:jc w:val="center"/>
    </w:pPr>
    <w:rPr>
      <w:color w:val="000000"/>
      <w:lang w:val="zh-CN"/>
    </w:rPr>
  </w:style>
  <w:style w:type="paragraph" w:customStyle="1" w:styleId="89">
    <w:name w:val="表内文字"/>
    <w:basedOn w:val="1"/>
    <w:qFormat/>
    <w:uiPriority w:val="0"/>
    <w:pPr>
      <w:adjustRightInd w:val="0"/>
      <w:jc w:val="center"/>
      <w:textAlignment w:val="baseline"/>
    </w:pPr>
    <w:rPr>
      <w:szCs w:val="20"/>
    </w:rPr>
  </w:style>
  <w:style w:type="paragraph" w:customStyle="1" w:styleId="90">
    <w:name w:val="A标准格式"/>
    <w:basedOn w:val="1"/>
    <w:qFormat/>
    <w:uiPriority w:val="0"/>
    <w:pPr>
      <w:ind w:firstLine="480"/>
    </w:pPr>
  </w:style>
  <w:style w:type="paragraph" w:customStyle="1" w:styleId="91">
    <w:name w:val="正文01"/>
    <w:basedOn w:val="1"/>
    <w:qFormat/>
    <w:uiPriority w:val="0"/>
    <w:pPr>
      <w:spacing w:before="60" w:line="460" w:lineRule="exact"/>
      <w:ind w:firstLine="200" w:firstLineChars="200"/>
    </w:pPr>
    <w:rPr>
      <w:sz w:val="24"/>
      <w:szCs w:val="20"/>
    </w:rPr>
  </w:style>
  <w:style w:type="paragraph" w:customStyle="1" w:styleId="92">
    <w:name w:val="1小四"/>
    <w:basedOn w:val="1"/>
    <w:qFormat/>
    <w:uiPriority w:val="0"/>
    <w:pPr>
      <w:spacing w:line="360" w:lineRule="auto"/>
      <w:ind w:firstLine="480" w:firstLineChars="200"/>
    </w:pPr>
    <w:rPr>
      <w:rFonts w:ascii="Times New Roman" w:hAnsi="Times New Roman" w:cs="Times New Roman"/>
    </w:rPr>
  </w:style>
  <w:style w:type="paragraph" w:customStyle="1" w:styleId="93">
    <w:name w:val="居中"/>
    <w:basedOn w:val="1"/>
    <w:qFormat/>
    <w:uiPriority w:val="0"/>
    <w:pPr>
      <w:snapToGrid w:val="0"/>
      <w:spacing w:line="360" w:lineRule="auto"/>
      <w:jc w:val="center"/>
    </w:pPr>
    <w:rPr>
      <w:rFonts w:ascii="Times New Roman" w:hAnsi="Times New Roman" w:cs="Times New Roman"/>
    </w:rPr>
  </w:style>
  <w:style w:type="paragraph" w:customStyle="1" w:styleId="94">
    <w:name w:val="1表题"/>
    <w:basedOn w:val="1"/>
    <w:qFormat/>
    <w:uiPriority w:val="0"/>
    <w:pPr>
      <w:adjustRightInd w:val="0"/>
      <w:snapToGrid w:val="0"/>
      <w:spacing w:line="360" w:lineRule="auto"/>
      <w:jc w:val="center"/>
    </w:pPr>
    <w:rPr>
      <w:rFonts w:ascii="Times New Roman" w:hAnsi="Times New Roman" w:eastAsia="黑体" w:cs="Times New Roman"/>
      <w:szCs w:val="21"/>
    </w:rPr>
  </w:style>
  <w:style w:type="paragraph" w:customStyle="1" w:styleId="95">
    <w:name w:val="真·正文"/>
    <w:basedOn w:val="1"/>
    <w:qFormat/>
    <w:uiPriority w:val="0"/>
    <w:pPr>
      <w:spacing w:line="360" w:lineRule="auto"/>
      <w:ind w:firstLine="482" w:firstLineChars="200"/>
      <w:jc w:val="left"/>
    </w:pPr>
    <w:rPr>
      <w:rFonts w:ascii="Times New Roman" w:hAnsi="Times New Roman"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3.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wmf"/><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file:///C:\Users\&#26446;&#38738;&#38738;\AppData\Roaming\Tencent\Users\403002229\QQ\WinTemp\RichOle\030%2525252525252525252525252525252525252525252525252525UR9BYU3GM772(UBEC80.png" TargetMode="Externa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62133"/>
    <customShpInfo spid="_x0000_s62134"/>
    <customShpInfo spid="_x0000_s62127"/>
    <customShpInfo spid="_x0000_s62123"/>
    <customShpInfo spid="_x0000_s62125"/>
    <customShpInfo spid="_x0000_s62124"/>
    <customShpInfo spid="_x0000_s62120"/>
    <customShpInfo spid="_x0000_s6212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ntractReview xmlns="http://schemas.wps.cn/vas-ai-hub/contract-review">
  <reviewItems>
    <reviewItem>
      <errorID>b16ede1b-6309-491b-93eb-21182a3ecbb5</errorID>
      <errorWord>集其</errorWord>
      <group>L1_Word</group>
      <groupName>字词问题</groupName>
      <ability>L2_Typo</ability>
      <abilityName>字词错误</abilityName>
      <candidateList>
        <item>及其</item>
      </candidateList>
      <explain/>
      <paraID>24E4A6F7</paraID>
      <start>12</start>
      <end>14</end>
      <status>modified</status>
      <modifiedWord>及其</modifiedWord>
      <trackRevisions>false</trackRevisions>
    </reviewItem>
    <reviewItem>
      <errorID>c2d633e2-1e5a-41fe-bd50-b647101cd246</errorID>
      <errorWord>(</errorWord>
      <group>L1_Format</group>
      <groupName>格式问题</groupName>
      <ability>L2_HalfPunc</ability>
      <abilityName>全半角检查</abilityName>
      <candidateList>
        <item>（</item>
      </candidateList>
      <explain>文本全半角错误。</explain>
      <paraID>1D2A5933</paraID>
      <start>29</start>
      <end>30</end>
      <status>modified</status>
      <modifiedWord>（</modifiedWord>
      <trackRevisions>false</trackRevisions>
    </reviewItem>
    <reviewItem>
      <errorID>17e1fa6c-9be1-4811-a66f-070e09364d3b</errorID>
      <errorWord>)</errorWord>
      <group>L1_Format</group>
      <groupName>格式问题</groupName>
      <ability>L2_HalfPunc</ability>
      <abilityName>全半角检查</abilityName>
      <candidateList>
        <item>）</item>
      </candidateList>
      <explain>文本全半角错误。</explain>
      <paraID>1D2A5933</paraID>
      <start>31</start>
      <end>32</end>
      <status>modified</status>
      <modifiedWord>）</modifiedWord>
      <trackRevisions>false</trackRevisions>
    </reviewItem>
    <reviewItem>
      <errorID>8287eba5-e706-4c18-8bdd-8ecabf6fae7f</errorID>
      <errorWord>【2024】2号</errorWord>
      <group>L1_Knowledge</group>
      <groupName>知识性问题</groupName>
      <ability>L2_Knowledge</ability>
      <abilityName>其他知识</abilityName>
      <candidateList>
        <item>〔2024〕2号</item>
      </candidateList>
      <explain>发文字号格式错误。</explain>
      <paraID>1D2A5933</paraID>
      <start>33</start>
      <end>41</end>
      <status>modified</status>
      <modifiedWord>〔2024〕2号</modifiedWord>
      <trackRevisions>false</trackRevisions>
    </reviewItem>
    <reviewItem>
      <errorID>fa57a3e6-6385-4124-b730-75a65d2da89b</errorID>
      <errorWord>无需设置</errorWord>
      <group>L1_Word</group>
      <groupName>字词问题</groupName>
      <ability>L2_Alias</ability>
      <abilityName>也作/曾用词</abilityName>
      <candidateList>
        <item>无须设置</item>
      </candidateList>
      <explain>词汇[无需设置]为不规范表述或旧称，其规范书面表述为[无须设置]。</explain>
      <paraID>15D4FF85</paraID>
      <start>0</start>
      <end>4</end>
      <status>modified</status>
      <modifiedWord>无须设置</modifiedWord>
      <trackRevisions>false</trackRevisions>
    </reviewItem>
    <reviewItem>
      <errorID>87fc170f-99d6-4077-8e5a-1d768c2eba55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5A818B3F</paraID>
      <start>0</start>
      <end>2</end>
      <status>unmodified</status>
      <modifiedWord/>
      <trackRevisions>false</trackRevisions>
    </reviewItem>
    <reviewItem>
      <errorID>143d8174-e410-4fee-ab2f-b2308c56b4c2</errorID>
      <errorWord>(</errorWord>
      <group>L1_Format</group>
      <groupName>格式问题</groupName>
      <ability>L2_HalfPunc</ability>
      <abilityName>全半角检查</abilityName>
      <candidateList>
        <item>（</item>
      </candidateList>
      <explain>文本全半角错误。</explain>
      <paraID>22364D2D</paraID>
      <start>84</start>
      <end>85</end>
      <status>modified</status>
      <modifiedWord>（</modifiedWord>
      <trackRevisions>false</trackRevisions>
    </reviewItem>
    <reviewItem>
      <errorID>4248d223-9d00-402c-b704-9847a56474d9</errorID>
      <errorWord>)</errorWord>
      <group>L1_Format</group>
      <groupName>格式问题</groupName>
      <ability>L2_HalfPunc</ability>
      <abilityName>全半角检查</abilityName>
      <candidateList>
        <item>）</item>
      </candidateList>
      <explain>文本全半角错误。</explain>
      <paraID>22364D2D</paraID>
      <start>91</start>
      <end>92</end>
      <status>modified</status>
      <modifiedWord>）</modifiedWord>
      <trackRevisions>false</trackRevisions>
    </reviewItem>
    <reviewItem>
      <errorID>f283100b-b9b0-4f6c-b7a9-d6ea94a92ff1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5D5AEC44</paraID>
      <start>0</start>
      <end>2</end>
      <status>unmodified</status>
      <modifiedWord/>
      <trackRevisions>false</trackRevisions>
    </reviewItem>
    <reviewItem>
      <errorID>5a080198-0b03-409a-aa84-4c52cc11bdef</errorID>
      <errorWord>-</errorWord>
      <group>L1_Format</group>
      <groupName>格式问题</groupName>
      <ability>L2_HalfPunc</ability>
      <abilityName>全半角检查</abilityName>
      <candidateList>
        <item>－</item>
      </candidateList>
      <explain>文本全半角错误。</explain>
      <paraID>44D3450D</paraID>
      <start>85</start>
      <end>86</end>
      <status>unmodified</status>
      <modifiedWord/>
      <trackRevisions>false</trackRevisions>
    </reviewItem>
    <reviewItem>
      <errorID>1fee5fd1-7ad5-4242-9a68-7e8341ecf494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7277B31C</paraID>
      <start>0</start>
      <end>2</end>
      <status>unmodified</status>
      <modifiedWord/>
      <trackRevisions>false</trackRevisions>
    </reviewItem>
    <reviewItem>
      <errorID>349c52a5-0492-4b5f-8ae0-8a48b82056c6</errorID>
      <errorWord>胶粘剂</errorWord>
      <group>L1_Word</group>
      <groupName>字词问题</groupName>
      <ability>L2_Typo</ability>
      <abilityName>字词错误</abilityName>
      <candidateList>
        <item>胶黏剂</item>
      </candidateList>
      <explain/>
      <paraID>4251F98B</paraID>
      <start>26</start>
      <end>29</end>
      <status>unmodified</status>
      <modifiedWord/>
      <trackRevisions>false</trackRevisions>
    </reviewItem>
    <reviewItem>
      <errorID>95764e7c-c463-47ff-b7ee-074296f2abd7</errorID>
      <errorWord>两高项目</errorWord>
      <group>L1_Political</group>
      <groupName>政治性问题</groupName>
      <ability>L2_Keyword</ability>
      <abilityName>固定表述</abilityName>
      <candidateList>
        <item>“两高”项目</item>
      </candidateList>
      <explain>注意检查当前固定表述标点是否使用规范。</explain>
      <paraID>13635E94</paraID>
      <start>88</start>
      <end>94</end>
      <status>modified</status>
      <modifiedWord>“两高”项目</modifiedWord>
      <trackRevisions>false</trackRevisions>
    </reviewItem>
    <reviewItem>
      <errorID>31c02cae-d040-424c-a19b-d8fd9328dbbe</errorID>
      <errorWord>胶粘剂</errorWord>
      <group>L1_Word</group>
      <groupName>字词问题</groupName>
      <ability>L2_Typo</ability>
      <abilityName>字词错误</abilityName>
      <candidateList>
        <item>胶黏剂</item>
      </candidateList>
      <explain/>
      <paraID>7E2A4DDF</paraID>
      <start>46</start>
      <end>49</end>
      <status>unmodified</status>
      <modifiedWord/>
      <trackRevisions>false</trackRevisions>
    </reviewItem>
    <reviewItem>
      <errorID>8277f7d1-3dae-41eb-b19d-96e9e3e9ef2b</errorID>
      <errorWord>胶粘剂</errorWord>
      <group>L1_Word</group>
      <groupName>字词问题</groupName>
      <ability>L2_Typo</ability>
      <abilityName>字词错误</abilityName>
      <candidateList>
        <item>胶黏剂</item>
      </candidateList>
      <explain/>
      <paraID>7E2A4DDF</paraID>
      <start>208</start>
      <end>211</end>
      <status>unmodified</status>
      <modifiedWord/>
      <trackRevisions>false</trackRevisions>
    </reviewItem>
    <reviewItem>
      <errorID>50db9689-3767-471b-ba59-c6e73368fe5c</errorID>
      <errorWord>胶粘剂</errorWord>
      <group>L1_Word</group>
      <groupName>字词问题</groupName>
      <ability>L2_Typo</ability>
      <abilityName>字词错误</abilityName>
      <candidateList>
        <item>胶黏剂</item>
      </candidateList>
      <explain/>
      <paraID>7E2A4DDF</paraID>
      <start>291</start>
      <end>294</end>
      <status>unmodified</status>
      <modifiedWord/>
      <trackRevisions>false</trackRevisions>
    </reviewItem>
    <reviewItem>
      <errorID>687adc05-9af8-4985-85d2-541de09bb9e9</errorID>
      <errorWord>，</errorWord>
      <group>L1_Word</group>
      <groupName>字词问题</groupName>
      <ability>L2_Typo</ability>
      <abilityName>字词错误</abilityName>
      <candidateList>
        <item>，对</item>
      </candidateList>
      <explain/>
      <paraID>3A27133C</paraID>
      <start>144</start>
      <end>145</end>
      <status>unmodified</status>
      <modifiedWord/>
      <trackRevisions>false</trackRevisions>
    </reviewItem>
    <reviewItem>
      <errorID>140dc72e-569c-478a-ba6d-5a19fb8eaa2c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67DE9C19</paraID>
      <start>19</start>
      <end>22</end>
      <status>unmodified</status>
      <modifiedWord/>
      <trackRevisions>false</trackRevisions>
    </reviewItem>
    <reviewItem>
      <errorID>588ca78f-c4fa-48f7-bb9a-59ad8e2fa16f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208A284A</paraID>
      <start>210</start>
      <end>211</end>
      <status>unmodified</status>
      <modifiedWord/>
      <trackRevisions>false</trackRevisions>
    </reviewItem>
    <reviewItem>
      <errorID>f52b0aa0-73e0-4ba3-a155-650d2346494c</errorID>
      <errorWord>(</errorWord>
      <group>L1_Format</group>
      <groupName>格式问题</groupName>
      <ability>L2_HalfPunc</ability>
      <abilityName>全半角检查</abilityName>
      <candidateList>
        <item>（</item>
      </candidateList>
      <explain>文本全半角错误。</explain>
      <paraID>43B9C4D8</paraID>
      <start>53</start>
      <end>54</end>
      <status>modified</status>
      <modifiedWord>（</modifiedWord>
      <trackRevisions>false</trackRevisions>
    </reviewItem>
    <reviewItem>
      <errorID>20cba7c9-05fc-4320-912f-71a327361767</errorID>
      <errorWord>)</errorWord>
      <group>L1_Format</group>
      <groupName>格式问题</groupName>
      <ability>L2_HalfPunc</ability>
      <abilityName>全半角检查</abilityName>
      <candidateList>
        <item>）</item>
      </candidateList>
      <explain>文本全半角错误。</explain>
      <paraID>43B9C4D8</paraID>
      <start>60</start>
      <end>61</end>
      <status>modified</status>
      <modifiedWord>）</modifiedWord>
      <trackRevisions>false</trackRevisions>
    </reviewItem>
    <reviewItem>
      <errorID>a9d647cf-fa1a-47fa-8a8b-2e65df4f2896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D911C7</paraID>
      <start>0</start>
      <end>2</end>
      <status>unmodified</status>
      <modifiedWord/>
      <trackRevisions>false</trackRevisions>
    </reviewItem>
    <reviewItem>
      <errorID>df49791a-7069-4a05-958f-f1732d090197</errorID>
      <errorWord>胶粘剂</errorWord>
      <group>L1_Word</group>
      <groupName>字词问题</groupName>
      <ability>L2_Typo</ability>
      <abilityName>字词错误</abilityName>
      <candidateList>
        <item>胶黏剂</item>
      </candidateList>
      <explain/>
      <paraID>653977B3</paraID>
      <start>21</start>
      <end>24</end>
      <status>unmodified</status>
      <modifiedWord/>
      <trackRevisions>false</trackRevisions>
    </reviewItem>
    <reviewItem>
      <errorID>707c7470-cb30-41e5-877d-9a281491853b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3442F56A</paraID>
      <start>0</start>
      <end>2</end>
      <status>unmodified</status>
      <modifiedWord/>
      <trackRevisions>false</trackRevisions>
    </reviewItem>
    <reviewItem>
      <errorID>2722a95e-f087-473b-b115-250b9c3a414e</errorID>
      <errorWord>(</errorWord>
      <group>L1_Format</group>
      <groupName>格式问题</groupName>
      <ability>L2_HalfPunc</ability>
      <abilityName>全半角检查</abilityName>
      <candidateList>
        <item>（</item>
      </candidateList>
      <explain>文本全半角错误。</explain>
      <paraID>4283D1A9</paraID>
      <start>37</start>
      <end>38</end>
      <status>modified</status>
      <modifiedWord>（</modifiedWord>
      <trackRevisions>false</trackRevisions>
    </reviewItem>
    <reviewItem>
      <errorID>a8298616-97ae-4fbf-b6f6-c5114e824d02</errorID>
      <errorWord>)</errorWord>
      <group>L1_Format</group>
      <groupName>格式问题</groupName>
      <ability>L2_HalfPunc</ability>
      <abilityName>全半角检查</abilityName>
      <candidateList>
        <item>）</item>
      </candidateList>
      <explain>文本全半角错误。</explain>
      <paraID>4283D1A9</paraID>
      <start>39</start>
      <end>40</end>
      <status>modified</status>
      <modifiedWord>）</modifiedWord>
      <trackRevisions>false</trackRevisions>
    </reviewItem>
    <reviewItem>
      <errorID>11b41c3a-8aba-43cd-aa81-2ebc5a79aa8c</errorID>
      <errorWord>然</errorWord>
      <group>L1_Word</group>
      <groupName>字词问题</groupName>
      <ability>L2_Typo</ability>
      <abilityName>字词错误</abilityName>
      <candidateList>
        <item>然气</item>
      </candidateList>
      <explain/>
      <paraID>60CFAD96</paraID>
      <start>15</start>
      <end>17</end>
      <status>modified</status>
      <modifiedWord>然气</modifiedWord>
      <trackRevisions>false</trackRevisions>
    </reviewItem>
    <reviewItem>
      <errorID>81920e7d-7a3e-4ffd-aeaf-8c11968718e2</errorID>
      <errorWord>”</errorWord>
      <group>L1_Punc</group>
      <groupName>标点问题</groupName>
      <ability>L2_Punc</ability>
      <abilityName>标点符号检查</abilityName>
      <candidateList/>
      <explain>此处标点可能未正确匹配，请检查句子中是否存在标点冗余、缺失或使用错误的情况。</explain>
      <paraID>60CFAD96</paraID>
      <start>17</start>
      <end>18</end>
      <status>ignored</status>
      <modifiedWord/>
      <trackRevisions>false</trackRevisions>
    </reviewItem>
    <reviewItem>
      <errorID>648e2600-0a56-49a9-ba1d-b1b4a444a47c</errorID>
      <errorWord>如热炉</errorWord>
      <group>L1_Word</group>
      <groupName>字词问题</groupName>
      <ability>L2_Typo</ability>
      <abilityName>字词错误</abilityName>
      <candidateList>
        <item>加热炉</item>
      </candidateList>
      <explain/>
      <paraID>60CFAD96</paraID>
      <start>25</start>
      <end>28</end>
      <status>modified</status>
      <modifiedWord>加热炉</modifiedWord>
      <trackRevisions>false</trackRevisions>
    </reviewItem>
    <reviewItem>
      <errorID>9d09473f-daa9-4dec-8729-e9c89df3f581</errorID>
      <errorWord>(</errorWord>
      <group>L1_Format</group>
      <groupName>格式问题</groupName>
      <ability>L2_HalfPunc</ability>
      <abilityName>全半角检查</abilityName>
      <candidateList>
        <item>（</item>
      </candidateList>
      <explain>文本全半角错误。</explain>
      <paraID>60CFAD96</paraID>
      <start>38</start>
      <end>39</end>
      <status>modified</status>
      <modifiedWord>（</modifiedWord>
      <trackRevisions>false</trackRevisions>
    </reviewItem>
    <reviewItem>
      <errorID>af19e276-99dc-421b-878f-1a7102aa5259</errorID>
      <errorWord>)</errorWord>
      <group>L1_Format</group>
      <groupName>格式问题</groupName>
      <ability>L2_HalfPunc</ability>
      <abilityName>全半角检查</abilityName>
      <candidateList>
        <item>）</item>
      </candidateList>
      <explain>文本全半角错误。</explain>
      <paraID>60CFAD96</paraID>
      <start>40</start>
      <end>41</end>
      <status>modified</status>
      <modifiedWord>）</modifiedWord>
      <trackRevisions>false</trackRevisions>
    </reviewItem>
    <reviewItem>
      <errorID>34710513-108c-423e-be82-ae6f051dfd4a</errorID>
      <errorWord>,</errorWord>
      <group>L1_Format</group>
      <groupName>格式问题</groupName>
      <ability>L2_HalfPunc</ability>
      <abilityName>全半角检查</abilityName>
      <candidateList>
        <item>，</item>
      </candidateList>
      <explain>文本全半角错误。</explain>
      <paraID>4F71413B</paraID>
      <start>12</start>
      <end>13</end>
      <status>modified</status>
      <modifiedWord>，</modifiedWord>
      <trackRevisions>false</trackRevisions>
    </reviewItem>
    <reviewItem>
      <errorID>af25e5d6-7eda-4340-a755-5c72665324c4</errorID>
      <errorWord>(</errorWord>
      <group>L1_Format</group>
      <groupName>格式问题</groupName>
      <ability>L2_HalfPunc</ability>
      <abilityName>全半角检查</abilityName>
      <candidateList>
        <item>（</item>
      </candidateList>
      <explain>文本全半角错误。</explain>
      <paraID>4F71413B</paraID>
      <start>24</start>
      <end>25</end>
      <status>modified</status>
      <modifiedWord>（</modifiedWord>
      <trackRevisions>false</trackRevisions>
    </reviewItem>
    <reviewItem>
      <errorID>a816be79-286c-4544-851c-6f52ce72734e</errorID>
      <errorWord>)</errorWord>
      <group>L1_Format</group>
      <groupName>格式问题</groupName>
      <ability>L2_HalfPunc</ability>
      <abilityName>全半角检查</abilityName>
      <candidateList>
        <item>）</item>
      </candidateList>
      <explain>文本全半角错误。</explain>
      <paraID>4F71413B</paraID>
      <start>34</start>
      <end>35</end>
      <status>modified</status>
      <modifiedWord>）</modifiedWord>
      <trackRevisions>false</trackRevisions>
    </reviewItem>
    <reviewItem>
      <errorID>3af75ade-2f82-4433-a9c1-93c6ca6dde59</errorID>
      <errorWord>(</errorWord>
      <group>L1_Format</group>
      <groupName>格式问题</groupName>
      <ability>L2_HalfPunc</ability>
      <abilityName>全半角检查</abilityName>
      <candidateList>
        <item>（</item>
      </candidateList>
      <explain>文本全半角错误。</explain>
      <paraID>4F71413B</paraID>
      <start>39</start>
      <end>40</end>
      <status>modified</status>
      <modifiedWord>（</modifiedWord>
      <trackRevisions>false</trackRevisions>
    </reviewItem>
    <reviewItem>
      <errorID>9c81b69a-6aca-4244-82cd-efd2268472f5</errorID>
      <errorWord>)</errorWord>
      <group>L1_Format</group>
      <groupName>格式问题</groupName>
      <ability>L2_HalfPunc</ability>
      <abilityName>全半角检查</abilityName>
      <candidateList>
        <item>）</item>
      </candidateList>
      <explain>文本全半角错误。</explain>
      <paraID>4F71413B</paraID>
      <start>43</start>
      <end>44</end>
      <status>modified</status>
      <modifiedWord>）</modifiedWord>
      <trackRevisions>false</trackRevisions>
    </reviewItem>
    <reviewItem>
      <errorID>f387e453-95c8-42e7-be8b-9f1b3cab4297</errorID>
      <errorWord>其它</errorWord>
      <group>L1_Word</group>
      <groupName>字词问题</groupName>
      <ability>L2_Alias</ability>
      <abilityName>也作/曾用词</abilityName>
      <candidateList>
        <item>其他</item>
      </candidateList>
      <explain>词汇[其它]为不规范表述或旧称，其规范书面表述为[其他]。</explain>
      <paraID>  376B3B</paraID>
      <start>0</start>
      <end>2</end>
      <status>unmodified</status>
      <modifiedWord/>
      <trackRevisions>false</trackRevisions>
    </reviewItem>
    <reviewItem>
      <errorID>4ac2e0c4-dfab-433a-a98a-b107cf23a440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7A169115</paraID>
      <start>0</start>
      <end>2</end>
      <status>unmodified</status>
      <modifiedWord/>
      <trackRevisions>false</trackRevisions>
    </reviewItem>
    <reviewItem>
      <errorID>67d3a43f-f9e1-4889-9685-f758ab5b1dbe</errorID>
      <errorWord>2023年09月19日</errorWord>
      <group>L1_Knowledge</group>
      <groupName>知识性问题</groupName>
      <ability>L2_Time</ability>
      <abilityName>日期时间</abilityName>
      <candidateList>
        <item>2023年9月19日</item>
      </candidateList>
      <explain>根据日常书写习惯，月份一般会省略前导零。</explain>
      <paraID>22CDF989</paraID>
      <start>164</start>
      <end>174</end>
      <status>modified</status>
      <modifiedWord>2023年9月19日</modifiedWord>
      <trackRevisions>false</trackRevisions>
    </reviewItem>
    <reviewItem>
      <errorID>30b3445d-138a-4ff7-bbb9-a91aaf321e46</errorID>
      <errorWord>详细</errorWord>
      <group>L1_Word</group>
      <groupName>字词问题</groupName>
      <ability>L2_Typo</ability>
      <abilityName>字词错误</abilityName>
      <candidateList>
        <item>详</item>
      </candidateList>
      <explain/>
      <paraID>469AC727</paraID>
      <start>182</start>
      <end>183</end>
      <status>modified</status>
      <modifiedWord>详</modifiedWord>
      <trackRevisions>false</trackRevisions>
    </reviewItem>
    <reviewItem>
      <errorID>340dc6a7-1c3d-4d4e-bc42-68d637e64785</errorID>
      <errorWord>(</errorWord>
      <group>L1_Format</group>
      <groupName>格式问题</groupName>
      <ability>L2_HalfPunc</ability>
      <abilityName>全半角检查</abilityName>
      <candidateList>
        <item>（</item>
      </candidateList>
      <explain>文本全半角错误。</explain>
      <paraID>6B52AB65</paraID>
      <start>14</start>
      <end>15</end>
      <status>modified</status>
      <modifiedWord>（</modifiedWord>
      <trackRevisions>false</trackRevisions>
    </reviewItem>
    <reviewItem>
      <errorID>8c01ede8-77a0-46b0-82af-f5530eada836</errorID>
      <errorWord>)</errorWord>
      <group>L1_Format</group>
      <groupName>格式问题</groupName>
      <ability>L2_HalfPunc</ability>
      <abilityName>全半角检查</abilityName>
      <candidateList>
        <item>）</item>
      </candidateList>
      <explain>文本全半角错误。</explain>
      <paraID>6B52AB65</paraID>
      <start>19</start>
      <end>20</end>
      <status>modified</status>
      <modifiedWord>）</modifiedWord>
      <trackRevisions>false</trackRevisions>
    </reviewItem>
    <reviewItem>
      <errorID>18e2aa53-76b7-48ed-945e-7a1b48b18c22</errorID>
      <errorWord>途外</errorWord>
      <group>L1_Word</group>
      <groupName>字词问题</groupName>
      <ability>L2_Typo</ability>
      <abilityName>字词错误</abilityName>
      <candidateList>
        <item>以外</item>
      </candidateList>
      <explain/>
      <paraID>35BF7411</paraID>
      <start>13</start>
      <end>15</end>
      <status>modified</status>
      <modifiedWord>以外</modifiedWord>
      <trackRevisions>false</trackRevisions>
    </reviewItem>
    <reviewItem>
      <errorID>6faa4c8c-40cc-4896-b5d2-e53028e2a8ef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2046BF8B</paraID>
      <start>0</start>
      <end>2</end>
      <status>unmodified</status>
      <modifiedWord/>
      <trackRevisions>false</trackRevisions>
    </reviewItem>
    <reviewItem>
      <errorID>2828682d-e706-4acb-b242-23ac65de51dd</errorID>
      <errorWord>后</errorWord>
      <group>L1_Word</group>
      <groupName>字词问题</groupName>
      <ability>L2_Typo</ability>
      <abilityName>字词错误</abilityName>
      <candidateList>
        <item>后将</item>
      </candidateList>
      <explain/>
      <paraID>5EC8D133</paraID>
      <start>20</start>
      <end>21</end>
      <status>unmodified</status>
      <modifiedWord/>
      <trackRevisions>false</trackRevisions>
    </reviewItem>
    <reviewItem>
      <errorID>55d71c00-17b5-4355-a494-8a80f46792ae</errorID>
      <errorWord>kw</errorWord>
      <group>L1_Word</group>
      <groupName>字词问题</groupName>
      <ability>L2_Typo</ability>
      <abilityName>字词错误</abilityName>
      <candidateList>
        <item>kW</item>
      </candidateList>
      <explain/>
      <paraID>732C9103</paraID>
      <start>6</start>
      <end>8</end>
      <status>modified</status>
      <modifiedWord>kW</modifiedWord>
      <trackRevisions>false</trackRevisions>
    </reviewItem>
    <reviewItem>
      <errorID>7e1c837c-141f-4bfd-8804-abac9a528576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403B61A1</paraID>
      <start>0</start>
      <end>2</end>
      <status>unmodified</status>
      <modifiedWord/>
      <trackRevisions>false</trackRevisions>
    </reviewItem>
    <reviewItem>
      <errorID>9e3ddc80-5430-4e97-ac55-814876a30126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758423D0</paraID>
      <start>0</start>
      <end>2</end>
      <status>unmodified</status>
      <modifiedWord/>
      <trackRevisions>false</trackRevisions>
    </reviewItem>
    <reviewItem>
      <errorID>3433ac4f-160f-4505-a09f-1ef88cdd3a52</errorID>
      <errorWord>，</errorWord>
      <group>L1_Format</group>
      <groupName>格式问题</groupName>
      <ability>L2_HalfPunc</ability>
      <abilityName>全半角检查</abilityName>
      <candidateList>
        <item>,</item>
      </candidateList>
      <explain>文本全半角错误。</explain>
      <paraID>6E1DD63B</paraID>
      <start>3</start>
      <end>4</end>
      <status>unmodified</status>
      <modifiedWord/>
      <trackRevisions>false</trackRevisions>
    </reviewItem>
    <reviewItem>
      <errorID>44571bcd-d78c-4c2c-9aa7-f31755bb8e60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14AE563F</paraID>
      <start>0</start>
      <end>2</end>
      <status>unmodified</status>
      <modifiedWord/>
      <trackRevisions>false</trackRevisions>
    </reviewItem>
    <reviewItem>
      <errorID>a1b53eb3-8e9f-4514-b4b0-ffe5cab71b6f</errorID>
      <errorWord>(</errorWord>
      <group>L1_Format</group>
      <groupName>格式问题</groupName>
      <ability>L2_HalfPunc</ability>
      <abilityName>全半角检查</abilityName>
      <candidateList>
        <item>（</item>
      </candidateList>
      <explain>文本全半角错误。</explain>
      <paraID>6ED97A7C</paraID>
      <start>10</start>
      <end>11</end>
      <status>modified</status>
      <modifiedWord>（</modifiedWord>
      <trackRevisions>false</trackRevisions>
    </reviewItem>
    <reviewItem>
      <errorID>62fd0cdc-6f9a-484f-b3c1-6f197d362d9d</errorID>
      <errorWord>)</errorWord>
      <group>L1_Format</group>
      <groupName>格式问题</groupName>
      <ability>L2_HalfPunc</ability>
      <abilityName>全半角检查</abilityName>
      <candidateList>
        <item>）</item>
      </candidateList>
      <explain>文本全半角错误。</explain>
      <paraID>6ED97A7C</paraID>
      <start>14</start>
      <end>15</end>
      <status>modified</status>
      <modifiedWord>）</modifiedWord>
      <trackRevisions>false</trackRevisions>
    </reviewItem>
    <reviewItem>
      <errorID>32c11eb3-66e0-4012-b334-fe6b905c48e9</errorID>
      <errorWord>(</errorWord>
      <group>L1_Format</group>
      <groupName>格式问题</groupName>
      <ability>L2_HalfPunc</ability>
      <abilityName>全半角检查</abilityName>
      <candidateList>
        <item>（</item>
      </candidateList>
      <explain>文本全半角错误。</explain>
      <paraID>6ED97A7C</paraID>
      <start>22</start>
      <end>23</end>
      <status>modified</status>
      <modifiedWord>（</modifiedWord>
      <trackRevisions>false</trackRevisions>
    </reviewItem>
    <reviewItem>
      <errorID>ca2dba9e-2e64-49b2-b6d0-1a22c42746bc</errorID>
      <errorWord>)</errorWord>
      <group>L1_Format</group>
      <groupName>格式问题</groupName>
      <ability>L2_HalfPunc</ability>
      <abilityName>全半角检查</abilityName>
      <candidateList>
        <item>）</item>
      </candidateList>
      <explain>文本全半角错误。</explain>
      <paraID>6ED97A7C</paraID>
      <start>28</start>
      <end>29</end>
      <status>modified</status>
      <modifiedWord>）</modifiedWord>
      <trackRevisions>false</trackRevisions>
    </reviewItem>
    <reviewItem>
      <errorID>9c79d57d-357e-46e1-aa9c-a5c6249afde2</errorID>
      <errorWord>(</errorWord>
      <group>L1_Format</group>
      <groupName>格式问题</groupName>
      <ability>L2_HalfPunc</ability>
      <abilityName>全半角检查</abilityName>
      <candidateList>
        <item>（</item>
      </candidateList>
      <explain>文本全半角错误。</explain>
      <paraID>6ED97A7C</paraID>
      <start>36</start>
      <end>37</end>
      <status>modified</status>
      <modifiedWord>（</modifiedWord>
      <trackRevisions>false</trackRevisions>
    </reviewItem>
    <reviewItem>
      <errorID>9d01c17c-8b68-45f4-a28d-e26a4acdf165</errorID>
      <errorWord>)</errorWord>
      <group>L1_Format</group>
      <groupName>格式问题</groupName>
      <ability>L2_HalfPunc</ability>
      <abilityName>全半角检查</abilityName>
      <candidateList>
        <item>）</item>
      </candidateList>
      <explain>文本全半角错误。</explain>
      <paraID>6ED97A7C</paraID>
      <start>39</start>
      <end>40</end>
      <status>modified</status>
      <modifiedWord>）</modifiedWord>
      <trackRevisions>false</trackRevisions>
    </reviewItem>
    <reviewItem>
      <errorID>6618ca32-b3ec-44d3-abec-45c37781793f</errorID>
      <errorWord>(</errorWord>
      <group>L1_Format</group>
      <groupName>格式问题</groupName>
      <ability>L2_HalfPunc</ability>
      <abilityName>全半角检查</abilityName>
      <candidateList>
        <item>（</item>
      </candidateList>
      <explain>文本全半角错误。</explain>
      <paraID>6ED97A7C</paraID>
      <start>48</start>
      <end>49</end>
      <status>modified</status>
      <modifiedWord>（</modifiedWord>
      <trackRevisions>false</trackRevisions>
    </reviewItem>
    <reviewItem>
      <errorID>25917aa2-de71-4540-ad1d-14a4b2151850</errorID>
      <errorWord>)</errorWord>
      <group>L1_Format</group>
      <groupName>格式问题</groupName>
      <ability>L2_HalfPunc</ability>
      <abilityName>全半角检查</abilityName>
      <candidateList>
        <item>）</item>
      </candidateList>
      <explain>文本全半角错误。</explain>
      <paraID>6ED97A7C</paraID>
      <start>53</start>
      <end>54</end>
      <status>modified</status>
      <modifiedWord>）</modifiedWord>
      <trackRevisions>false</trackRevisions>
    </reviewItem>
    <reviewItem>
      <errorID>a2c3d541-e923-4c03-be4d-48a00f112cbb</errorID>
      <errorWord>(</errorWord>
      <group>L1_Format</group>
      <groupName>格式问题</groupName>
      <ability>L2_HalfPunc</ability>
      <abilityName>全半角检查</abilityName>
      <candidateList>
        <item>（</item>
      </candidateList>
      <explain>文本全半角错误。</explain>
      <paraID>6ED97A7C</paraID>
      <start>65</start>
      <end>66</end>
      <status>modified</status>
      <modifiedWord>（</modifiedWord>
      <trackRevisions>false</trackRevisions>
    </reviewItem>
    <reviewItem>
      <errorID>98d2311c-e40c-4e7c-8481-cdec4fdf7bb1</errorID>
      <errorWord>)</errorWord>
      <group>L1_Format</group>
      <groupName>格式问题</groupName>
      <ability>L2_HalfPunc</ability>
      <abilityName>全半角检查</abilityName>
      <candidateList>
        <item>）</item>
      </candidateList>
      <explain>文本全半角错误。</explain>
      <paraID>6ED97A7C</paraID>
      <start>67</start>
      <end>68</end>
      <status>modified</status>
      <modifiedWord>）</modifiedWord>
      <trackRevisions>false</trackRevisions>
    </reviewItem>
    <reviewItem>
      <errorID>e185332f-3e5e-4348-b183-831f51cb5c5b</errorID>
      <errorWord>(</errorWord>
      <group>L1_Format</group>
      <groupName>格式问题</groupName>
      <ability>L2_HalfPunc</ability>
      <abilityName>全半角检查</abilityName>
      <candidateList>
        <item>（</item>
      </candidateList>
      <explain>文本全半角错误。</explain>
      <paraID>6ED97A7C</paraID>
      <start>74</start>
      <end>75</end>
      <status>modified</status>
      <modifiedWord>（</modifiedWord>
      <trackRevisions>false</trackRevisions>
    </reviewItem>
    <reviewItem>
      <errorID>f2d1270a-3291-4d5e-a410-02fde94fe7f8</errorID>
      <errorWord>)</errorWord>
      <group>L1_Format</group>
      <groupName>格式问题</groupName>
      <ability>L2_HalfPunc</ability>
      <abilityName>全半角检查</abilityName>
      <candidateList>
        <item>）</item>
      </candidateList>
      <explain>文本全半角错误。</explain>
      <paraID>6ED97A7C</paraID>
      <start>76</start>
      <end>77</end>
      <status>modified</status>
      <modifiedWord>）</modifiedWord>
      <trackRevisions>false</trackRevisions>
    </reviewItem>
    <reviewItem>
      <errorID>5add7fb2-57f0-4e3e-a0eb-c1faf4b347d3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12DF660D</paraID>
      <start>25</start>
      <end>26</end>
      <status>unmodified</status>
      <modifiedWord/>
      <trackRevisions>false</trackRevisions>
    </reviewItem>
    <reviewItem>
      <errorID>bccabd81-8cc7-4987-a80e-7d053247a072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50B25A9D</paraID>
      <start>0</start>
      <end>2</end>
      <status>unmodified</status>
      <modifiedWord/>
      <trackRevisions>false</trackRevisions>
    </reviewItem>
    <reviewItem>
      <errorID>1c33060a-448b-46fe-831b-ea35dd79b433</errorID>
      <errorWord>kw</errorWord>
      <group>L1_Word</group>
      <groupName>字词问题</groupName>
      <ability>L2_Typo</ability>
      <abilityName>字词错误</abilityName>
      <candidateList>
        <item>kW</item>
      </candidateList>
      <explain/>
      <paraID>558971B8</paraID>
      <start>36</start>
      <end>38</end>
      <status>unmodified</status>
      <modifiedWord/>
      <trackRevisions>false</trackRevisions>
    </reviewItem>
    <reviewItem>
      <errorID>7ec0701a-2bff-4cb1-89c6-65e33a78dde8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2B3D7E44</paraID>
      <start>0</start>
      <end>2</end>
      <status>unmodified</status>
      <modifiedWord/>
      <trackRevisions>false</trackRevisions>
    </reviewItem>
    <reviewItem>
      <errorID>0cb245ad-56e6-42b6-8708-6a0f370ba39f</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23A9C2</paraID>
      <start>0</start>
      <end>2</end>
      <status>unmodified</status>
      <modifiedWord/>
      <trackRevisions>false</trackRevisions>
    </reviewItem>
    <reviewItem>
      <errorID>fdf436b7-3802-47c1-9807-7db2fa7b1b40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5F6DB92A</paraID>
      <start>0</start>
      <end>2</end>
      <status>unmodified</status>
      <modifiedWord/>
      <trackRevisions>false</trackRevisions>
    </reviewItem>
    <reviewItem>
      <errorID>be86d307-06af-4176-b232-f111d565444f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584562FD</paraID>
      <start>0</start>
      <end>2</end>
      <status>unmodified</status>
      <modifiedWord/>
      <trackRevisions>false</trackRevisions>
    </reviewItem>
    <reviewItem>
      <errorID>3853b2cf-2ed8-454a-8fff-aea8b5e7cbf2</errorID>
      <errorWord>:</errorWord>
      <group>L1_Format</group>
      <groupName>格式问题</groupName>
      <ability>L2_HalfPunc</ability>
      <abilityName>全半角检查</abilityName>
      <candidateList>
        <item>：</item>
      </candidateList>
      <explain>文本全半角错误。</explain>
      <paraID>67FA6367</paraID>
      <start>6</start>
      <end>7</end>
      <status>unmodified</status>
      <modifiedWord/>
      <trackRevisions>false</trackRevisions>
    </reviewItem>
    <reviewItem>
      <errorID>f24d0999-c745-41e9-a4c4-9fb76b4094b6</errorID>
      <errorWord>与</errorWord>
      <group>L1_Word</group>
      <groupName>字词问题</groupName>
      <ability>L2_Typo</ability>
      <abilityName>字词错误</abilityName>
      <candidateList>
        <item>于</item>
      </candidateList>
      <explain>存在发音相同字词的误用。</explain>
      <paraID>14D13277</paraID>
      <start>89</start>
      <end>90</end>
      <status>modified</status>
      <modifiedWord>于</modifiedWord>
      <trackRevisions>false</trackRevisions>
    </reviewItem>
    <reviewItem>
      <errorID>1a5a20e0-a8bf-4d2c-a479-ddc3a8eb6385</errorID>
      <errorWord>(</errorWord>
      <group>L1_Format</group>
      <groupName>格式问题</groupName>
      <ability>L2_HalfPunc</ability>
      <abilityName>全半角检查</abilityName>
      <candidateList>
        <item>（</item>
      </candidateList>
      <explain>文本全半角错误。</explain>
      <paraID>136387CC</paraID>
      <start>75</start>
      <end>76</end>
      <status>modified</status>
      <modifiedWord>（</modifiedWord>
      <trackRevisions>false</trackRevisions>
    </reviewItem>
    <reviewItem>
      <errorID>6886402d-4c4f-46ce-aca3-c5255f1f3834</errorID>
      <errorWord>)</errorWord>
      <group>L1_Format</group>
      <groupName>格式问题</groupName>
      <ability>L2_HalfPunc</ability>
      <abilityName>全半角检查</abilityName>
      <candidateList>
        <item>）</item>
      </candidateList>
      <explain>文本全半角错误。</explain>
      <paraID>136387CC</paraID>
      <start>77</start>
      <end>78</end>
      <status>modified</status>
      <modifiedWord>）</modifiedWord>
      <trackRevisions>false</trackRevisions>
    </reviewItem>
    <reviewItem>
      <errorID>20d6fc01-0709-4dac-9e38-3a87f201a66d</errorID>
      <errorWord>【2024】2号</errorWord>
      <group>L1_Knowledge</group>
      <groupName>知识性问题</groupName>
      <ability>L2_Knowledge</ability>
      <abilityName>其他知识</abilityName>
      <candidateList>
        <item>〔2024〕2号</item>
      </candidateList>
      <explain>发文字号格式错误。</explain>
      <paraID>136387CC</paraID>
      <start>79</start>
      <end>87</end>
      <status>modified</status>
      <modifiedWord>〔2024〕2号</modifiedWord>
      <trackRevisions>false</trackRevisions>
    </reviewItem>
    <reviewItem>
      <errorID>917c38c7-f1df-4bed-8c9e-948e5a8a69f1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2B1706C1</paraID>
      <start>0</start>
      <end>2</end>
      <status>unmodified</status>
      <modifiedWord/>
      <trackRevisions>false</trackRevisions>
    </reviewItem>
    <reviewItem>
      <errorID>855ffa11-c5be-43aa-bff8-735e713e22f9</errorID>
      <errorWord>有限采用</errorWord>
      <group>L1_Word</group>
      <groupName>字词问题</groupName>
      <ability>L2_Typo</ability>
      <abilityName>字词错误</abilityName>
      <candidateList>
        <item>优先采用</item>
      </candidateList>
      <explain/>
      <paraID>64B315E6</paraID>
      <start>43</start>
      <end>47</end>
      <status>modified</status>
      <modifiedWord>优先采用</modifiedWord>
      <trackRevisions>false</trackRevisions>
    </reviewItem>
    <reviewItem>
      <errorID>6ff828f8-4e6c-4c31-a3d1-55f42de97956</errorID>
      <errorWord>程</errorWord>
      <group>L1_Word</group>
      <groupName>字词问题</groupName>
      <ability>L2_Typo</ability>
      <abilityName>字词错误</abilityName>
      <candidateList>
        <item>程中</item>
      </candidateList>
      <explain/>
      <paraID>323FA999</paraID>
      <start>6</start>
      <end>8</end>
      <status>modified</status>
      <modifiedWord>程中</modifiedWord>
      <trackRevisions>false</trackRevisions>
    </reviewItem>
    <reviewItem>
      <errorID>ca9adf5d-4cdf-4245-999b-922e26b02434</errorID>
      <errorWord>(</errorWord>
      <group>L1_Format</group>
      <groupName>格式问题</groupName>
      <ability>L2_HalfPunc</ability>
      <abilityName>全半角检查</abilityName>
      <candidateList>
        <item>（</item>
      </candidateList>
      <explain>文本全半角错误。</explain>
      <paraID>323FA999</paraID>
      <start>33</start>
      <end>34</end>
      <status>modified</status>
      <modifiedWord>（</modifiedWord>
      <trackRevisions>false</trackRevisions>
    </reviewItem>
    <reviewItem>
      <errorID>49cbea48-f314-4104-8a59-88376fa85e96</errorID>
      <errorWord>)</errorWord>
      <group>L1_Format</group>
      <groupName>格式问题</groupName>
      <ability>L2_HalfPunc</ability>
      <abilityName>全半角检查</abilityName>
      <candidateList>
        <item>）</item>
      </candidateList>
      <explain>文本全半角错误。</explain>
      <paraID>323FA999</paraID>
      <start>45</start>
      <end>46</end>
      <status>modified</status>
      <modifiedWord>）</modifiedWord>
      <trackRevisions>false</trackRevisions>
    </reviewItem>
    <reviewItem>
      <errorID>778e2488-75b4-4ca3-927d-e6a62d3b9a4a</errorID>
      <errorWord>(</errorWord>
      <group>L1_Format</group>
      <groupName>格式问题</groupName>
      <ability>L2_HalfPunc</ability>
      <abilityName>全半角检查</abilityName>
      <candidateList>
        <item>（</item>
      </candidateList>
      <explain>文本全半角错误。</explain>
      <paraID>323FA999</paraID>
      <start>232</start>
      <end>233</end>
      <status>modified</status>
      <modifiedWord>（</modifiedWord>
      <trackRevisions>false</trackRevisions>
    </reviewItem>
    <reviewItem>
      <errorID>b7e7a50d-99f3-42fa-9cd6-71dff2ca6f61</errorID>
      <errorWord>)</errorWord>
      <group>L1_Format</group>
      <groupName>格式问题</groupName>
      <ability>L2_HalfPunc</ability>
      <abilityName>全半角检查</abilityName>
      <candidateList>
        <item>）</item>
      </candidateList>
      <explain>文本全半角错误。</explain>
      <paraID>323FA999</paraID>
      <start>244</start>
      <end>245</end>
      <status>modified</status>
      <modifiedWord>）</modifiedWord>
      <trackRevisions>false</trackRevisions>
    </reviewItem>
    <reviewItem>
      <errorID>26aec927-f9fe-4705-970b-6ff34d2aa7ce</errorID>
      <errorWord>(</errorWord>
      <group>L1_Format</group>
      <groupName>格式问题</groupName>
      <ability>L2_HalfPunc</ability>
      <abilityName>全半角检查</abilityName>
      <candidateList>
        <item>（</item>
      </candidateList>
      <explain>文本全半角错误。</explain>
      <paraID>323FA999</paraID>
      <start>277</start>
      <end>278</end>
      <status>modified</status>
      <modifiedWord>（</modifiedWord>
      <trackRevisions>false</trackRevisions>
    </reviewItem>
    <reviewItem>
      <errorID>34c4b077-5779-400e-a5c9-cd53a724fe6b</errorID>
      <errorWord>)</errorWord>
      <group>L1_Format</group>
      <groupName>格式问题</groupName>
      <ability>L2_HalfPunc</ability>
      <abilityName>全半角检查</abilityName>
      <candidateList>
        <item>）</item>
      </candidateList>
      <explain>文本全半角错误。</explain>
      <paraID>323FA999</paraID>
      <start>288</start>
      <end>289</end>
      <status>modified</status>
      <modifiedWord>）</modifiedWord>
      <trackRevisions>false</trackRevisions>
    </reviewItem>
    <reviewItem>
      <errorID>9eafa35e-232f-4458-9847-c957b57b4cbc</errorID>
      <errorWord>》</errorWord>
      <group>L1_Punc</group>
      <groupName>标点问题</groupName>
      <ability>L2_Punc</ability>
      <abilityName>标点符号检查</abilityName>
      <candidateList/>
      <explain>此处标点可能未正确匹配，请检查句子中是否存在标点冗余、缺失或使用错误的情况。</explain>
      <paraID>323FA999</paraID>
      <start>303</start>
      <end>304</end>
      <status>unmodified</status>
      <modifiedWord/>
      <trackRevisions>false</trackRevisions>
    </reviewItem>
    <reviewItem>
      <errorID>1f5f53e1-da81-4b43-a1c5-c7f54fd2da5b</errorID>
      <errorWord>(</errorWord>
      <group>L1_Format</group>
      <groupName>格式问题</groupName>
      <ability>L2_HalfPunc</ability>
      <abilityName>全半角检查</abilityName>
      <candidateList>
        <item>（</item>
      </candidateList>
      <explain>文本全半角错误。</explain>
      <paraID>323FA999</paraID>
      <start>304</start>
      <end>305</end>
      <status>modified</status>
      <modifiedWord>（</modifiedWord>
      <trackRevisions>false</trackRevisions>
    </reviewItem>
    <reviewItem>
      <errorID>180c1a60-1535-4f47-ae17-8d75ed901d9e</errorID>
      <errorWord>)</errorWord>
      <group>L1_Format</group>
      <groupName>格式问题</groupName>
      <ability>L2_HalfPunc</ability>
      <abilityName>全半角检查</abilityName>
      <candidateList>
        <item>）</item>
      </candidateList>
      <explain>文本全半角错误。</explain>
      <paraID>323FA999</paraID>
      <start>312</start>
      <end>313</end>
      <status>modified</status>
      <modifiedWord>）</modifiedWord>
      <trackRevisions>false</trackRevisions>
    </reviewItem>
    <reviewItem>
      <errorID>27451fc9-4ad2-48fd-9e58-3501ebccf201</errorID>
      <errorWord>(</errorWord>
      <group>L1_Format</group>
      <groupName>格式问题</groupName>
      <ability>L2_HalfPunc</ability>
      <abilityName>全半角检查</abilityName>
      <candidateList>
        <item>（</item>
      </candidateList>
      <explain>文本全半角错误。</explain>
      <paraID>323FA999</paraID>
      <start>323</start>
      <end>324</end>
      <status>modified</status>
      <modifiedWord>（</modifiedWord>
      <trackRevisions>false</trackRevisions>
    </reviewItem>
    <reviewItem>
      <errorID>ec99f8bb-83d0-46da-b712-7adc05faf785</errorID>
      <errorWord>)</errorWord>
      <group>L1_Format</group>
      <groupName>格式问题</groupName>
      <ability>L2_HalfPunc</ability>
      <abilityName>全半角检查</abilityName>
      <candidateList>
        <item>）</item>
      </candidateList>
      <explain>文本全半角错误。</explain>
      <paraID>323FA999</paraID>
      <start>332</start>
      <end>333</end>
      <status>modified</status>
      <modifiedWord>）</modifiedWord>
      <trackRevisions>false</trackRevisions>
    </reviewItem>
    <reviewItem>
      <errorID>e517a67f-48f1-44ef-8453-9c9ceaee5fee</errorID>
      <errorWord>(</errorWord>
      <group>L1_Format</group>
      <groupName>格式问题</groupName>
      <ability>L2_HalfPunc</ability>
      <abilityName>全半角检查</abilityName>
      <candidateList>
        <item>（</item>
      </candidateList>
      <explain>文本全半角错误。</explain>
      <paraID>323FA999</paraID>
      <start>351</start>
      <end>352</end>
      <status>modified</status>
      <modifiedWord>（</modifiedWord>
      <trackRevisions>false</trackRevisions>
    </reviewItem>
    <reviewItem>
      <errorID>001ac7c2-7c4f-45a3-94d3-c63971216745</errorID>
      <errorWord>)</errorWord>
      <group>L1_Format</group>
      <groupName>格式问题</groupName>
      <ability>L2_HalfPunc</ability>
      <abilityName>全半角检查</abilityName>
      <candidateList>
        <item>）</item>
      </candidateList>
      <explain>文本全半角错误。</explain>
      <paraID>323FA999</paraID>
      <start>362</start>
      <end>363</end>
      <status>modified</status>
      <modifiedWord>）</modifiedWord>
      <trackRevisions>false</trackRevisions>
    </reviewItem>
    <reviewItem>
      <errorID>4a109e47-e0bc-47c0-8916-8339ee8325e6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303FE2B7</paraID>
      <start>0</start>
      <end>2</end>
      <status>unmodified</status>
      <modifiedWord/>
      <trackRevisions>false</trackRevisions>
    </reviewItem>
    <reviewItem>
      <errorID>5509835b-d0ce-44a5-bb62-81121bef3277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6E327767</paraID>
      <start>40</start>
      <end>41</end>
      <status>unmodified</status>
      <modifiedWord/>
      <trackRevisions>false</trackRevisions>
    </reviewItem>
    <reviewItem>
      <errorID>e5b592da-c49e-454a-9906-30f730851c8d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560D91D5</paraID>
      <start>0</start>
      <end>2</end>
      <status>unmodified</status>
      <modifiedWord/>
      <trackRevisions>false</trackRevisions>
    </reviewItem>
    <reviewItem>
      <errorID>1b88bb5f-567c-4c06-a04d-e4f2025bd11c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4B525A2B</paraID>
      <start>0</start>
      <end>2</end>
      <status>unmodified</status>
      <modifiedWord/>
      <trackRevisions>false</trackRevisions>
    </reviewItem>
    <reviewItem>
      <errorID>246825b8-e2e7-4de6-a3ae-6fdb7c055f31</errorID>
      <errorWord>》（试行）</errorWord>
      <group>L1_Word</group>
      <groupName>字词问题</groupName>
      <ability>L2_Typo</ability>
      <abilityName>字词错误</abilityName>
      <candidateList>
        <item>（试行）》</item>
      </candidateList>
      <explain/>
      <paraID> 4C9A01B</paraID>
      <start>27</start>
      <end>32</end>
      <status>modified</status>
      <modifiedWord>（试行）》</modifiedWord>
      <trackRevisions>false</trackRevisions>
    </reviewItem>
    <reviewItem>
      <errorID>649a43d6-c474-46f0-94a1-1f30d767e2ae</errorID>
      <errorWord>和和</errorWord>
      <group>L1_Word</group>
      <groupName>字词问题</groupName>
      <ability>L2_Typo</ability>
      <abilityName>字词错误</abilityName>
      <candidateList>
        <item>和</item>
      </candidateList>
      <explain>〈量〉用于洗东西换水的次数或一剂药煎的次数：衣裳已经洗了三～｜二～药。</explain>
      <paraID> 4C9A01B</paraID>
      <start>123</start>
      <end>124</end>
      <status>modified</status>
      <modifiedWord>和</modifiedWord>
      <trackRevisions>false</trackRevisions>
    </reviewItem>
    <reviewItem>
      <errorID>40f8b5c7-392d-4406-9047-1f65ced3215c</errorID>
      <errorWord>和和</errorWord>
      <group>L1_Word</group>
      <groupName>字词问题</groupName>
      <ability>L2_Typo</ability>
      <abilityName>字词错误</abilityName>
      <candidateList>
        <item>和</item>
      </candidateList>
      <explain>〈量〉用于洗东西换水的次数或一剂药煎的次数：衣裳已经洗了三～｜二～药。</explain>
      <paraID> 4C9A01B</paraID>
      <start>142</start>
      <end>143</end>
      <status>modified</status>
      <modifiedWord>和</modifiedWord>
      <trackRevisions>false</trackRevisions>
    </reviewItem>
    <reviewItem>
      <errorID>735dc34f-138e-4bcc-8631-31e525ababe3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4293020</paraID>
      <start>0</start>
      <end>2</end>
      <status>unmodified</status>
      <modifiedWord/>
      <trackRevisions>false</trackRevisions>
    </reviewItem>
    <reviewItem>
      <errorID>a8ad9214-bb9b-4a32-8bb2-07d0918f144e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1E3994C6</paraID>
      <start>0</start>
      <end>2</end>
      <status>unmodified</status>
      <modifiedWord/>
      <trackRevisions>false</trackRevisions>
    </reviewItem>
    <reviewItem>
      <errorID>0b6841d3-99ba-4dd9-9862-384015a9577a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4DED86CB</paraID>
      <start>0</start>
      <end>2</end>
      <status>unmodified</status>
      <modifiedWord/>
      <trackRevisions>false</trackRevisions>
    </reviewItem>
    <reviewItem>
      <errorID>f22a90b7-b111-4366-b7a4-bde7e9dd9c83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208812AF</paraID>
      <start>0</start>
      <end>2</end>
      <status>unmodified</status>
      <modifiedWord/>
      <trackRevisions>false</trackRevisions>
    </reviewItem>
    <reviewItem>
      <errorID>49130609-43a9-4747-bd37-cdf34986cc14</errorID>
      <errorWord>（</errorWord>
      <group>L1_Format</group>
      <groupName>格式问题</groupName>
      <ability>L2_HalfPunc</ability>
      <abilityName>全半角检查</abilityName>
      <candidateList>
        <item>(</item>
      </candidateList>
      <explain>文本全半角错误。</explain>
      <paraID>4BE41B7E</paraID>
      <start>0</start>
      <end>1</end>
      <status>unmodified</status>
      <modifiedWord/>
      <trackRevisions>false</trackRevisions>
    </reviewItem>
    <reviewItem>
      <errorID>1519230c-0648-4960-8f74-db0f601a8ac8</errorID>
      <errorWord>，</errorWord>
      <group>L1_Format</group>
      <groupName>格式问题</groupName>
      <ability>L2_HalfPunc</ability>
      <abilityName>全半角检查</abilityName>
      <candidateList>
        <item>, </item>
      </candidateList>
      <explain>文本全半角错误。</explain>
      <paraID>4BE41B7E</paraID>
      <start>2</start>
      <end>3</end>
      <status>unmodified</status>
      <modifiedWord/>
      <trackRevisions>false</trackRevisions>
    </reviewItem>
    <reviewItem>
      <errorID>ce61963e-0814-4a81-aec8-d0fc9b7c29df</errorID>
      <errorWord>）</errorWord>
      <group>L1_Format</group>
      <groupName>格式问题</groupName>
      <ability>L2_HalfPunc</ability>
      <abilityName>全半角检查</abilityName>
      <candidateList>
        <item>)</item>
      </candidateList>
      <explain>文本全半角错误。</explain>
      <paraID>4BE41B7E</paraID>
      <start>4</start>
      <end>5</end>
      <status>unmodified</status>
      <modifiedWord/>
      <trackRevisions>false</trackRevisions>
    </reviewItem>
    <reviewItem>
      <errorID>078cafb2-dce2-4b88-951c-be0d03b93f92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5C7B215F</paraID>
      <start>0</start>
      <end>2</end>
      <status>unmodified</status>
      <modifiedWord/>
      <trackRevisions>false</trackRevisions>
    </reviewItem>
    <reviewItem>
      <errorID>ee20d832-3b99-4767-b22f-fb3a1368c083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16568836</paraID>
      <start>0</start>
      <end>2</end>
      <status>unmodified</status>
      <modifiedWord/>
      <trackRevisions>false</trackRevisions>
    </reviewItem>
    <reviewItem>
      <errorID>c3a7c223-4ef4-4cc8-aa35-92e7f64248a5</errorID>
      <errorWord>(</errorWord>
      <group>L1_Format</group>
      <groupName>格式问题</groupName>
      <ability>L2_HalfPunc</ability>
      <abilityName>全半角检查</abilityName>
      <candidateList>
        <item>（</item>
      </candidateList>
      <explain>文本全半角错误。</explain>
      <paraID>  901080</paraID>
      <start>19</start>
      <end>20</end>
      <status>modified</status>
      <modifiedWord>（</modifiedWord>
      <trackRevisions>false</trackRevisions>
    </reviewItem>
    <reviewItem>
      <errorID>66a3abff-a068-4d67-a1bd-43b36e7d315a</errorID>
      <errorWord>)</errorWord>
      <group>L1_Format</group>
      <groupName>格式问题</groupName>
      <ability>L2_HalfPunc</ability>
      <abilityName>全半角检查</abilityName>
      <candidateList>
        <item>）</item>
      </candidateList>
      <explain>文本全半角错误。</explain>
      <paraID>  901080</paraID>
      <start>31</start>
      <end>32</end>
      <status>modified</status>
      <modifiedWord>）</modifiedWord>
      <trackRevisions>false</trackRevisions>
    </reviewItem>
    <reviewItem>
      <errorID>a6f952a1-23d4-418a-a8da-1e82a060850e</errorID>
      <errorWord>(</errorWord>
      <group>L1_Format</group>
      <groupName>格式问题</groupName>
      <ability>L2_HalfPunc</ability>
      <abilityName>全半角检查</abilityName>
      <candidateList>
        <item>（</item>
      </candidateList>
      <explain>文本全半角错误。</explain>
      <paraID>  901080</paraID>
      <start>85</start>
      <end>86</end>
      <status>modified</status>
      <modifiedWord>（</modifiedWord>
      <trackRevisions>false</trackRevisions>
    </reviewItem>
    <reviewItem>
      <errorID>3576b77d-5ffd-4785-8c37-116c063c8999</errorID>
      <errorWord>)</errorWord>
      <group>L1_Format</group>
      <groupName>格式问题</groupName>
      <ability>L2_HalfPunc</ability>
      <abilityName>全半角检查</abilityName>
      <candidateList>
        <item>）</item>
      </candidateList>
      <explain>文本全半角错误。</explain>
      <paraID>  901080</paraID>
      <start>98</start>
      <end>99</end>
      <status>modified</status>
      <modifiedWord>）</modifiedWord>
      <trackRevisions>false</trackRevisions>
    </reviewItem>
    <reviewItem>
      <errorID>179bb3bd-7da0-4185-8d24-d4f80931a027</errorID>
      <errorWord>(</errorWord>
      <group>L1_Format</group>
      <groupName>格式问题</groupName>
      <ability>L2_HalfPunc</ability>
      <abilityName>全半角检查</abilityName>
      <candidateList>
        <item>（</item>
      </candidateList>
      <explain>文本全半角错误。</explain>
      <paraID>31D1EFD2</paraID>
      <start>10</start>
      <end>11</end>
      <status>modified</status>
      <modifiedWord>（</modifiedWord>
      <trackRevisions>false</trackRevisions>
    </reviewItem>
    <reviewItem>
      <errorID>a1294959-9ee7-491e-930c-6f0a55596c1b</errorID>
      <errorWord>)</errorWord>
      <group>L1_Format</group>
      <groupName>格式问题</groupName>
      <ability>L2_HalfPunc</ability>
      <abilityName>全半角检查</abilityName>
      <candidateList>
        <item>）</item>
      </candidateList>
      <explain>文本全半角错误。</explain>
      <paraID>31D1EFD2</paraID>
      <start>22</start>
      <end>23</end>
      <status>modified</status>
      <modifiedWord>）</modifiedWord>
      <trackRevisions>false</trackRevisions>
    </reviewItem>
    <reviewItem>
      <errorID>f1effff4-2519-42a3-934a-2a6600bc978f</errorID>
      <errorWord>(</errorWord>
      <group>L1_Format</group>
      <groupName>格式问题</groupName>
      <ability>L2_HalfPunc</ability>
      <abilityName>全半角检查</abilityName>
      <candidateList>
        <item>（</item>
      </candidateList>
      <explain>文本全半角错误。</explain>
      <paraID>7C45712F</paraID>
      <start>16</start>
      <end>17</end>
      <status>modified</status>
      <modifiedWord>（</modifiedWord>
      <trackRevisions>false</trackRevisions>
    </reviewItem>
    <reviewItem>
      <errorID>e01e8a65-ab93-47e1-804d-0c56bb5d5769</errorID>
      <errorWord>)</errorWord>
      <group>L1_Format</group>
      <groupName>格式问题</groupName>
      <ability>L2_HalfPunc</ability>
      <abilityName>全半角检查</abilityName>
      <candidateList>
        <item>）</item>
      </candidateList>
      <explain>文本全半角错误。</explain>
      <paraID>7C45712F</paraID>
      <start>29</start>
      <end>30</end>
      <status>modified</status>
      <modifiedWord>）</modifiedWord>
      <trackRevisions>false</trackRevisions>
    </reviewItem>
    <reviewItem>
      <errorID>da2592a2-261a-48a2-99f4-b406ae577ce9</errorID>
      <errorWord>（</errorWord>
      <group>L1_Format</group>
      <groupName>格式问题</groupName>
      <ability>L2_HalfPunc</ability>
      <abilityName>全半角检查</abilityName>
      <candidateList>
        <item>(</item>
      </candidateList>
      <explain>文本全半角错误。</explain>
      <paraID>36F9315D</paraID>
      <start>1</start>
      <end>2</end>
      <status>unmodified</status>
      <modifiedWord/>
      <trackRevisions>false</trackRevisions>
    </reviewItem>
    <reviewItem>
      <errorID>39d5153b-0dde-485a-9912-de0946c85f98</errorID>
      <errorWord>）</errorWord>
      <group>L1_Format</group>
      <groupName>格式问题</groupName>
      <ability>L2_HalfPunc</ability>
      <abilityName>全半角检查</abilityName>
      <candidateList>
        <item>)</item>
      </candidateList>
      <explain>文本全半角错误。</explain>
      <paraID>36F9315D</paraID>
      <start>3</start>
      <end>4</end>
      <status>unmodified</status>
      <modifiedWord/>
      <trackRevisions>false</trackRevisions>
    </reviewItem>
    <reviewItem>
      <errorID>88c3a499-74f9-4727-ad4b-3b78ec4288ec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5951FA7A</paraID>
      <start>0</start>
      <end>2</end>
      <status>unmodified</status>
      <modifiedWord/>
      <trackRevisions>false</trackRevisions>
    </reviewItem>
    <reviewItem>
      <errorID>a107ba5b-b696-41be-b3a9-40fab730a3ef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5917E6C3</paraID>
      <start>0</start>
      <end>2</end>
      <status>unmodified</status>
      <modifiedWord/>
      <trackRevisions>false</trackRevisions>
    </reviewItem>
    <reviewItem>
      <errorID>c0042b09-0b3c-48f9-a0c7-5f4fba0e5c2f</errorID>
      <errorWord>废物废物</errorWord>
      <group>L1_Word</group>
      <groupName>字词问题</groupName>
      <ability>L2_Typo</ability>
      <abilityName>字词错误</abilityName>
      <candidateList>
        <item>废物</item>
      </candidateList>
      <explain/>
      <paraID>556EFFB0</paraID>
      <start>51</start>
      <end>53</end>
      <status>modified</status>
      <modifiedWord>废物</modifiedWord>
      <trackRevisions>false</trackRevisions>
    </reviewItem>
    <reviewItem>
      <errorID>dae4728f-f557-44e7-ae0c-23a60276cc31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691DC5E7</paraID>
      <start>0</start>
      <end>2</end>
      <status>unmodified</status>
      <modifiedWord/>
      <trackRevisions>false</trackRevisions>
    </reviewItem>
    <reviewItem>
      <errorID>c743d04c-b675-4a55-b896-2992d894a058</errorID>
      <errorWord>（</errorWord>
      <group>L1_Format</group>
      <groupName>格式问题</groupName>
      <ability>L2_HalfPunc</ability>
      <abilityName>全半角检查</abilityName>
      <candidateList>
        <item>(</item>
      </candidateList>
      <explain>文本全半角错误。</explain>
      <paraID>3F058C59</paraID>
      <start>0</start>
      <end>1</end>
      <status>unmodified</status>
      <modifiedWord/>
      <trackRevisions>false</trackRevisions>
    </reviewItem>
    <reviewItem>
      <errorID>0af4eef8-424b-4e05-ab03-46da11235c92</errorID>
      <errorWord>）</errorWord>
      <group>L1_Format</group>
      <groupName>格式问题</groupName>
      <ability>L2_HalfPunc</ability>
      <abilityName>全半角检查</abilityName>
      <candidateList>
        <item>)</item>
      </candidateList>
      <explain>文本全半角错误。</explain>
      <paraID>3F058C59</paraID>
      <start>5</start>
      <end>6</end>
      <status>unmodified</status>
      <modifiedWord/>
      <trackRevisions>false</trackRevisions>
    </reviewItem>
    <reviewItem>
      <errorID>d0a3e3e4-465d-4494-adb3-eb3f1bffa06e</errorID>
      <errorWord>（</errorWord>
      <group>L1_Format</group>
      <groupName>格式问题</groupName>
      <ability>L2_HalfPunc</ability>
      <abilityName>全半角检查</abilityName>
      <candidateList>
        <item>(</item>
      </candidateList>
      <explain>文本全半角错误。</explain>
      <paraID> 24E4E45</paraID>
      <start>0</start>
      <end>1</end>
      <status>unmodified</status>
      <modifiedWord/>
      <trackRevisions>false</trackRevisions>
    </reviewItem>
    <reviewItem>
      <errorID>842fb5c2-9085-45b9-abb0-88f93c17982d</errorID>
      <errorWord>）</errorWord>
      <group>L1_Format</group>
      <groupName>格式问题</groupName>
      <ability>L2_HalfPunc</ability>
      <abilityName>全半角检查</abilityName>
      <candidateList>
        <item>)</item>
      </candidateList>
      <explain>文本全半角错误。</explain>
      <paraID> 24E4E45</paraID>
      <start>4</start>
      <end>5</end>
      <status>unmodified</status>
      <modifiedWord/>
      <trackRevisions>false</trackRevisions>
    </reviewItem>
    <reviewItem>
      <errorID>f3cb5c11-eccd-4106-a8db-926bb378a146</errorID>
      <errorWord>（</errorWord>
      <group>L1_Format</group>
      <groupName>格式问题</groupName>
      <ability>L2_HalfPunc</ability>
      <abilityName>全半角检查</abilityName>
      <candidateList>
        <item>(</item>
      </candidateList>
      <explain>文本全半角错误。</explain>
      <paraID>13B4EDD4</paraID>
      <start>0</start>
      <end>1</end>
      <status>unmodified</status>
      <modifiedWord/>
      <trackRevisions>false</trackRevisions>
    </reviewItem>
    <reviewItem>
      <errorID>5e43eca4-46c8-4448-be3f-448c3d812744</errorID>
      <errorWord>）</errorWord>
      <group>L1_Format</group>
      <groupName>格式问题</groupName>
      <ability>L2_HalfPunc</ability>
      <abilityName>全半角检查</abilityName>
      <candidateList>
        <item>)</item>
      </candidateList>
      <explain>文本全半角错误。</explain>
      <paraID>13B4EDD4</paraID>
      <start>5</start>
      <end>6</end>
      <status>unmodified</status>
      <modifiedWord/>
      <trackRevisions>false</trackRevisions>
    </reviewItem>
    <reviewItem>
      <errorID>b2268f08-7df4-4bae-b985-1f7f6914e9eb</errorID>
      <errorWord>（</errorWord>
      <group>L1_Format</group>
      <groupName>格式问题</groupName>
      <ability>L2_HalfPunc</ability>
      <abilityName>全半角检查</abilityName>
      <candidateList>
        <item>(</item>
      </candidateList>
      <explain>文本全半角错误。</explain>
      <paraID>1D733047</paraID>
      <start>0</start>
      <end>1</end>
      <status>unmodified</status>
      <modifiedWord/>
      <trackRevisions>false</trackRevisions>
    </reviewItem>
    <reviewItem>
      <errorID>d69c4afe-8d4c-4837-b1c7-4dabf5666491</errorID>
      <errorWord>）</errorWord>
      <group>L1_Format</group>
      <groupName>格式问题</groupName>
      <ability>L2_HalfPunc</ability>
      <abilityName>全半角检查</abilityName>
      <candidateList>
        <item>)</item>
      </candidateList>
      <explain>文本全半角错误。</explain>
      <paraID>1D733047</paraID>
      <start>4</start>
      <end>5</end>
      <status>unmodified</status>
      <modifiedWord/>
      <trackRevisions>false</trackRevisions>
    </reviewItem>
    <reviewItem>
      <errorID>047fc5be-5dd4-4188-929b-7840c60f372a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6FBAA464</paraID>
      <start>0</start>
      <end>2</end>
      <status>unmodified</status>
      <modifiedWord/>
      <trackRevisions>false</trackRevisions>
    </reviewItem>
    <reviewItem>
      <errorID>9687151a-ced5-449c-aa0f-7a0a5abbae2c</errorID>
      <errorWord>6-7万</errorWord>
      <group>L1_Knowledge</group>
      <groupName>知识性问题</groupName>
      <ability>L2_Knowledge</ability>
      <abilityName>其他知识</abilityName>
      <candidateList>
        <item>6万—7万</item>
      </candidateList>
      <explain>1. “6-7万”中的单位“万”仅出现在后一个数字上，容易引起歧义；根据《现代汉语标点符号数字用法规范手册》，数字表示范围两边需要使用统一的格式。2.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34AA1CE5</paraID>
      <start>183</start>
      <end>187</end>
      <status>unmodified</status>
      <modifiedWord/>
      <trackRevisions>false</trackRevisions>
    </reviewItem>
    <reviewItem>
      <errorID>2a4e54cc-9d74-4d2d-83f4-27de732fc517</errorID>
      <errorWord>(</errorWord>
      <group>L1_Format</group>
      <groupName>格式问题</groupName>
      <ability>L2_HalfPunc</ability>
      <abilityName>全半角检查</abilityName>
      <candidateList>
        <item>（</item>
      </candidateList>
      <explain>文本全半角错误。</explain>
      <paraID>34AA1CE5</paraID>
      <start>213</start>
      <end>214</end>
      <status>modified</status>
      <modifiedWord>（</modifiedWord>
      <trackRevisions>false</trackRevisions>
    </reviewItem>
    <reviewItem>
      <errorID>fc1da8ae-40ec-4f78-93c3-5ff85e137309</errorID>
      <errorWord>)</errorWord>
      <group>L1_Format</group>
      <groupName>格式问题</groupName>
      <ability>L2_HalfPunc</ability>
      <abilityName>全半角检查</abilityName>
      <candidateList>
        <item>）</item>
      </candidateList>
      <explain>文本全半角错误。</explain>
      <paraID>34AA1CE5</paraID>
      <start>226</start>
      <end>227</end>
      <status>modified</status>
      <modifiedWord>）</modifiedWord>
      <trackRevisions>false</trackRevisions>
    </reviewItem>
    <reviewItem>
      <errorID>d004ff9c-dddd-494a-82e8-5dd66d9a0791</errorID>
      <errorWord>-</errorWord>
      <group>L1_Format</group>
      <groupName>格式问题</groupName>
      <ability>L2_HalfPunc</ability>
      <abilityName>全半角检查</abilityName>
      <candidateList>
        <item>－</item>
      </candidateList>
      <explain>文本全半角错误。</explain>
      <paraID>233BA19E</paraID>
      <start>79</start>
      <end>80</end>
      <status>unmodified</status>
      <modifiedWord/>
      <trackRevisions>false</trackRevisions>
    </reviewItem>
    <reviewItem>
      <errorID>1b6a64da-1623-4c64-b3fa-6d6dfdbe9d5c</errorID>
      <errorWord>6-7万</errorWord>
      <group>L1_Knowledge</group>
      <groupName>知识性问题</groupName>
      <ability>L2_Knowledge</ability>
      <abilityName>其他知识</abilityName>
      <candidateList>
        <item>6万—7万</item>
      </candidateList>
      <explain>1. “6-7万”中的单位“万”仅出现在后一个数字上，容易引起歧义；根据《现代汉语标点符号数字用法规范手册》，数字表示范围两边需要使用统一的格式。2. 根据标点国标 4.13 中的规则，数字、时间或地域连接符应使用（视觉上更长的）“—”或“～”。</explain>
      <paraID>233BA19E</paraID>
      <start>113</start>
      <end>117</end>
      <status>unmodified</status>
      <modifiedWord/>
      <trackRevisions>false</trackRevisions>
    </reviewItem>
    <reviewItem>
      <errorID>336a7d0c-5192-448a-8e66-a5e5ec65eff6</errorID>
      <errorWord>)</errorWord>
      <group>L1_Format</group>
      <groupName>格式问题</groupName>
      <ability>L2_HalfPunc</ability>
      <abilityName>全半角检查</abilityName>
      <candidateList>
        <item>）</item>
      </candidateList>
      <explain>文本全半角错误。</explain>
      <paraID> F6F004E</paraID>
      <start>13</start>
      <end>14</end>
      <status>modified</status>
      <modifiedWord>）</modifiedWord>
      <trackRevisions>false</trackRevisions>
    </reviewItem>
    <reviewItem>
      <errorID>9e6fac06-859c-45e8-a378-cf143c5dc8ef</errorID>
      <errorWord>(</errorWord>
      <group>L1_Format</group>
      <groupName>格式问题</groupName>
      <ability>L2_HalfPunc</ability>
      <abilityName>全半角检查</abilityName>
      <candidateList>
        <item>（</item>
      </candidateList>
      <explain>文本全半角错误。</explain>
      <paraID>2ECD9502</paraID>
      <start>10</start>
      <end>11</end>
      <status>modified</status>
      <modifiedWord>（</modifiedWord>
      <trackRevisions>false</trackRevisions>
    </reviewItem>
    <reviewItem>
      <errorID>c3e447bf-7bcb-4d49-9c37-481f4391fabf</errorID>
      <errorWord>)</errorWord>
      <group>L1_Format</group>
      <groupName>格式问题</groupName>
      <ability>L2_HalfPunc</ability>
      <abilityName>全半角检查</abilityName>
      <candidateList>
        <item>）</item>
      </candidateList>
      <explain>文本全半角错误。</explain>
      <paraID>2ECD9502</paraID>
      <start>23</start>
      <end>24</end>
      <status>modified</status>
      <modifiedWord>）</modifiedWord>
      <trackRevisions>false</trackRevisions>
    </reviewItem>
    <reviewItem>
      <errorID>5dd55148-f21b-4bb7-a5c7-400af19030f3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66035E0A</paraID>
      <start>0</start>
      <end>2</end>
      <status>unmodified</status>
      <modifiedWord/>
      <trackRevisions>false</trackRevisions>
    </reviewItem>
    <reviewItem>
      <errorID>131a4bb5-8323-4da6-a5a1-da3e1bfe5b59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1F7E2D07</paraID>
      <start>0</start>
      <end>2</end>
      <status>unmodified</status>
      <modifiedWord/>
      <trackRevisions>false</trackRevisions>
    </reviewItem>
    <reviewItem>
      <errorID>ea440519-49d5-40a1-b310-36cad691ac71</errorID>
      <errorWord>-</errorWord>
      <group>L1_Format</group>
      <groupName>格式问题</groupName>
      <ability>L2_HalfPunc</ability>
      <abilityName>全半角检查</abilityName>
      <candidateList>
        <item>－</item>
      </candidateList>
      <explain>文本全半角错误。</explain>
      <paraID>4AF982C6</paraID>
      <start>194</start>
      <end>195</end>
      <status>unmodified</status>
      <modifiedWord/>
      <trackRevisions>false</trackRevisions>
    </reviewItem>
    <reviewItem>
      <errorID>623e4467-267b-42ac-b6fa-82e8f5053d41</errorID>
      <errorWord>-</errorWord>
      <group>L1_Format</group>
      <groupName>格式问题</groupName>
      <ability>L2_HalfPunc</ability>
      <abilityName>全半角检查</abilityName>
      <candidateList>
        <item>－</item>
      </candidateList>
      <explain>文本全半角错误。</explain>
      <paraID>5CC448CB</paraID>
      <start>196</start>
      <end>197</end>
      <status>unmodified</status>
      <modifiedWord/>
      <trackRevisions>false</trackRevisions>
    </reviewItem>
    <reviewItem>
      <errorID>10483e4d-45c0-4e48-8aed-3aa7325870b6</errorID>
      <errorWord>-</errorWord>
      <group>L1_Format</group>
      <groupName>格式问题</groupName>
      <ability>L2_HalfPunc</ability>
      <abilityName>全半角检查</abilityName>
      <candidateList>
        <item>－</item>
      </candidateList>
      <explain>文本全半角错误。</explain>
      <paraID>310A9BC8</paraID>
      <start>202</start>
      <end>203</end>
      <status>unmodified</status>
      <modifiedWord/>
      <trackRevisions>false</trackRevisions>
    </reviewItem>
    <reviewItem>
      <errorID>f1e6e0cf-f901-4337-9f24-4db7abe0df67</errorID>
      <errorWord>-</errorWord>
      <group>L1_Format</group>
      <groupName>格式问题</groupName>
      <ability>L2_HalfPunc</ability>
      <abilityName>全半角检查</abilityName>
      <candidateList>
        <item>－</item>
      </candidateList>
      <explain>文本全半角错误。</explain>
      <paraID>4737B90F</paraID>
      <start>217</start>
      <end>218</end>
      <status>unmodified</status>
      <modifiedWord/>
      <trackRevisions>false</trackRevisions>
    </reviewItem>
    <reviewItem>
      <errorID>ba80b9c9-0795-4a55-b9ed-7869805da83a</errorID>
      <errorWord>(</errorWord>
      <group>L1_Format</group>
      <groupName>格式问题</groupName>
      <ability>L2_HalfPunc</ability>
      <abilityName>全半角检查</abilityName>
      <candidateList>
        <item>（</item>
      </candidateList>
      <explain>文本全半角错误。</explain>
      <paraID>36242BF2</paraID>
      <start>8</start>
      <end>9</end>
      <status>modified</status>
      <modifiedWord>（</modifiedWord>
      <trackRevisions>false</trackRevisions>
    </reviewItem>
    <reviewItem>
      <errorID>3e8e67b6-ec15-4bc2-92cb-9380918dff43</errorID>
      <errorWord>)</errorWord>
      <group>L1_Format</group>
      <groupName>格式问题</groupName>
      <ability>L2_HalfPunc</ability>
      <abilityName>全半角检查</abilityName>
      <candidateList>
        <item>）</item>
      </candidateList>
      <explain>文本全半角错误。</explain>
      <paraID>36242BF2</paraID>
      <start>14</start>
      <end>15</end>
      <status>modified</status>
      <modifiedWord>）</modifiedWord>
      <trackRevisions>false</trackRevisions>
    </reviewItem>
    <reviewItem>
      <errorID>63f0eaf5-478f-49f5-8d1d-7e62f82a82dc</errorID>
      <errorWord>(</errorWord>
      <group>L1_Format</group>
      <groupName>格式问题</groupName>
      <ability>L2_HalfPunc</ability>
      <abilityName>全半角检查</abilityName>
      <candidateList>
        <item>（</item>
      </candidateList>
      <explain>文本全半角错误。</explain>
      <paraID>437CCB27</paraID>
      <start>2</start>
      <end>3</end>
      <status>modified</status>
      <modifiedWord>（</modifiedWord>
      <trackRevisions>false</trackRevisions>
    </reviewItem>
    <reviewItem>
      <errorID>b91c6f63-f19c-4fb0-9211-79f12694c26d</errorID>
      <errorWord>)</errorWord>
      <group>L1_Format</group>
      <groupName>格式问题</groupName>
      <ability>L2_HalfPunc</ability>
      <abilityName>全半角检查</abilityName>
      <candidateList>
        <item>）</item>
      </candidateList>
      <explain>文本全半角错误。</explain>
      <paraID>437CCB27</paraID>
      <start>4</start>
      <end>5</end>
      <status>modified</status>
      <modifiedWord>）</modifiedWord>
      <trackRevisions>false</trackRevisions>
    </reviewItem>
    <reviewItem>
      <errorID>ea49ac77-4bf0-4e40-9f9d-a901baf0d612</errorID>
      <errorWord>(</errorWord>
      <group>L1_Format</group>
      <groupName>格式问题</groupName>
      <ability>L2_HalfPunc</ability>
      <abilityName>全半角检查</abilityName>
      <candidateList>
        <item>（</item>
      </candidateList>
      <explain>文本全半角错误。</explain>
      <paraID>4FB287E8</paraID>
      <start>2</start>
      <end>3</end>
      <status>modified</status>
      <modifiedWord>（</modifiedWord>
      <trackRevisions>false</trackRevisions>
    </reviewItem>
    <reviewItem>
      <errorID>449cfcc7-0e4e-4793-b004-7dce0d23d06c</errorID>
      <errorWord>)</errorWord>
      <group>L1_Format</group>
      <groupName>格式问题</groupName>
      <ability>L2_HalfPunc</ability>
      <abilityName>全半角检查</abilityName>
      <candidateList>
        <item>）</item>
      </candidateList>
      <explain>文本全半角错误。</explain>
      <paraID>4FB287E8</paraID>
      <start>4</start>
      <end>5</end>
      <status>modified</status>
      <modifiedWord>）</modifiedWord>
      <trackRevisions>false</trackRevisions>
    </reviewItem>
    <reviewItem>
      <errorID>eae5dca5-1dc6-4f26-b5ce-1159e7b169ff</errorID>
      <errorWord>(</errorWord>
      <group>L1_Format</group>
      <groupName>格式问题</groupName>
      <ability>L2_HalfPunc</ability>
      <abilityName>全半角检查</abilityName>
      <candidateList>
        <item>（</item>
      </candidateList>
      <explain>文本全半角错误。</explain>
      <paraID>3230C2EB</paraID>
      <start>2</start>
      <end>3</end>
      <status>modified</status>
      <modifiedWord>（</modifiedWord>
      <trackRevisions>false</trackRevisions>
    </reviewItem>
    <reviewItem>
      <errorID>f03ce49b-3133-4921-97c8-2e6c7e8a0e92</errorID>
      <errorWord>)</errorWord>
      <group>L1_Format</group>
      <groupName>格式问题</groupName>
      <ability>L2_HalfPunc</ability>
      <abilityName>全半角检查</abilityName>
      <candidateList>
        <item>）</item>
      </candidateList>
      <explain>文本全半角错误。</explain>
      <paraID>3230C2EB</paraID>
      <start>4</start>
      <end>5</end>
      <status>modified</status>
      <modifiedWord>）</modifiedWord>
      <trackRevisions>false</trackRevisions>
    </reviewItem>
    <reviewItem>
      <errorID>f194a576-af52-4d25-b4bf-6d9e61e6b64b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5DBA45FF</paraID>
      <start>78</start>
      <end>79</end>
      <status>unmodified</status>
      <modifiedWord/>
      <trackRevisions>false</trackRevisions>
    </reviewItem>
    <reviewItem>
      <errorID>cdeae189-591e-4465-b790-eaf7683c25f5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1B8D7C6B</paraID>
      <start>0</start>
      <end>2</end>
      <status>unmodified</status>
      <modifiedWord/>
      <trackRevisions>false</trackRevisions>
    </reviewItem>
    <reviewItem>
      <errorID>e4d1a4b0-4bf1-4bd2-aad1-cb0e7835cc1b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56C94FC6</paraID>
      <start>0</start>
      <end>2</end>
      <status>unmodified</status>
      <modifiedWord/>
      <trackRevisions>false</trackRevisions>
    </reviewItem>
    <reviewItem>
      <errorID>eb8ee2d6-872b-46b6-bdfa-9c27fbc7a190</errorID>
      <errorWord>减低</errorWord>
      <group>L1_Grammar</group>
      <groupName>语法问题</groupName>
      <ability>L2_Grammar</ability>
      <abilityName>语法错误</abilityName>
      <candidateList>
        <item>减少</item>
      </candidateList>
      <explain>“减低～影响”搭配不当，建议修改为“减少～影响”。</explain>
      <paraID>197A5412</paraID>
      <start>39</start>
      <end>41</end>
      <status>modified</status>
      <modifiedWord>减少</modifiedWord>
      <trackRevisions>false</trackRevisions>
    </reviewItem>
    <reviewItem>
      <errorID>ac7f9c94-2726-4eb0-9e00-27a97fee04aa</errorID>
      <errorWord>坏境保护</errorWord>
      <group>L1_Word</group>
      <groupName>字词问题</groupName>
      <ability>L2_Typo</ability>
      <abilityName>字词错误</abilityName>
      <candidateList>
        <item>环境保护</item>
      </candidateList>
      <explain/>
      <paraID>62B377C5</paraID>
      <start>20</start>
      <end>24</end>
      <status>modified</status>
      <modifiedWord>环境保护</modifiedWord>
      <trackRevisions>false</trackRevisions>
    </reviewItem>
    <reviewItem>
      <errorID>529cca64-f4f7-488b-8bb9-0f7297d55325</errorID>
      <errorWord>)</errorWord>
      <group>L1_Format</group>
      <groupName>格式问题</groupName>
      <ability>L2_HalfPunc</ability>
      <abilityName>全半角检查</abilityName>
      <candidateList>
        <item>）</item>
      </candidateList>
      <explain>文本全半角错误。</explain>
      <paraID> E85F811</paraID>
      <start>33</start>
      <end>34</end>
      <status>modified</status>
      <modifiedWord>）</modifiedWord>
      <trackRevisions>false</trackRevisions>
    </reviewItem>
    <reviewItem>
      <errorID>ec3dea3f-9a24-4d3d-9af5-90bcfe7b20c8</errorID>
      <errorWord>)</errorWord>
      <group>L1_Format</group>
      <groupName>格式问题</groupName>
      <ability>L2_HalfPunc</ability>
      <abilityName>全半角检查</abilityName>
      <candidateList>
        <item>）</item>
      </candidateList>
      <explain>文本全半角错误。</explain>
      <paraID>14B2D44E</paraID>
      <start>24</start>
      <end>25</end>
      <status>modified</status>
      <modifiedWord>）</modifiedWord>
      <trackRevisions>false</trackRevisions>
    </reviewItem>
    <reviewItem>
      <errorID>8888bc95-8cda-4660-9e89-8c838dcb0621</errorID>
      <errorWord>(</errorWord>
      <group>L1_Format</group>
      <groupName>格式问题</groupName>
      <ability>L2_HalfPunc</ability>
      <abilityName>全半角检查</abilityName>
      <candidateList>
        <item>（</item>
      </candidateList>
      <explain>文本全半角错误。</explain>
      <paraID>5BFEFFCC</paraID>
      <start>40</start>
      <end>41</end>
      <status>modified</status>
      <modifiedWord>（</modifiedWord>
      <trackRevisions>false</trackRevisions>
    </reviewItem>
    <reviewItem>
      <errorID>4e94f4d8-2bba-40cb-b6cd-9fc70fac9ac5</errorID>
      <errorWord>)</errorWord>
      <group>L1_Format</group>
      <groupName>格式问题</groupName>
      <ability>L2_HalfPunc</ability>
      <abilityName>全半角检查</abilityName>
      <candidateList>
        <item>）</item>
      </candidateList>
      <explain>文本全半角错误。</explain>
      <paraID>5BFEFFCC</paraID>
      <start>53</start>
      <end>54</end>
      <status>modified</status>
      <modifiedWord>）</modifiedWord>
      <trackRevisions>false</trackRevisions>
    </reviewItem>
    <reviewItem>
      <errorID>1217fc66-08a7-4ac9-9424-6c047126923d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2A198DBB</paraID>
      <start>0</start>
      <end>2</end>
      <status>unmodified</status>
      <modifiedWord/>
      <trackRevisions>false</trackRevisions>
    </reviewItem>
    <reviewItem>
      <errorID>c1d16059-7003-4e14-ae4c-666def0f53fc</errorID>
      <errorWord>噪音</errorWord>
      <group>L1_Word</group>
      <groupName>字词问题</groupName>
      <ability>L2_Alias</ability>
      <abilityName>也作/曾用词</abilityName>
      <candidateList>
        <item>噪声</item>
      </candidateList>
      <explain>词汇[噪音]为不规范表述或旧称，其规范书面表述为[噪声]。</explain>
      <paraID>468B3FCA</paraID>
      <start>11</start>
      <end>13</end>
      <status>modified</status>
      <modifiedWord>噪声</modifiedWord>
      <trackRevisions>false</trackRevisions>
    </reviewItem>
    <reviewItem>
      <errorID>a2be1221-c040-4db6-92d4-e40ba1950609</errorID>
      <errorWord>噪音</errorWord>
      <group>L1_Word</group>
      <groupName>字词问题</groupName>
      <ability>L2_Alias</ability>
      <abilityName>也作/曾用词</abilityName>
      <candidateList>
        <item>噪声</item>
      </candidateList>
      <explain>词汇[噪音]为不规范表述或旧称，其规范书面表述为[噪声]。</explain>
      <paraID>468B3FCA</paraID>
      <start>58</start>
      <end>60</end>
      <status>modified</status>
      <modifiedWord>噪声</modifiedWord>
      <trackRevisions>false</trackRevisions>
    </reviewItem>
    <reviewItem>
      <errorID>e2eeab71-37a1-4904-a8ce-1cc6a6ec2cb1</errorID>
      <errorWord>（</errorWord>
      <group>L1_Format</group>
      <groupName>格式问题</groupName>
      <ability>L2_HalfPunc</ability>
      <abilityName>全半角检查</abilityName>
      <candidateList>
        <item>(</item>
      </candidateList>
      <explain>文本全半角错误。</explain>
      <paraID>54736669</paraID>
      <start>0</start>
      <end>1</end>
      <status>unmodified</status>
      <modifiedWord/>
      <trackRevisions>false</trackRevisions>
    </reviewItem>
    <reviewItem>
      <errorID>a710e3d9-dd33-4c1d-8f04-7553ca505cdb</errorID>
      <errorWord>）</errorWord>
      <group>L1_Format</group>
      <groupName>格式问题</groupName>
      <ability>L2_HalfPunc</ability>
      <abilityName>全半角检查</abilityName>
      <candidateList>
        <item>)</item>
      </candidateList>
      <explain>文本全半角错误。</explain>
      <paraID>54736669</paraID>
      <start>13</start>
      <end>14</end>
      <status>unmodified</status>
      <modifiedWord/>
      <trackRevisions>false</trackRevisions>
    </reviewItem>
    <reviewItem>
      <errorID>5557725a-1d31-46c3-acd2-d97c41ccc57e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1D0A9E61</paraID>
      <start>0</start>
      <end>2</end>
      <status>unmodified</status>
      <modifiedWord/>
      <trackRevisions>false</trackRevisions>
    </reviewItem>
    <reviewItem>
      <errorID>494a46ad-1651-4398-9003-3b8d1d698c55</errorID>
      <errorWord>(</errorWord>
      <group>L1_Format</group>
      <groupName>格式问题</groupName>
      <ability>L2_HalfPunc</ability>
      <abilityName>全半角检查</abilityName>
      <candidateList>
        <item>（</item>
      </candidateList>
      <explain>文本全半角错误。</explain>
      <paraID>79BD9324</paraID>
      <start>35</start>
      <end>36</end>
      <status>modified</status>
      <modifiedWord>（</modifiedWord>
      <trackRevisions>false</trackRevisions>
    </reviewItem>
    <reviewItem>
      <errorID>90c5eae0-c3a2-4004-8c04-41de58efdc5a</errorID>
      <errorWord>)</errorWord>
      <group>L1_Format</group>
      <groupName>格式问题</groupName>
      <ability>L2_HalfPunc</ability>
      <abilityName>全半角检查</abilityName>
      <candidateList>
        <item>）</item>
      </candidateList>
      <explain>文本全半角错误。</explain>
      <paraID>79BD9324</paraID>
      <start>40</start>
      <end>41</end>
      <status>modified</status>
      <modifiedWord>）</modifiedWord>
      <trackRevisions>false</trackRevisions>
    </reviewItem>
    <reviewItem>
      <errorID>0106f6a6-c939-4d16-9eff-82a42ff1e2e5</errorID>
      <errorWord>)</errorWord>
      <group>L1_Format</group>
      <groupName>格式问题</groupName>
      <ability>L2_HalfPunc</ability>
      <abilityName>全半角检查</abilityName>
      <candidateList>
        <item>）</item>
      </candidateList>
      <explain>文本全半角错误。</explain>
      <paraID>79BD9324</paraID>
      <start>73</start>
      <end>74</end>
      <status>modified</status>
      <modifiedWord>）</modifiedWord>
      <trackRevisions>false</trackRevisions>
    </reviewItem>
    <reviewItem>
      <errorID>d7526018-42af-463b-b8ac-cb75b2d377cf</errorID>
      <errorWord>~</errorWord>
      <group>L1_Format</group>
      <groupName>格式问题</groupName>
      <ability>L2_HalfPunc</ability>
      <abilityName>全半角检查</abilityName>
      <candidateList>
        <item>～</item>
      </candidateList>
      <explain>文本全半角错误。</explain>
      <paraID>5799F1F4</paraID>
      <start>25</start>
      <end>26</end>
      <status>unmodified</status>
      <modifiedWord/>
      <trackRevisions>false</trackRevisions>
    </reviewItem>
    <reviewItem>
      <errorID>2798f5ca-6422-40f3-8af3-a68a1ea39e44</errorID>
      <errorWord>(</errorWord>
      <group>L1_Format</group>
      <groupName>格式问题</groupName>
      <ability>L2_HalfPunc</ability>
      <abilityName>全半角检查</abilityName>
      <candidateList>
        <item>（</item>
      </candidateList>
      <explain>文本全半角错误。</explain>
      <paraID>172ED3A0</paraID>
      <start>30</start>
      <end>31</end>
      <status>modified</status>
      <modifiedWord>（</modifiedWord>
      <trackRevisions>false</trackRevisions>
    </reviewItem>
    <reviewItem>
      <errorID>fccba493-2b0e-475c-9f8e-12082655568c</errorID>
      <errorWord>)</errorWord>
      <group>L1_Format</group>
      <groupName>格式问题</groupName>
      <ability>L2_HalfPunc</ability>
      <abilityName>全半角检查</abilityName>
      <candidateList>
        <item>）</item>
      </candidateList>
      <explain>文本全半角错误。</explain>
      <paraID>172ED3A0</paraID>
      <start>43</start>
      <end>44</end>
      <status>modified</status>
      <modifiedWord>）</modifiedWord>
      <trackRevisions>false</trackRevisions>
    </reviewItem>
    <reviewItem>
      <errorID>97a4b958-2bf1-4e95-9fb1-5b8179e05f81</errorID>
      <errorWord>放风</errorWord>
      <group>L1_Word</group>
      <groupName>字词问题</groupName>
      <ability>L2_Typo</ability>
      <abilityName>字词错误</abilityName>
      <candidateList>
        <item>防风</item>
      </candidateList>
      <explain/>
      <paraID>172ED3A0</paraID>
      <start>67</start>
      <end>69</end>
      <status>modified</status>
      <modifiedWord>防风</modifiedWord>
      <trackRevisions>false</trackRevisions>
    </reviewItem>
    <reviewItem>
      <errorID>f5456679-2cfe-4c11-aa48-696c48ad6cd4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567C9B65</paraID>
      <start>0</start>
      <end>2</end>
      <status>unmodified</status>
      <modifiedWord/>
      <trackRevisions>false</trackRevisions>
    </reviewItem>
    <reviewItem>
      <errorID>079973d0-3b2a-46ad-b819-1e087273fab8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47581D96</paraID>
      <start>0</start>
      <end>2</end>
      <status>unmodified</status>
      <modifiedWord/>
      <trackRevisions>false</trackRevisions>
    </reviewItem>
    <reviewItem>
      <errorID>9e52baaf-1a9b-4efe-86ef-4993c70e59d7</errorID>
      <errorWord>标示</errorWord>
      <group>L1_Word</group>
      <groupName>字词问题</groupName>
      <ability>L2_Typo</ability>
      <abilityName>字词错误</abilityName>
      <candidateList>
        <item>标识</item>
      </candidateList>
      <explain>存在发音相同字词的误用。</explain>
      <paraID>47581D96</paraID>
      <start>24</start>
      <end>26</end>
      <status>modified</status>
      <modifiedWord>标识</modifiedWord>
      <trackRevisions>false</trackRevisions>
    </reviewItem>
    <reviewItem>
      <errorID>708fb6f1-8ccf-46fc-85b7-82b3e5df3ed1</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2D9DBF15</paraID>
      <start>0</start>
      <end>2</end>
      <status>unmodified</status>
      <modifiedWord/>
      <trackRevisions>false</trackRevisions>
    </reviewItem>
    <reviewItem>
      <errorID>b5665c42-d256-4572-bc32-cdc470825014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2D9DBF15</paraID>
      <start>83</start>
      <end>84</end>
      <status>unmodified</status>
      <modifiedWord/>
      <trackRevisions>false</trackRevisions>
    </reviewItem>
    <reviewItem>
      <errorID>385e47c2-f08f-4329-89b3-2be0fda8326b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2D9DBF15</paraID>
      <start>133</start>
      <end>134</end>
      <status>unmodified</status>
      <modifiedWord/>
      <trackRevisions>false</trackRevisions>
    </reviewItem>
    <reviewItem>
      <errorID>19804c39-66df-4b5f-8639-264042cad70f</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2DCE2834</paraID>
      <start>0</start>
      <end>2</end>
      <status>unmodified</status>
      <modifiedWord/>
      <trackRevisions>false</trackRevisions>
    </reviewItem>
    <reviewItem>
      <errorID>1c41096a-db2e-4c48-a6ef-28bb7a1f142b</errorID>
      <errorWord>标示</errorWord>
      <group>L1_Word</group>
      <groupName>字词问题</groupName>
      <ability>L2_Typo</ability>
      <abilityName>字词错误</abilityName>
      <candidateList>
        <item>标识</item>
      </candidateList>
      <explain>存在发音相同字词的误用。</explain>
      <paraID>2DCE2834</paraID>
      <start>14</start>
      <end>16</end>
      <status>modified</status>
      <modifiedWord>标识</modifiedWord>
      <trackRevisions>false</trackRevisions>
    </reviewItem>
    <reviewItem>
      <errorID>182a1558-ee1c-4d3a-8adc-9d969f2f6d64</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A3AA0A1</paraID>
      <start>0</start>
      <end>2</end>
      <status>unmodified</status>
      <modifiedWord/>
      <trackRevisions>false</trackRevisions>
    </reviewItem>
    <reviewItem>
      <errorID>28202e38-a8d8-48c1-b719-d859326386a2</errorID>
      <errorWord>存装</errorWord>
      <group>L1_Word</group>
      <groupName>字词问题</groupName>
      <ability>L2_Typo</ability>
      <abilityName>字词错误</abilityName>
      <candidateList>
        <item>存储</item>
      </candidateList>
      <explain/>
      <paraID>524D5CE0</paraID>
      <start>21</start>
      <end>23</end>
      <status>modified</status>
      <modifiedWord>存储</modifiedWord>
      <trackRevisions>false</trackRevisions>
    </reviewItem>
    <reviewItem>
      <errorID>0dc9aa64-643c-4cc7-8f6c-d6d62ba9df5f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1A201A2E</paraID>
      <start>0</start>
      <end>2</end>
      <status>unmodified</status>
      <modifiedWord/>
      <trackRevisions>false</trackRevisions>
    </reviewItem>
    <reviewItem>
      <errorID>0f128859-5507-4ebb-942f-fb5d166d97b2</errorID>
      <errorWord>(</errorWord>
      <group>L1_Format</group>
      <groupName>格式问题</groupName>
      <ability>L2_HalfPunc</ability>
      <abilityName>全半角检查</abilityName>
      <candidateList>
        <item>（</item>
      </candidateList>
      <explain>文本全半角错误。</explain>
      <paraID>767C30E2</paraID>
      <start>67</start>
      <end>68</end>
      <status>modified</status>
      <modifiedWord>（</modifiedWord>
      <trackRevisions>false</trackRevisions>
    </reviewItem>
    <reviewItem>
      <errorID>e2bff7c9-6ad8-492f-b5d6-f9f23ce356e2</errorID>
      <errorWord>)</errorWord>
      <group>L1_Format</group>
      <groupName>格式问题</groupName>
      <ability>L2_HalfPunc</ability>
      <abilityName>全半角检查</abilityName>
      <candidateList>
        <item>）</item>
      </candidateList>
      <explain>文本全半角错误。</explain>
      <paraID>767C30E2</paraID>
      <start>79</start>
      <end>80</end>
      <status>modified</status>
      <modifiedWord>）</modifiedWord>
      <trackRevisions>false</trackRevisions>
    </reviewItem>
    <reviewItem>
      <errorID>946451c4-c28c-42f3-8418-e89be69e00cd</errorID>
      <errorWord>泄露</errorWord>
      <group>L1_Word</group>
      <groupName>字词问题</groupName>
      <ability>L2_Typo</ability>
      <abilityName>字词错误</abilityName>
      <candidateList>
        <item>泄漏</item>
      </candidateList>
      <explain>存在发音相同字词的误用。</explain>
      <paraID>3CE43355</paraID>
      <start>25</start>
      <end>27</end>
      <status>modified</status>
      <modifiedWord>泄漏</modifiedWord>
      <trackRevisions>false</trackRevisions>
    </reviewItem>
    <reviewItem>
      <errorID>3051b0f1-32fe-4055-a80f-ea1d561083ce</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718D8BC7</paraID>
      <start>196</start>
      <end>200</end>
      <status>modified</status>
      <modifiedWord>其他人工</modifiedWord>
      <trackRevisions>false</trackRevisions>
    </reviewItem>
    <reviewItem>
      <errorID>6040570f-b1e1-4c70-94b7-60eda25db9bf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399EB094</paraID>
      <start>65</start>
      <end>66</end>
      <status>unmodified</status>
      <modifiedWord/>
      <trackRevisions>false</trackRevisions>
    </reviewItem>
    <reviewItem>
      <errorID>c02a68da-c45d-480a-9f61-ecf9bbcb4199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399EB094</paraID>
      <start>107</start>
      <end>108</end>
      <status>unmodified</status>
      <modifiedWord/>
      <trackRevisions>false</trackRevisions>
    </reviewItem>
    <reviewItem>
      <errorID>0e31f775-9a29-4397-bbf7-6552d3fe70ac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7AA9A539</paraID>
      <start>0</start>
      <end>2</end>
      <status>unmodified</status>
      <modifiedWord/>
      <trackRevisions>false</trackRevisions>
    </reviewItem>
    <reviewItem>
      <errorID>f1f125a7-4ec6-40bd-beeb-45757c116839</errorID>
      <errorWord>要</errorWord>
      <group>L1_Word</group>
      <groupName>字词问题</groupName>
      <ability>L2_Typo</ability>
      <abilityName>字词错误</abilityName>
      <candidateList>
        <item>要为</item>
      </candidateList>
      <explain/>
      <paraID>60F43A9A</paraID>
      <start>25</start>
      <end>27</end>
      <status>modified</status>
      <modifiedWord>要为</modifiedWord>
      <trackRevisions>false</trackRevisions>
    </reviewItem>
    <reviewItem>
      <errorID>19bad463-7f35-4873-993f-cbacf1822d15</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F02066E</paraID>
      <start>0</start>
      <end>2</end>
      <status>unmodified</status>
      <modifiedWord/>
      <trackRevisions>false</trackRevisions>
    </reviewItem>
    <reviewItem>
      <errorID>e863ff2d-b5e7-4875-bdb2-7c07004871f8</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21A4AD5E</paraID>
      <start>0</start>
      <end>2</end>
      <status>unmodified</status>
      <modifiedWord/>
      <trackRevisions>false</trackRevisions>
    </reviewItem>
    <reviewItem>
      <errorID>4ff3060f-a7d9-443b-969e-b1aba31ad525</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13638D54</paraID>
      <start>0</start>
      <end>2</end>
      <status>unmodified</status>
      <modifiedWord/>
      <trackRevisions>false</trackRevisions>
    </reviewItem>
    <reviewItem>
      <errorID>db4b9ffb-a97b-4d3d-ba50-faab409c5a24</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3F2DB91</paraID>
      <start>0</start>
      <end>2</end>
      <status>unmodified</status>
      <modifiedWord/>
      <trackRevisions>false</trackRevisions>
    </reviewItem>
    <reviewItem>
      <errorID>5ea87952-a1f2-484b-af04-0bdd7d0a7a7f</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4961816E</paraID>
      <start>0</start>
      <end>2</end>
      <status>unmodified</status>
      <modifiedWord/>
      <trackRevisions>false</trackRevisions>
    </reviewItem>
    <reviewItem>
      <errorID>e0cefd8f-5f11-4f2e-a436-2e92af42b297</errorID>
      <errorWord>程</errorWord>
      <group>L1_Word</group>
      <groupName>字词问题</groupName>
      <ability>L2_Typo</ability>
      <abilityName>字词错误</abilityName>
      <candidateList>
        <item>程中</item>
      </candidateList>
      <explain/>
      <paraID>4961816E</paraID>
      <start>17</start>
      <end>19</end>
      <status>modified</status>
      <modifiedWord>程中</modifiedWord>
      <trackRevisions>false</trackRevisions>
    </reviewItem>
    <reviewItem>
      <errorID>147ffe3e-bb58-46bb-bd7c-b60899d67eb5</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4486F101</paraID>
      <start>0</start>
      <end>2</end>
      <status>unmodified</status>
      <modifiedWord/>
      <trackRevisions>false</trackRevisions>
    </reviewItem>
    <reviewItem>
      <errorID>2610ce9e-0728-490b-8c10-bed5c5f47650</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336F488</paraID>
      <start>0</start>
      <end>2</end>
      <status>unmodified</status>
      <modifiedWord/>
      <trackRevisions>false</trackRevisions>
    </reviewItem>
    <reviewItem>
      <errorID>6a6a0d23-85d4-4dfb-8e09-37c67676e8a4</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7E1B4209</paraID>
      <start>0</start>
      <end>2</end>
      <status>unmodified</status>
      <modifiedWord/>
      <trackRevisions>false</trackRevisions>
    </reviewItem>
    <reviewItem>
      <errorID>704673aa-417e-49f2-b6a2-4d44ca54c3a5</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44E6B08B</paraID>
      <start>0</start>
      <end>2</end>
      <status>unmodified</status>
      <modifiedWord/>
      <trackRevisions>false</trackRevisions>
    </reviewItem>
    <reviewItem>
      <errorID>e01e00bf-548d-48ba-aca9-87cb01ada713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507B66B9</paraID>
      <start>0</start>
      <end>2</end>
      <status>unmodified</status>
      <modifiedWord/>
      <trackRevisions>false</trackRevisions>
    </reviewItem>
    <reviewItem>
      <errorID>7b442425-5d6f-4903-a1cc-6d2a2c811b25</errorID>
      <errorWord>境境</errorWord>
      <group>L1_Word</group>
      <groupName>字词问题</groupName>
      <ability>L2_Typo</ability>
      <abilityName>字词错误</abilityName>
      <candidateList>
        <item>境</item>
      </candidateList>
      <explain/>
      <paraID>7429C4BF</paraID>
      <start>93</start>
      <end>94</end>
      <status>modified</status>
      <modifiedWord>境</modifiedWord>
      <trackRevisions>false</trackRevisions>
    </reviewItem>
    <reviewItem>
      <errorID>d054cd5c-ebed-44c4-9ba0-a62e9545d840</errorID>
      <errorWord>(</errorWord>
      <group>L1_Format</group>
      <groupName>格式问题</groupName>
      <ability>L2_HalfPunc</ability>
      <abilityName>全半角检查</abilityName>
      <candidateList>
        <item>（</item>
      </candidateList>
      <explain>文本全半角错误。</explain>
      <paraID>3411FAA6</paraID>
      <start>3</start>
      <end>4</end>
      <status>modified</status>
      <modifiedWord>（</modifiedWord>
      <trackRevisions>false</trackRevisions>
    </reviewItem>
    <reviewItem>
      <errorID>d47c150d-a63d-41b3-95a4-8decb40fb50e</errorID>
      <errorWord>)</errorWord>
      <group>L1_Format</group>
      <groupName>格式问题</groupName>
      <ability>L2_HalfPunc</ability>
      <abilityName>全半角检查</abilityName>
      <candidateList>
        <item>）</item>
      </candidateList>
      <explain>文本全半角错误。</explain>
      <paraID>3411FAA6</paraID>
      <start>9</start>
      <end>10</end>
      <status>modified</status>
      <modifiedWord>）</modifiedWord>
      <trackRevisions>false</trackRevisions>
    </reviewItem>
    <reviewItem>
      <errorID>fa02412d-9a9f-4c86-9f34-23837fbba772</errorID>
      <errorWord>其它人工</errorWord>
      <group>L1_Word</group>
      <groupName>字词问题</groupName>
      <ability>L2_Alias</ability>
      <abilityName>也作/曾用词</abilityName>
      <candidateList>
        <item>其他人工</item>
      </candidateList>
      <explain>词汇[其它人工]为不规范表述或旧称，其规范书面表述为[其他人工]。</explain>
      <paraID>5FAB5463</paraID>
      <start>158</start>
      <end>162</end>
      <status>modified</status>
      <modifiedWord>其他人工</modifiedWord>
      <trackRevisions>false</trackRevisions>
    </reviewItem>
    <reviewItem>
      <errorID>82b0cf9c-9b3c-4829-85e2-c94c32aa5c75</errorID>
      <errorWord>法律、法规</errorWord>
      <group>L1_Word</group>
      <groupName>字词问题</groupName>
      <ability>L2_Typo</ability>
      <abilityName>字词错误</abilityName>
      <candidateList>
        <item>法律法规</item>
      </candidateList>
      <explain/>
      <paraID>3A900CD8</paraID>
      <start>115</start>
      <end>119</end>
      <status>modified</status>
      <modifiedWord>法律法规</modifiedWord>
      <trackRevisions>false</trackRevisions>
    </reviewItem>
    <reviewItem>
      <errorID>4a96e6ce-240b-43df-9282-4abcab3992c6</errorID>
      <errorWord>使用</errorWord>
      <group>L1_Word</group>
      <groupName>字词问题</groupName>
      <ability>L2_Typo</ability>
      <abilityName>字词错误</abilityName>
      <candidateList>
        <item>适用</item>
      </candidateList>
      <explain>〈形〉适合使用：这套耕作方法，在我们这个地区也完全～。</explain>
      <paraID>3A900CD8</paraID>
      <start>162</start>
      <end>164</end>
      <status>modified</status>
      <modifiedWord>适用</modifiedWord>
      <trackRevisions>false</trackRevisions>
    </reviewItem>
    <reviewItem>
      <errorID>a04ba9cb-0e34-4dbc-b9e3-282aa3db8a16</errorID>
      <errorWord>法律、法规</errorWord>
      <group>L1_Word</group>
      <groupName>字词问题</groupName>
      <ability>L2_Typo</ability>
      <abilityName>字词错误</abilityName>
      <candidateList>
        <item>法律法规</item>
      </candidateList>
      <explain/>
      <paraID>3A900CD8</paraID>
      <start>175</start>
      <end>179</end>
      <status>modified</status>
      <modifiedWord>法律法规</modifiedWord>
      <trackRevisions>false</trackRevisions>
    </reviewItem>
    <reviewItem>
      <errorID>25dce859-35c2-4e3b-888f-fd1f9183dbad</errorID>
      <errorWord>法律、法规</errorWord>
      <group>L1_Word</group>
      <groupName>字词问题</groupName>
      <ability>L2_Typo</ability>
      <abilityName>字词错误</abilityName>
      <candidateList>
        <item>法律法规</item>
      </candidateList>
      <explain/>
      <paraID>3A900CD8</paraID>
      <start>186</start>
      <end>190</end>
      <status>modified</status>
      <modifiedWord>法律法规</modifiedWord>
      <trackRevisions>false</trackRevisions>
    </reviewItem>
    <reviewItem>
      <errorID>633f63b6-6c6c-4923-bc6d-b0b596564880</errorID>
      <errorWord>,</errorWord>
      <group>L1_Format</group>
      <groupName>格式问题</groupName>
      <ability>L2_HalfPunc</ability>
      <abilityName>全半角检查</abilityName>
      <candidateList>
        <item>，</item>
      </candidateList>
      <explain>文本全半角错误。</explain>
      <paraID>7D33A6CE</paraID>
      <start>24</start>
      <end>25</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92A48A-44CA-4CE3-BF55-2BB335AB492E}">
  <ds:schemaRefs/>
</ds:datastoreItem>
</file>

<file path=customXml/itemProps3.xml><?xml version="1.0" encoding="utf-8"?>
<ds:datastoreItem xmlns:ds="http://schemas.openxmlformats.org/officeDocument/2006/customXml" ds:itemID="{42a29ed4-56cf-4480-974f-d9984ade87af}">
  <ds:schemaRefs/>
</ds:datastoreItem>
</file>

<file path=docProps/app.xml><?xml version="1.0" encoding="utf-8"?>
<Properties xmlns="http://schemas.openxmlformats.org/officeDocument/2006/extended-properties" xmlns:vt="http://schemas.openxmlformats.org/officeDocument/2006/docPropsVTypes">
  <Template>Normal</Template>
  <Pages>51</Pages>
  <Words>6667</Words>
  <Characters>7074</Characters>
  <Lines>235</Lines>
  <Paragraphs>66</Paragraphs>
  <TotalTime>0</TotalTime>
  <ScaleCrop>false</ScaleCrop>
  <LinksUpToDate>false</LinksUpToDate>
  <CharactersWithSpaces>7121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2022-07-05T08:53:00Z</dcterms:created>
  <dc:creator>L</dc:creator>
  <cp:lastModifiedBy>Daisy</cp:lastModifiedBy>
  <cp:lastPrinted>2023-01-10T02:03:00Z</cp:lastPrinted>
  <dcterms:modified xsi:type="dcterms:W3CDTF">2026-04-13T00:38:07Z</dcterms:modified>
  <cp:revision>720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BBCE59779D7B4EB69F85838BC2EE8F22_12</vt:lpwstr>
  </property>
  <property fmtid="{D5CDD505-2E9C-101B-9397-08002B2CF9AE}" pid="4" name="KSOTemplateDocerSaveRecord">
    <vt:lpwstr>eyJoZGlkIjoiYzAyMDA2YTI3MjBiODJiN2RlMmY3NzljNjg4MWM4ZDUiLCJ1c2VySWQiOiI1NjA4NzEyNjAifQ==</vt:lpwstr>
  </property>
</Properties>
</file>