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65552E">
      <w:pPr>
        <w:rPr>
          <w:sz w:val="36"/>
          <w:szCs w:val="36"/>
        </w:rPr>
      </w:pPr>
      <w:bookmarkStart w:id="0" w:name="_Hlk57883707"/>
    </w:p>
    <w:p w14:paraId="19BD5531">
      <w:pPr>
        <w:rPr>
          <w:sz w:val="36"/>
          <w:szCs w:val="36"/>
        </w:rPr>
      </w:pPr>
    </w:p>
    <w:p w14:paraId="3B91CD8F">
      <w:pPr>
        <w:rPr>
          <w:sz w:val="36"/>
          <w:szCs w:val="36"/>
        </w:rPr>
      </w:pPr>
    </w:p>
    <w:bookmarkEnd w:id="0"/>
    <w:p w14:paraId="3CC92309">
      <w:pPr>
        <w:jc w:val="center"/>
        <w:outlineLvl w:val="0"/>
        <w:rPr>
          <w:rFonts w:ascii="黑体" w:hAnsi="黑体" w:eastAsia="黑体"/>
          <w:bCs/>
          <w:sz w:val="66"/>
          <w:szCs w:val="66"/>
        </w:rPr>
      </w:pPr>
      <w:r>
        <w:rPr>
          <w:rFonts w:ascii="黑体" w:hAnsi="黑体" w:eastAsia="黑体"/>
          <w:bCs/>
          <w:sz w:val="66"/>
          <w:szCs w:val="66"/>
        </w:rPr>
        <w:t>建设项目环境影响报告表</w:t>
      </w:r>
    </w:p>
    <w:p w14:paraId="45C6F647">
      <w:pPr>
        <w:spacing w:beforeLines="80"/>
        <w:jc w:val="center"/>
        <w:rPr>
          <w:bCs/>
          <w:sz w:val="48"/>
          <w:szCs w:val="48"/>
        </w:rPr>
      </w:pPr>
      <w:r>
        <w:rPr>
          <w:rFonts w:hAnsi="宋体"/>
          <w:bCs/>
          <w:sz w:val="48"/>
          <w:szCs w:val="48"/>
        </w:rPr>
        <w:t>（</w:t>
      </w:r>
      <w:r>
        <w:rPr>
          <w:rFonts w:hint="eastAsia" w:ascii="楷体" w:hAnsi="楷体" w:eastAsia="楷体"/>
          <w:bCs/>
          <w:sz w:val="44"/>
          <w:szCs w:val="48"/>
        </w:rPr>
        <w:t>污染</w:t>
      </w:r>
      <w:r>
        <w:rPr>
          <w:rFonts w:ascii="楷体" w:hAnsi="楷体" w:eastAsia="楷体"/>
          <w:bCs/>
          <w:sz w:val="44"/>
          <w:szCs w:val="48"/>
        </w:rPr>
        <w:t>影响类</w:t>
      </w:r>
      <w:r>
        <w:rPr>
          <w:rFonts w:hAnsi="宋体"/>
          <w:bCs/>
          <w:sz w:val="48"/>
          <w:szCs w:val="48"/>
        </w:rPr>
        <w:t>）</w:t>
      </w:r>
    </w:p>
    <w:p w14:paraId="6860FCD3">
      <w:pPr>
        <w:jc w:val="center"/>
        <w:rPr>
          <w:sz w:val="52"/>
          <w:szCs w:val="52"/>
        </w:rPr>
      </w:pPr>
      <w:bookmarkStart w:id="1" w:name="_Hlk57883728"/>
    </w:p>
    <w:p w14:paraId="520B75FA">
      <w:pPr>
        <w:ind w:firstLine="1040"/>
        <w:rPr>
          <w:sz w:val="44"/>
          <w:szCs w:val="44"/>
        </w:rPr>
      </w:pPr>
    </w:p>
    <w:p w14:paraId="78A5B86D">
      <w:pPr>
        <w:ind w:firstLine="1040"/>
        <w:rPr>
          <w:sz w:val="44"/>
          <w:szCs w:val="44"/>
        </w:rPr>
      </w:pPr>
    </w:p>
    <w:p w14:paraId="07F0DA82">
      <w:pPr>
        <w:ind w:firstLine="1040"/>
        <w:rPr>
          <w:sz w:val="44"/>
          <w:szCs w:val="44"/>
        </w:rPr>
      </w:pPr>
    </w:p>
    <w:p w14:paraId="498849BE">
      <w:pPr>
        <w:ind w:firstLine="1040"/>
        <w:rPr>
          <w:sz w:val="44"/>
          <w:szCs w:val="44"/>
        </w:rPr>
      </w:pPr>
    </w:p>
    <w:p w14:paraId="35FA3934">
      <w:pPr>
        <w:ind w:firstLine="1040"/>
        <w:rPr>
          <w:sz w:val="44"/>
          <w:szCs w:val="44"/>
        </w:rPr>
      </w:pPr>
    </w:p>
    <w:tbl>
      <w:tblPr>
        <w:tblStyle w:val="17"/>
        <w:tblW w:w="8448" w:type="dxa"/>
        <w:jc w:val="center"/>
        <w:tblLayout w:type="autofit"/>
        <w:tblCellMar>
          <w:top w:w="0" w:type="dxa"/>
          <w:left w:w="108" w:type="dxa"/>
          <w:bottom w:w="0" w:type="dxa"/>
          <w:right w:w="108" w:type="dxa"/>
        </w:tblCellMar>
      </w:tblPr>
      <w:tblGrid>
        <w:gridCol w:w="2765"/>
        <w:gridCol w:w="5683"/>
      </w:tblGrid>
      <w:tr w14:paraId="688433EB">
        <w:tblPrEx>
          <w:tblCellMar>
            <w:top w:w="0" w:type="dxa"/>
            <w:left w:w="108" w:type="dxa"/>
            <w:bottom w:w="0" w:type="dxa"/>
            <w:right w:w="108" w:type="dxa"/>
          </w:tblCellMar>
        </w:tblPrEx>
        <w:trPr>
          <w:jc w:val="center"/>
        </w:trPr>
        <w:tc>
          <w:tcPr>
            <w:tcW w:w="2765" w:type="dxa"/>
            <w:vAlign w:val="center"/>
          </w:tcPr>
          <w:p w14:paraId="3B599805">
            <w:pPr>
              <w:keepNext w:val="0"/>
              <w:keepLines w:val="0"/>
              <w:suppressLineNumbers w:val="0"/>
              <w:spacing w:before="0" w:beforeAutospacing="0" w:after="0" w:afterAutospacing="0" w:line="220" w:lineRule="atLeast"/>
              <w:ind w:left="0" w:right="0"/>
              <w:jc w:val="distribute"/>
              <w:rPr>
                <w:rFonts w:hint="default" w:ascii="Times New Roman" w:hAnsi="宋体" w:eastAsia="仿宋_GB2312" w:cs="Times New Roman"/>
                <w:sz w:val="32"/>
                <w:szCs w:val="36"/>
              </w:rPr>
            </w:pPr>
            <w:r>
              <w:rPr>
                <w:rFonts w:hint="eastAsia" w:ascii="Times New Roman" w:hAnsi="宋体" w:eastAsia="仿宋_GB2312" w:cs="Times New Roman"/>
                <w:sz w:val="32"/>
                <w:szCs w:val="36"/>
              </w:rPr>
              <w:t>项目名称</w:t>
            </w:r>
            <w:r>
              <w:rPr>
                <w:rFonts w:hint="default" w:ascii="Times New Roman" w:hAnsi="宋体" w:eastAsia="仿宋_GB2312" w:cs="Times New Roman"/>
                <w:sz w:val="32"/>
                <w:szCs w:val="36"/>
              </w:rPr>
              <w:t>：</w:t>
            </w:r>
          </w:p>
        </w:tc>
        <w:tc>
          <w:tcPr>
            <w:tcW w:w="5683" w:type="dxa"/>
            <w:tcBorders>
              <w:bottom w:val="single" w:color="auto" w:sz="4" w:space="0"/>
            </w:tcBorders>
            <w:vAlign w:val="center"/>
          </w:tcPr>
          <w:p w14:paraId="5A5C1CC9">
            <w:pPr>
              <w:keepNext w:val="0"/>
              <w:keepLines w:val="0"/>
              <w:suppressLineNumbers w:val="0"/>
              <w:spacing w:before="0" w:beforeAutospacing="0" w:after="0" w:afterAutospacing="0"/>
              <w:ind w:left="0" w:right="0"/>
              <w:jc w:val="center"/>
              <w:rPr>
                <w:rFonts w:hint="eastAsia" w:ascii="Times New Roman" w:hAnsi="宋体" w:eastAsia="仿宋_GB2312" w:cs="Times New Roman"/>
                <w:kern w:val="0"/>
                <w:sz w:val="32"/>
                <w:szCs w:val="36"/>
                <w:lang w:eastAsia="zh-CN"/>
              </w:rPr>
            </w:pPr>
            <w:r>
              <w:rPr>
                <w:rFonts w:hint="eastAsia" w:ascii="Times New Roman" w:hAnsi="宋体" w:eastAsia="仿宋_GB2312" w:cs="Times New Roman"/>
                <w:kern w:val="0"/>
                <w:sz w:val="32"/>
                <w:szCs w:val="36"/>
                <w:lang w:eastAsia="zh-CN"/>
              </w:rPr>
              <w:t>安徽樱琦药用新材料项目</w:t>
            </w:r>
          </w:p>
        </w:tc>
      </w:tr>
      <w:tr w14:paraId="7817FFE2">
        <w:tblPrEx>
          <w:tblCellMar>
            <w:top w:w="0" w:type="dxa"/>
            <w:left w:w="108" w:type="dxa"/>
            <w:bottom w:w="0" w:type="dxa"/>
            <w:right w:w="108" w:type="dxa"/>
          </w:tblCellMar>
        </w:tblPrEx>
        <w:trPr>
          <w:jc w:val="center"/>
        </w:trPr>
        <w:tc>
          <w:tcPr>
            <w:tcW w:w="2765" w:type="dxa"/>
            <w:vAlign w:val="center"/>
          </w:tcPr>
          <w:p w14:paraId="6B13C455">
            <w:pPr>
              <w:keepNext w:val="0"/>
              <w:keepLines w:val="0"/>
              <w:suppressLineNumbers w:val="0"/>
              <w:spacing w:before="0" w:beforeAutospacing="0" w:after="0" w:afterAutospacing="0" w:line="220" w:lineRule="atLeast"/>
              <w:ind w:left="0" w:right="0"/>
              <w:jc w:val="distribute"/>
              <w:rPr>
                <w:rFonts w:hint="default" w:ascii="Times New Roman" w:hAnsi="宋体" w:eastAsia="仿宋_GB2312" w:cs="Times New Roman"/>
                <w:sz w:val="32"/>
                <w:szCs w:val="36"/>
              </w:rPr>
            </w:pPr>
            <w:r>
              <w:rPr>
                <w:rFonts w:hint="eastAsia" w:ascii="Times New Roman" w:hAnsi="宋体" w:eastAsia="仿宋_GB2312" w:cs="Times New Roman"/>
                <w:sz w:val="32"/>
                <w:szCs w:val="36"/>
              </w:rPr>
              <w:t>建设单位（盖章）</w:t>
            </w:r>
            <w:r>
              <w:rPr>
                <w:rFonts w:hint="default" w:ascii="Times New Roman" w:hAnsi="宋体" w:eastAsia="仿宋_GB2312" w:cs="Times New Roman"/>
                <w:sz w:val="32"/>
                <w:szCs w:val="36"/>
              </w:rPr>
              <w:t>：</w:t>
            </w:r>
          </w:p>
        </w:tc>
        <w:tc>
          <w:tcPr>
            <w:tcW w:w="5683" w:type="dxa"/>
            <w:tcBorders>
              <w:top w:val="single" w:color="auto" w:sz="4" w:space="0"/>
              <w:bottom w:val="single" w:color="auto" w:sz="4" w:space="0"/>
            </w:tcBorders>
            <w:vAlign w:val="center"/>
          </w:tcPr>
          <w:p w14:paraId="5FB1D5E5">
            <w:pPr>
              <w:keepNext w:val="0"/>
              <w:keepLines w:val="0"/>
              <w:suppressLineNumbers w:val="0"/>
              <w:spacing w:before="0" w:beforeAutospacing="0" w:after="0" w:afterAutospacing="0"/>
              <w:ind w:left="0" w:right="0"/>
              <w:jc w:val="center"/>
              <w:rPr>
                <w:rFonts w:hint="default" w:ascii="Times New Roman" w:hAnsi="宋体" w:eastAsia="仿宋_GB2312" w:cs="Times New Roman"/>
                <w:kern w:val="0"/>
                <w:sz w:val="32"/>
                <w:szCs w:val="36"/>
              </w:rPr>
            </w:pPr>
            <w:r>
              <w:rPr>
                <w:rFonts w:hint="eastAsia" w:ascii="Times New Roman" w:hAnsi="宋体" w:eastAsia="仿宋_GB2312" w:cs="Times New Roman"/>
                <w:kern w:val="0"/>
                <w:sz w:val="32"/>
                <w:szCs w:val="36"/>
              </w:rPr>
              <w:t>安徽樱琦新材料技术有限公司</w:t>
            </w:r>
          </w:p>
        </w:tc>
      </w:tr>
      <w:tr w14:paraId="16729744">
        <w:tblPrEx>
          <w:tblCellMar>
            <w:top w:w="0" w:type="dxa"/>
            <w:left w:w="108" w:type="dxa"/>
            <w:bottom w:w="0" w:type="dxa"/>
            <w:right w:w="108" w:type="dxa"/>
          </w:tblCellMar>
        </w:tblPrEx>
        <w:trPr>
          <w:jc w:val="center"/>
        </w:trPr>
        <w:tc>
          <w:tcPr>
            <w:tcW w:w="2765" w:type="dxa"/>
            <w:vAlign w:val="center"/>
          </w:tcPr>
          <w:p w14:paraId="58451821">
            <w:pPr>
              <w:keepNext w:val="0"/>
              <w:keepLines w:val="0"/>
              <w:suppressLineNumbers w:val="0"/>
              <w:spacing w:before="0" w:beforeAutospacing="0" w:after="0" w:afterAutospacing="0" w:line="220" w:lineRule="atLeast"/>
              <w:ind w:left="0" w:right="0"/>
              <w:jc w:val="distribute"/>
              <w:rPr>
                <w:rFonts w:hint="default" w:ascii="Times New Roman" w:hAnsi="宋体" w:eastAsia="仿宋_GB2312" w:cs="Times New Roman"/>
                <w:sz w:val="32"/>
                <w:szCs w:val="36"/>
              </w:rPr>
            </w:pPr>
            <w:r>
              <w:rPr>
                <w:rFonts w:hint="default" w:ascii="Times New Roman" w:hAnsi="宋体" w:eastAsia="仿宋_GB2312" w:cs="Times New Roman"/>
                <w:sz w:val="32"/>
                <w:szCs w:val="36"/>
              </w:rPr>
              <w:t>编制日期：</w:t>
            </w:r>
          </w:p>
        </w:tc>
        <w:tc>
          <w:tcPr>
            <w:tcW w:w="5683" w:type="dxa"/>
            <w:tcBorders>
              <w:top w:val="single" w:color="auto" w:sz="4" w:space="0"/>
              <w:bottom w:val="single" w:color="auto" w:sz="4" w:space="0"/>
            </w:tcBorders>
            <w:vAlign w:val="center"/>
          </w:tcPr>
          <w:p w14:paraId="5B237A05">
            <w:pPr>
              <w:keepNext w:val="0"/>
              <w:keepLines w:val="0"/>
              <w:suppressLineNumbers w:val="0"/>
              <w:spacing w:before="0" w:beforeAutospacing="0" w:after="0" w:afterAutospacing="0"/>
              <w:ind w:left="0" w:right="0"/>
              <w:jc w:val="center"/>
              <w:rPr>
                <w:rFonts w:hint="default" w:ascii="Times New Roman" w:hAnsi="宋体" w:eastAsia="仿宋_GB2312" w:cs="Times New Roman"/>
                <w:kern w:val="0"/>
                <w:sz w:val="32"/>
                <w:szCs w:val="36"/>
              </w:rPr>
            </w:pPr>
            <w:r>
              <w:rPr>
                <w:rFonts w:hint="eastAsia" w:ascii="Times New Roman" w:hAnsi="宋体" w:eastAsia="仿宋_GB2312" w:cs="Times New Roman"/>
                <w:kern w:val="0"/>
                <w:sz w:val="32"/>
                <w:szCs w:val="36"/>
              </w:rPr>
              <w:t>二〇二六年</w:t>
            </w:r>
            <w:r>
              <w:rPr>
                <w:rFonts w:hint="eastAsia" w:ascii="Times New Roman" w:hAnsi="宋体" w:eastAsia="仿宋_GB2312" w:cs="Times New Roman"/>
                <w:kern w:val="0"/>
                <w:sz w:val="32"/>
                <w:szCs w:val="36"/>
                <w:lang w:val="en-US" w:eastAsia="zh-CN"/>
              </w:rPr>
              <w:t>四</w:t>
            </w:r>
            <w:r>
              <w:rPr>
                <w:rFonts w:hint="eastAsia" w:ascii="Times New Roman" w:hAnsi="宋体" w:eastAsia="仿宋_GB2312" w:cs="Times New Roman"/>
                <w:kern w:val="0"/>
                <w:sz w:val="32"/>
                <w:szCs w:val="36"/>
              </w:rPr>
              <w:t>月</w:t>
            </w:r>
          </w:p>
        </w:tc>
      </w:tr>
      <w:tr w14:paraId="10E1CBD0">
        <w:tblPrEx>
          <w:tblCellMar>
            <w:top w:w="0" w:type="dxa"/>
            <w:left w:w="108" w:type="dxa"/>
            <w:bottom w:w="0" w:type="dxa"/>
            <w:right w:w="108" w:type="dxa"/>
          </w:tblCellMar>
        </w:tblPrEx>
        <w:trPr>
          <w:jc w:val="center"/>
        </w:trPr>
        <w:tc>
          <w:tcPr>
            <w:tcW w:w="2765" w:type="dxa"/>
            <w:vAlign w:val="center"/>
          </w:tcPr>
          <w:p w14:paraId="53131763">
            <w:pPr>
              <w:keepNext w:val="0"/>
              <w:keepLines w:val="0"/>
              <w:suppressLineNumbers w:val="0"/>
              <w:spacing w:before="0" w:beforeAutospacing="0" w:after="0" w:afterAutospacing="0" w:line="220" w:lineRule="atLeast"/>
              <w:ind w:left="0" w:right="0"/>
              <w:jc w:val="right"/>
              <w:rPr>
                <w:rFonts w:hint="default" w:ascii="黑体" w:hAnsi="黑体" w:eastAsia="黑体"/>
                <w:sz w:val="32"/>
                <w:szCs w:val="32"/>
              </w:rPr>
            </w:pPr>
          </w:p>
        </w:tc>
        <w:tc>
          <w:tcPr>
            <w:tcW w:w="5683" w:type="dxa"/>
            <w:tcBorders>
              <w:top w:val="single" w:color="auto" w:sz="4" w:space="0"/>
            </w:tcBorders>
            <w:vAlign w:val="center"/>
          </w:tcPr>
          <w:p w14:paraId="16F73BC1">
            <w:pPr>
              <w:keepNext w:val="0"/>
              <w:keepLines w:val="0"/>
              <w:suppressLineNumbers w:val="0"/>
              <w:spacing w:before="0" w:beforeAutospacing="0" w:after="0" w:afterAutospacing="0" w:line="220" w:lineRule="atLeast"/>
              <w:ind w:left="0" w:right="0"/>
              <w:rPr>
                <w:rFonts w:hint="default" w:ascii="黑体" w:hAnsi="黑体" w:eastAsia="黑体"/>
                <w:sz w:val="32"/>
                <w:szCs w:val="32"/>
              </w:rPr>
            </w:pPr>
          </w:p>
        </w:tc>
      </w:tr>
      <w:bookmarkEnd w:id="1"/>
    </w:tbl>
    <w:p w14:paraId="0A583BAC">
      <w:pPr>
        <w:spacing w:line="288" w:lineRule="auto"/>
        <w:ind w:firstLine="1040"/>
        <w:rPr>
          <w:sz w:val="36"/>
          <w:szCs w:val="36"/>
        </w:rPr>
      </w:pPr>
    </w:p>
    <w:p w14:paraId="55E2A7E0">
      <w:pPr>
        <w:spacing w:line="288" w:lineRule="auto"/>
        <w:ind w:firstLine="1040"/>
        <w:rPr>
          <w:sz w:val="36"/>
          <w:szCs w:val="36"/>
        </w:rPr>
      </w:pPr>
    </w:p>
    <w:p w14:paraId="57D9AD12">
      <w:pPr>
        <w:spacing w:line="288" w:lineRule="auto"/>
        <w:ind w:firstLine="1040"/>
        <w:rPr>
          <w:sz w:val="36"/>
          <w:szCs w:val="36"/>
        </w:rPr>
      </w:pPr>
    </w:p>
    <w:p w14:paraId="12C16AA4">
      <w:pPr>
        <w:spacing w:line="288" w:lineRule="auto"/>
        <w:ind w:firstLine="1040"/>
        <w:rPr>
          <w:sz w:val="36"/>
          <w:szCs w:val="36"/>
        </w:rPr>
      </w:pPr>
    </w:p>
    <w:p w14:paraId="3799B917">
      <w:pPr>
        <w:spacing w:line="288" w:lineRule="auto"/>
        <w:jc w:val="center"/>
        <w:rPr>
          <w:rFonts w:eastAsia="宋体"/>
          <w:b/>
          <w:sz w:val="24"/>
        </w:rPr>
      </w:pPr>
      <w:r>
        <w:rPr>
          <w:rFonts w:hint="eastAsia" w:ascii="楷体" w:hAnsi="楷体" w:eastAsia="楷体"/>
          <w:sz w:val="36"/>
          <w:szCs w:val="36"/>
        </w:rPr>
        <w:t>中华人民共和国生态环境部制</w:t>
      </w:r>
    </w:p>
    <w:p w14:paraId="3C00C1DA">
      <w:pPr>
        <w:pStyle w:val="14"/>
        <w:spacing w:beforeLines="50" w:beforeAutospacing="0" w:afterLines="50" w:afterAutospacing="0"/>
        <w:jc w:val="center"/>
        <w:outlineLvl w:val="0"/>
        <w:sectPr>
          <w:headerReference r:id="rId3" w:type="default"/>
          <w:footerReference r:id="rId5" w:type="default"/>
          <w:headerReference r:id="rId4" w:type="even"/>
          <w:pgSz w:w="11906" w:h="16838"/>
          <w:pgMar w:top="1701" w:right="1531" w:bottom="1701" w:left="1531" w:header="851" w:footer="992" w:gutter="0"/>
          <w:cols w:space="425" w:num="1"/>
          <w:docGrid w:type="lines" w:linePitch="312" w:charSpace="0"/>
        </w:sectPr>
      </w:pPr>
    </w:p>
    <w:p w14:paraId="0517A21D">
      <w:pPr>
        <w:pStyle w:val="14"/>
        <w:spacing w:beforeLines="50" w:beforeAutospacing="0" w:afterLines="50" w:afterAutospacing="0"/>
        <w:jc w:val="center"/>
        <w:outlineLvl w:val="0"/>
        <w:rPr>
          <w:rFonts w:ascii="Times New Roman" w:hAnsi="Times New Roman" w:eastAsia="黑体"/>
          <w:snapToGrid w:val="0"/>
          <w:sz w:val="32"/>
          <w:szCs w:val="32"/>
        </w:rPr>
      </w:pPr>
      <w:r>
        <w:rPr>
          <w:rFonts w:hint="eastAsia" w:ascii="Times New Roman" w:hAnsi="Times New Roman" w:eastAsia="黑体"/>
          <w:snapToGrid w:val="0"/>
          <w:sz w:val="32"/>
          <w:szCs w:val="32"/>
        </w:rPr>
        <w:t>一、建设项目基本情况</w:t>
      </w:r>
    </w:p>
    <w:tbl>
      <w:tblPr>
        <w:tblStyle w:val="17"/>
        <w:tblW w:w="495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93"/>
        <w:gridCol w:w="2440"/>
        <w:gridCol w:w="2149"/>
        <w:gridCol w:w="2801"/>
      </w:tblGrid>
      <w:tr w14:paraId="63263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2C449853">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14:paraId="47689708">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名称</w:t>
            </w:r>
          </w:p>
        </w:tc>
        <w:tc>
          <w:tcPr>
            <w:tcW w:w="4206" w:type="pct"/>
            <w:gridSpan w:val="3"/>
            <w:vAlign w:val="center"/>
          </w:tcPr>
          <w:p w14:paraId="278428EE">
            <w:pPr>
              <w:keepNext w:val="0"/>
              <w:keepLines w:val="0"/>
              <w:suppressLineNumbers w:val="0"/>
              <w:tabs>
                <w:tab w:val="left" w:pos="2084"/>
                <w:tab w:val="center" w:pos="3753"/>
              </w:tabs>
              <w:spacing w:before="0" w:beforeAutospacing="0" w:after="0" w:afterAutospacing="0" w:line="324" w:lineRule="auto"/>
              <w:ind w:left="0" w:right="0"/>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lang w:eastAsia="zh-CN"/>
              </w:rPr>
              <w:t>安徽樱琦药用新材料项目</w:t>
            </w:r>
          </w:p>
        </w:tc>
      </w:tr>
      <w:tr w14:paraId="7488F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3EA77C40">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项目代码</w:t>
            </w:r>
          </w:p>
        </w:tc>
        <w:tc>
          <w:tcPr>
            <w:tcW w:w="4206" w:type="pct"/>
            <w:gridSpan w:val="3"/>
            <w:vAlign w:val="center"/>
          </w:tcPr>
          <w:p w14:paraId="53AE98DD">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2512-340463-04-01-158361</w:t>
            </w:r>
          </w:p>
        </w:tc>
      </w:tr>
      <w:tr w14:paraId="4E3BA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58ABB9E4">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建设单位</w:t>
            </w:r>
          </w:p>
          <w:p w14:paraId="4294377B">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联系人</w:t>
            </w:r>
          </w:p>
        </w:tc>
        <w:tc>
          <w:tcPr>
            <w:tcW w:w="1389" w:type="pct"/>
            <w:vAlign w:val="center"/>
          </w:tcPr>
          <w:p w14:paraId="1B5C5F58">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赵欣然</w:t>
            </w:r>
          </w:p>
        </w:tc>
        <w:tc>
          <w:tcPr>
            <w:tcW w:w="1223" w:type="pct"/>
            <w:vAlign w:val="center"/>
          </w:tcPr>
          <w:p w14:paraId="1E5EF567">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联系方式</w:t>
            </w:r>
          </w:p>
        </w:tc>
        <w:tc>
          <w:tcPr>
            <w:tcW w:w="1593" w:type="pct"/>
            <w:vAlign w:val="center"/>
          </w:tcPr>
          <w:p w14:paraId="78C3A5CB">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1364210</w:t>
            </w:r>
            <w:r>
              <w:rPr>
                <w:rFonts w:hint="eastAsia" w:ascii="Times New Roman" w:hAnsi="Times New Roman" w:cs="Times New Roman"/>
                <w:sz w:val="24"/>
                <w:szCs w:val="24"/>
                <w:lang w:val="en-US" w:eastAsia="zh-CN"/>
              </w:rPr>
              <w:t>0</w:t>
            </w:r>
            <w:r>
              <w:rPr>
                <w:rFonts w:hint="eastAsia" w:ascii="Times New Roman" w:hAnsi="Times New Roman" w:cs="Times New Roman"/>
                <w:sz w:val="24"/>
                <w:szCs w:val="24"/>
              </w:rPr>
              <w:t>124</w:t>
            </w:r>
          </w:p>
        </w:tc>
      </w:tr>
      <w:tr w14:paraId="1A8B9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163C142A">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-260985</wp:posOffset>
                      </wp:positionH>
                      <wp:positionV relativeFrom="paragraph">
                        <wp:posOffset>450215</wp:posOffset>
                      </wp:positionV>
                      <wp:extent cx="147320" cy="727075"/>
                      <wp:effectExtent l="0" t="0" r="5080" b="15875"/>
                      <wp:wrapNone/>
                      <wp:docPr id="115" name="矩形 289"/>
                      <wp:cNvGraphicFramePr/>
                      <a:graphic xmlns:a="http://schemas.openxmlformats.org/drawingml/2006/main">
                        <a:graphicData uri="http://schemas.microsoft.com/office/word/2010/wordprocessingShape">
                          <wps:wsp>
                            <wps:cNvSpPr/>
                            <wps:spPr>
                              <a:xfrm>
                                <a:off x="0" y="0"/>
                                <a:ext cx="147320" cy="727075"/>
                              </a:xfrm>
                              <a:prstGeom prst="rect">
                                <a:avLst/>
                              </a:prstGeom>
                              <a:solidFill>
                                <a:srgbClr val="FFFFFF"/>
                              </a:solidFill>
                              <a:ln>
                                <a:noFill/>
                              </a:ln>
                              <a:effectLst/>
                            </wps:spPr>
                            <wps:bodyPr upright="1"/>
                          </wps:wsp>
                        </a:graphicData>
                      </a:graphic>
                    </wp:anchor>
                  </w:drawing>
                </mc:Choice>
                <mc:Fallback>
                  <w:pict>
                    <v:rect id="矩形 289" o:spid="_x0000_s1026" o:spt="1" style="position:absolute;left:0pt;margin-left:-20.55pt;margin-top:35.45pt;height:57.25pt;width:11.6pt;z-index:251665408;mso-width-relative:page;mso-height-relative:page;" fillcolor="#FFFFFF" filled="t" stroked="f" coordsize="21600,21600" o:gfxdata="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QMd1N2AAAAAoBAAAPAAAAAAAAAAEAIAAAACIAAABkcnMvZG93bnJldi54bWxQSwECFAAU&#10;AAAACACHTuJAe6G4FrgBAABwAwAADgAAAAAAAAABACAAAAAnAQAAZHJzL2Uyb0RvYy54bWxQSwUG&#10;AAAAAAYABgBZAQAAUQUAAAAA&#10;">
                      <v:fill on="t" focussize="0,0"/>
                      <v:stroke on="f"/>
                      <v:imagedata o:title=""/>
                      <o:lock v:ext="edit" aspectratio="f"/>
                    </v:rect>
                  </w:pict>
                </mc:Fallback>
              </mc:AlternateContent>
            </w:r>
            <w:r>
              <w:rPr>
                <w:rFonts w:hint="eastAsia" w:ascii="Times New Roman" w:hAnsi="Times New Roman" w:cs="Times New Roman"/>
                <w:sz w:val="24"/>
                <w:szCs w:val="24"/>
              </w:rPr>
              <w:t>建设地点</w:t>
            </w:r>
          </w:p>
        </w:tc>
        <w:tc>
          <w:tcPr>
            <w:tcW w:w="4206" w:type="pct"/>
            <w:gridSpan w:val="3"/>
            <w:vAlign w:val="center"/>
          </w:tcPr>
          <w:p w14:paraId="51957368">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安徽省淮南市高新区科技信息产业园5号楼</w:t>
            </w:r>
          </w:p>
        </w:tc>
      </w:tr>
      <w:tr w14:paraId="27EE5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62783316">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地理坐标</w:t>
            </w:r>
          </w:p>
        </w:tc>
        <w:tc>
          <w:tcPr>
            <w:tcW w:w="4206" w:type="pct"/>
            <w:gridSpan w:val="3"/>
            <w:vAlign w:val="center"/>
          </w:tcPr>
          <w:p w14:paraId="4D87E0BB">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经度</w:t>
            </w:r>
            <w:r>
              <w:rPr>
                <w:rFonts w:hint="default" w:ascii="Times New Roman" w:hAnsi="Times New Roman" w:cs="Times New Roman"/>
                <w:sz w:val="24"/>
                <w:szCs w:val="24"/>
              </w:rPr>
              <w:t>11</w:t>
            </w:r>
            <w:r>
              <w:rPr>
                <w:rFonts w:hint="eastAsia" w:ascii="Times New Roman" w:hAnsi="Times New Roman" w:cs="Times New Roman"/>
                <w:sz w:val="24"/>
                <w:szCs w:val="24"/>
              </w:rPr>
              <w:t>7度0分9.380秒，</w:t>
            </w:r>
            <w:r>
              <w:rPr>
                <w:rFonts w:hint="eastAsia" w:ascii="Times New Roman" w:hAnsi="Times New Roman" w:cs="Times New Roman"/>
                <w:sz w:val="24"/>
                <w:szCs w:val="24"/>
                <w:lang w:val="en-US" w:eastAsia="zh-CN"/>
              </w:rPr>
              <w:t>纬度</w:t>
            </w:r>
            <w:r>
              <w:rPr>
                <w:rFonts w:hint="default" w:ascii="Times New Roman" w:hAnsi="Times New Roman" w:cs="Times New Roman"/>
                <w:sz w:val="24"/>
                <w:szCs w:val="24"/>
              </w:rPr>
              <w:t>3</w:t>
            </w:r>
            <w:r>
              <w:rPr>
                <w:rFonts w:hint="eastAsia" w:ascii="Times New Roman" w:hAnsi="Times New Roman" w:cs="Times New Roman"/>
                <w:sz w:val="24"/>
                <w:szCs w:val="24"/>
              </w:rPr>
              <w:t>2度32分57.456秒）</w:t>
            </w:r>
          </w:p>
        </w:tc>
      </w:tr>
      <w:tr w14:paraId="547CE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30FBAF75">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国民经济</w:t>
            </w:r>
          </w:p>
          <w:p w14:paraId="44261747">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1389" w:type="pct"/>
            <w:vAlign w:val="center"/>
          </w:tcPr>
          <w:p w14:paraId="0354C547">
            <w:pPr>
              <w:keepNext w:val="0"/>
              <w:keepLines w:val="0"/>
              <w:suppressLineNumbers w:val="0"/>
              <w:spacing w:before="0" w:beforeAutospacing="0" w:after="0" w:afterAutospacing="0" w:line="324" w:lineRule="auto"/>
              <w:ind w:left="0" w:right="0"/>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rPr>
              <w:t>C</w:t>
            </w:r>
            <w:r>
              <w:rPr>
                <w:rFonts w:hint="eastAsia" w:ascii="Times New Roman" w:hAnsi="Times New Roman" w:cs="Times New Roman"/>
                <w:sz w:val="24"/>
                <w:szCs w:val="24"/>
                <w:lang w:val="en-US" w:eastAsia="zh-CN"/>
              </w:rPr>
              <w:t>2770 卫生材料及医药用品制造</w:t>
            </w:r>
          </w:p>
        </w:tc>
        <w:tc>
          <w:tcPr>
            <w:tcW w:w="1223" w:type="pct"/>
            <w:vAlign w:val="center"/>
          </w:tcPr>
          <w:p w14:paraId="381FB80F">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bookmarkStart w:id="2" w:name="_Hlk49843745"/>
            <w:r>
              <w:rPr>
                <w:rFonts w:hint="default" w:ascii="Times New Roman" w:hAnsi="Times New Roman" w:cs="Times New Roman"/>
                <w:sz w:val="24"/>
                <w:szCs w:val="24"/>
              </w:rPr>
              <w:t>建设项目</w:t>
            </w:r>
          </w:p>
          <w:p w14:paraId="34CB3F50">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bookmarkEnd w:id="2"/>
          </w:p>
        </w:tc>
        <w:tc>
          <w:tcPr>
            <w:tcW w:w="1593" w:type="pct"/>
            <w:vAlign w:val="center"/>
          </w:tcPr>
          <w:p w14:paraId="658A6FB0">
            <w:pPr>
              <w:keepNext w:val="0"/>
              <w:keepLines w:val="0"/>
              <w:suppressLineNumbers w:val="0"/>
              <w:spacing w:before="0" w:beforeAutospacing="0" w:after="0" w:afterAutospacing="0" w:line="324" w:lineRule="auto"/>
              <w:ind w:left="0" w:right="0"/>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rPr>
              <w:t>二十</w:t>
            </w:r>
            <w:r>
              <w:rPr>
                <w:rFonts w:hint="eastAsia" w:ascii="Times New Roman" w:hAnsi="Times New Roman" w:cs="Times New Roman"/>
                <w:sz w:val="24"/>
                <w:szCs w:val="24"/>
                <w:lang w:val="en-US" w:eastAsia="zh-CN"/>
              </w:rPr>
              <w:t>四</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医药制造业 49卫生材料及医药用品制造</w:t>
            </w:r>
          </w:p>
        </w:tc>
      </w:tr>
      <w:tr w14:paraId="3D293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3D092576">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1389" w:type="pct"/>
            <w:vAlign w:val="center"/>
          </w:tcPr>
          <w:p w14:paraId="33AD967D">
            <w:pPr>
              <w:keepNext w:val="0"/>
              <w:keepLines w:val="0"/>
              <w:suppressLineNumbers w:val="0"/>
              <w:spacing w:before="0" w:beforeAutospacing="0" w:after="0" w:afterAutospacing="0" w:line="324" w:lineRule="auto"/>
              <w:ind w:left="0" w:right="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F052"/>
            </w:r>
            <w:r>
              <w:rPr>
                <w:rFonts w:hint="default" w:ascii="Times New Roman" w:hAnsi="Times New Roman" w:cs="Times New Roman"/>
                <w:sz w:val="24"/>
                <w:szCs w:val="24"/>
              </w:rPr>
              <w:t>新建（迁建）</w:t>
            </w:r>
          </w:p>
          <w:p w14:paraId="3F0E0E14">
            <w:pPr>
              <w:keepNext w:val="0"/>
              <w:keepLines w:val="0"/>
              <w:suppressLineNumbers w:val="0"/>
              <w:spacing w:before="0" w:beforeAutospacing="0" w:after="0" w:afterAutospacing="0" w:line="324" w:lineRule="auto"/>
              <w:ind w:left="0" w:right="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改建</w:t>
            </w:r>
          </w:p>
          <w:p w14:paraId="681060F8">
            <w:pPr>
              <w:keepNext w:val="0"/>
              <w:keepLines w:val="0"/>
              <w:suppressLineNumbers w:val="0"/>
              <w:spacing w:before="0" w:beforeAutospacing="0" w:after="0" w:afterAutospacing="0" w:line="324" w:lineRule="auto"/>
              <w:ind w:left="0" w:right="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扩建</w:t>
            </w:r>
          </w:p>
          <w:p w14:paraId="0109EDA7">
            <w:pPr>
              <w:keepNext w:val="0"/>
              <w:keepLines w:val="0"/>
              <w:suppressLineNumbers w:val="0"/>
              <w:spacing w:before="0" w:beforeAutospacing="0" w:after="0" w:afterAutospacing="0" w:line="324" w:lineRule="auto"/>
              <w:ind w:left="0" w:right="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技术改造</w:t>
            </w:r>
          </w:p>
        </w:tc>
        <w:tc>
          <w:tcPr>
            <w:tcW w:w="1223" w:type="pct"/>
            <w:vAlign w:val="center"/>
          </w:tcPr>
          <w:p w14:paraId="7209D678">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14:paraId="79DFF125">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1593" w:type="pct"/>
            <w:vAlign w:val="center"/>
          </w:tcPr>
          <w:p w14:paraId="22A84BD2">
            <w:pPr>
              <w:keepNext w:val="0"/>
              <w:keepLines w:val="0"/>
              <w:suppressLineNumbers w:val="0"/>
              <w:spacing w:before="0" w:beforeAutospacing="0" w:after="0" w:afterAutospacing="0" w:line="324" w:lineRule="auto"/>
              <w:ind w:left="0" w:right="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F052"/>
            </w:r>
            <w:r>
              <w:rPr>
                <w:rFonts w:hint="default" w:ascii="Times New Roman" w:hAnsi="Times New Roman" w:cs="Times New Roman"/>
                <w:sz w:val="24"/>
                <w:szCs w:val="24"/>
              </w:rPr>
              <w:t>首次申报项目</w:t>
            </w:r>
          </w:p>
          <w:p w14:paraId="53228B39">
            <w:pPr>
              <w:keepNext w:val="0"/>
              <w:keepLines w:val="0"/>
              <w:suppressLineNumbers w:val="0"/>
              <w:spacing w:before="0" w:beforeAutospacing="0" w:after="0" w:afterAutospacing="0" w:line="324" w:lineRule="auto"/>
              <w:ind w:left="0" w:right="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不予批准后再次申报项目</w:t>
            </w:r>
          </w:p>
          <w:p w14:paraId="46798FE8">
            <w:pPr>
              <w:keepNext w:val="0"/>
              <w:keepLines w:val="0"/>
              <w:suppressLineNumbers w:val="0"/>
              <w:spacing w:before="0" w:beforeAutospacing="0" w:after="0" w:afterAutospacing="0" w:line="324" w:lineRule="auto"/>
              <w:ind w:left="0" w:right="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超五年重新审核项目</w:t>
            </w:r>
          </w:p>
          <w:p w14:paraId="432840E8">
            <w:pPr>
              <w:keepNext w:val="0"/>
              <w:keepLines w:val="0"/>
              <w:suppressLineNumbers w:val="0"/>
              <w:spacing w:before="0" w:beforeAutospacing="0" w:after="0" w:afterAutospacing="0" w:line="324" w:lineRule="auto"/>
              <w:ind w:left="0" w:right="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重大变动重新报批项目</w:t>
            </w:r>
          </w:p>
        </w:tc>
      </w:tr>
      <w:tr w14:paraId="190D13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7253C54E">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14:paraId="66F455CC">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备案）部门（选填）</w:t>
            </w:r>
          </w:p>
        </w:tc>
        <w:tc>
          <w:tcPr>
            <w:tcW w:w="1389" w:type="pct"/>
            <w:vAlign w:val="center"/>
          </w:tcPr>
          <w:p w14:paraId="568E916A">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淮南</w:t>
            </w:r>
            <w:r>
              <w:rPr>
                <w:rFonts w:hint="eastAsia" w:ascii="Times New Roman" w:hAnsi="Times New Roman" w:cs="Times New Roman"/>
                <w:sz w:val="24"/>
                <w:szCs w:val="24"/>
                <w:lang w:val="en-US" w:eastAsia="zh-CN"/>
              </w:rPr>
              <w:t>高新技术产业开发区管理委员会</w:t>
            </w:r>
            <w:r>
              <w:rPr>
                <w:rFonts w:hint="default" w:ascii="Times New Roman" w:hAnsi="Times New Roman" w:cs="Times New Roman"/>
                <w:sz w:val="24"/>
                <w:szCs w:val="24"/>
              </w:rPr>
              <w:t>经济发展局</w:t>
            </w:r>
          </w:p>
        </w:tc>
        <w:tc>
          <w:tcPr>
            <w:tcW w:w="1223" w:type="pct"/>
            <w:vAlign w:val="center"/>
          </w:tcPr>
          <w:p w14:paraId="4C837E2D">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项目审批（核准/备案）</w:t>
            </w:r>
          </w:p>
          <w:p w14:paraId="777D3E40">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文号（选填）</w:t>
            </w:r>
          </w:p>
        </w:tc>
        <w:tc>
          <w:tcPr>
            <w:tcW w:w="1593" w:type="pct"/>
            <w:vAlign w:val="center"/>
          </w:tcPr>
          <w:p w14:paraId="762BA60F">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w:t>
            </w:r>
          </w:p>
        </w:tc>
      </w:tr>
      <w:tr w14:paraId="763206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70AFE035">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总投资（万元）</w:t>
            </w:r>
          </w:p>
        </w:tc>
        <w:tc>
          <w:tcPr>
            <w:tcW w:w="1389" w:type="pct"/>
            <w:vAlign w:val="center"/>
          </w:tcPr>
          <w:p w14:paraId="7D52A4CD">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30000</w:t>
            </w:r>
          </w:p>
        </w:tc>
        <w:tc>
          <w:tcPr>
            <w:tcW w:w="1223" w:type="pct"/>
            <w:tcMar>
              <w:top w:w="16" w:type="dxa"/>
              <w:left w:w="16" w:type="dxa"/>
              <w:right w:w="16" w:type="dxa"/>
            </w:tcMar>
            <w:vAlign w:val="center"/>
          </w:tcPr>
          <w:p w14:paraId="00EEC894">
            <w:pPr>
              <w:keepNext w:val="0"/>
              <w:keepLines w:val="0"/>
              <w:suppressLineNumbers w:val="0"/>
              <w:spacing w:before="0" w:beforeAutospacing="0" w:after="0" w:afterAutospacing="0" w:line="324" w:lineRule="auto"/>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环保投资（万元）</w:t>
            </w:r>
          </w:p>
        </w:tc>
        <w:tc>
          <w:tcPr>
            <w:tcW w:w="1593" w:type="pct"/>
            <w:vAlign w:val="center"/>
          </w:tcPr>
          <w:p w14:paraId="350BF692">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100</w:t>
            </w:r>
          </w:p>
        </w:tc>
      </w:tr>
      <w:tr w14:paraId="6720C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68982C76">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环保投资占比</w:t>
            </w:r>
            <w:r>
              <w:rPr>
                <w:rFonts w:hint="eastAsia" w:ascii="Times New Roman" w:hAnsi="Times New Roman" w:cs="Times New Roman"/>
                <w:sz w:val="24"/>
                <w:szCs w:val="24"/>
              </w:rPr>
              <w:t>（%）</w:t>
            </w:r>
          </w:p>
        </w:tc>
        <w:tc>
          <w:tcPr>
            <w:tcW w:w="1389" w:type="pct"/>
            <w:vAlign w:val="center"/>
          </w:tcPr>
          <w:p w14:paraId="7DD44121">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0.33</w:t>
            </w:r>
          </w:p>
        </w:tc>
        <w:tc>
          <w:tcPr>
            <w:tcW w:w="1223" w:type="pct"/>
            <w:tcMar>
              <w:top w:w="16" w:type="dxa"/>
              <w:left w:w="16" w:type="dxa"/>
              <w:right w:w="16" w:type="dxa"/>
            </w:tcMar>
            <w:vAlign w:val="center"/>
          </w:tcPr>
          <w:p w14:paraId="405ADCA2">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施工工期</w:t>
            </w:r>
          </w:p>
        </w:tc>
        <w:tc>
          <w:tcPr>
            <w:tcW w:w="1593" w:type="pct"/>
            <w:vAlign w:val="center"/>
          </w:tcPr>
          <w:p w14:paraId="5ABCAC70">
            <w:pPr>
              <w:keepNext w:val="0"/>
              <w:keepLines w:val="0"/>
              <w:suppressLineNumbers w:val="0"/>
              <w:spacing w:before="0" w:beforeAutospacing="0" w:after="0" w:afterAutospacing="0" w:line="324" w:lineRule="auto"/>
              <w:ind w:left="0" w:right="0"/>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4个月</w:t>
            </w:r>
          </w:p>
        </w:tc>
      </w:tr>
      <w:tr w14:paraId="19B96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52C8739B">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是否开工建设</w:t>
            </w:r>
          </w:p>
        </w:tc>
        <w:tc>
          <w:tcPr>
            <w:tcW w:w="1389" w:type="pct"/>
            <w:vAlign w:val="center"/>
          </w:tcPr>
          <w:p w14:paraId="33D50542">
            <w:pPr>
              <w:keepNext w:val="0"/>
              <w:keepLines w:val="0"/>
              <w:suppressLineNumbers w:val="0"/>
              <w:spacing w:before="0" w:beforeAutospacing="0" w:after="0" w:afterAutospacing="0" w:line="324" w:lineRule="auto"/>
              <w:ind w:left="0" w:right="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F052"/>
            </w:r>
            <w:r>
              <w:rPr>
                <w:rFonts w:hint="default" w:ascii="Times New Roman" w:hAnsi="Times New Roman" w:cs="Times New Roman"/>
                <w:sz w:val="24"/>
                <w:szCs w:val="24"/>
              </w:rPr>
              <w:t>否</w:t>
            </w:r>
          </w:p>
          <w:p w14:paraId="48CC234D">
            <w:pPr>
              <w:keepNext w:val="0"/>
              <w:keepLines w:val="0"/>
              <w:suppressLineNumbers w:val="0"/>
              <w:spacing w:before="0" w:beforeAutospacing="0" w:after="0" w:afterAutospacing="0" w:line="324" w:lineRule="auto"/>
              <w:ind w:left="0" w:right="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是</w:t>
            </w:r>
            <w:r>
              <w:rPr>
                <w:rFonts w:hint="eastAsia" w:ascii="Times New Roman" w:hAnsi="Times New Roman" w:cs="Times New Roman"/>
                <w:sz w:val="24"/>
                <w:szCs w:val="24"/>
              </w:rPr>
              <w:t>：</w:t>
            </w:r>
          </w:p>
        </w:tc>
        <w:tc>
          <w:tcPr>
            <w:tcW w:w="1223" w:type="pct"/>
            <w:tcMar>
              <w:top w:w="16" w:type="dxa"/>
              <w:left w:w="16" w:type="dxa"/>
              <w:right w:w="16" w:type="dxa"/>
            </w:tcMar>
            <w:vAlign w:val="center"/>
          </w:tcPr>
          <w:p w14:paraId="46445484">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用地（用海）面积（m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p>
        </w:tc>
        <w:tc>
          <w:tcPr>
            <w:tcW w:w="1593" w:type="pct"/>
            <w:vAlign w:val="center"/>
          </w:tcPr>
          <w:p w14:paraId="64585BEB">
            <w:pPr>
              <w:keepNext w:val="0"/>
              <w:keepLines w:val="0"/>
              <w:suppressLineNumbers w:val="0"/>
              <w:tabs>
                <w:tab w:val="left" w:pos="1252"/>
              </w:tabs>
              <w:spacing w:before="0" w:beforeAutospacing="0" w:after="0" w:afterAutospacing="0" w:line="324"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20330.21</w:t>
            </w:r>
          </w:p>
        </w:tc>
      </w:tr>
      <w:tr w14:paraId="5CF47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pct"/>
            <w:vAlign w:val="center"/>
          </w:tcPr>
          <w:p w14:paraId="1B531A2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专项评价设置情况</w:t>
            </w:r>
          </w:p>
        </w:tc>
        <w:tc>
          <w:tcPr>
            <w:tcW w:w="4206" w:type="pct"/>
            <w:gridSpan w:val="3"/>
            <w:vAlign w:val="center"/>
          </w:tcPr>
          <w:p w14:paraId="49C0A6E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本项目无需设置专项评价。判定依据详见下表：</w:t>
            </w:r>
          </w:p>
          <w:p w14:paraId="37A32B04">
            <w:pPr>
              <w:keepNext w:val="0"/>
              <w:keepLines w:val="0"/>
              <w:suppressLineNumbers w:val="0"/>
              <w:spacing w:before="0" w:beforeAutospacing="0" w:after="0" w:afterAutospacing="0" w:line="276" w:lineRule="auto"/>
              <w:ind w:left="0" w:right="0" w:firstLine="480" w:firstLineChars="200"/>
              <w:jc w:val="center"/>
              <w:rPr>
                <w:rFonts w:hint="default" w:ascii="Times New Roman" w:hAnsi="Times New Roman" w:eastAsia="黑体" w:cs="Times New Roman"/>
                <w:kern w:val="0"/>
                <w:sz w:val="24"/>
                <w:szCs w:val="24"/>
              </w:rPr>
            </w:pPr>
          </w:p>
          <w:p w14:paraId="212C69A5">
            <w:pPr>
              <w:keepNext w:val="0"/>
              <w:keepLines w:val="0"/>
              <w:suppressLineNumbers w:val="0"/>
              <w:spacing w:before="0" w:beforeAutospacing="0" w:after="0" w:afterAutospacing="0" w:line="276" w:lineRule="auto"/>
              <w:ind w:left="0" w:right="0" w:firstLine="480" w:firstLineChars="200"/>
              <w:jc w:val="center"/>
              <w:rPr>
                <w:rFonts w:hint="default" w:ascii="Times New Roman" w:hAnsi="Times New Roman" w:eastAsia="黑体" w:cs="Times New Roman"/>
                <w:kern w:val="0"/>
                <w:sz w:val="24"/>
                <w:szCs w:val="24"/>
              </w:rPr>
            </w:pPr>
          </w:p>
          <w:p w14:paraId="02721D02">
            <w:pPr>
              <w:keepNext w:val="0"/>
              <w:keepLines w:val="0"/>
              <w:suppressLineNumbers w:val="0"/>
              <w:spacing w:before="0" w:beforeAutospacing="0" w:after="0" w:afterAutospacing="0" w:line="276" w:lineRule="auto"/>
              <w:ind w:left="0" w:right="0" w:firstLine="480" w:firstLineChars="200"/>
              <w:jc w:val="center"/>
              <w:rPr>
                <w:rFonts w:hint="default" w:ascii="Times New Roman" w:hAnsi="Times New Roman" w:eastAsia="黑体" w:cs="Times New Roman"/>
                <w:kern w:val="0"/>
                <w:sz w:val="24"/>
                <w:szCs w:val="24"/>
              </w:rPr>
            </w:pPr>
          </w:p>
          <w:p w14:paraId="4EB6203A">
            <w:pPr>
              <w:keepNext w:val="0"/>
              <w:keepLines w:val="0"/>
              <w:suppressLineNumbers w:val="0"/>
              <w:spacing w:before="0" w:beforeAutospacing="0" w:after="0" w:afterAutospacing="0" w:line="276" w:lineRule="auto"/>
              <w:ind w:left="0" w:right="0" w:firstLine="480" w:firstLineChars="200"/>
              <w:jc w:val="center"/>
              <w:rPr>
                <w:rFonts w:hint="default" w:ascii="Times New Roman" w:hAnsi="Times New Roman" w:eastAsia="黑体" w:cs="Times New Roman"/>
                <w:kern w:val="0"/>
                <w:sz w:val="24"/>
                <w:szCs w:val="24"/>
              </w:rPr>
            </w:pPr>
          </w:p>
          <w:p w14:paraId="37A511BB">
            <w:pPr>
              <w:keepNext w:val="0"/>
              <w:keepLines w:val="0"/>
              <w:suppressLineNumbers w:val="0"/>
              <w:spacing w:before="0" w:beforeAutospacing="0" w:after="0" w:afterAutospacing="0" w:line="276" w:lineRule="auto"/>
              <w:ind w:left="0" w:right="0" w:firstLine="480" w:firstLineChars="200"/>
              <w:jc w:val="center"/>
              <w:rPr>
                <w:rFonts w:hint="default" w:ascii="Times New Roman" w:hAnsi="Times New Roman" w:eastAsia="黑体" w:cs="Times New Roman"/>
                <w:kern w:val="0"/>
                <w:sz w:val="24"/>
                <w:szCs w:val="24"/>
              </w:rPr>
            </w:pPr>
            <w:r>
              <w:rPr>
                <w:rFonts w:hint="default" w:ascii="Times New Roman" w:hAnsi="Times New Roman" w:eastAsia="黑体" w:cs="Times New Roman"/>
                <w:kern w:val="0"/>
                <w:sz w:val="24"/>
                <w:szCs w:val="24"/>
              </w:rPr>
              <w:t>表1-1</w:t>
            </w:r>
            <w:r>
              <w:rPr>
                <w:rFonts w:hint="eastAsia" w:ascii="Times New Roman" w:hAnsi="Times New Roman" w:eastAsia="黑体" w:cs="Times New Roman"/>
                <w:kern w:val="0"/>
                <w:sz w:val="24"/>
                <w:szCs w:val="24"/>
              </w:rPr>
              <w:t xml:space="preserve">  </w:t>
            </w:r>
            <w:r>
              <w:rPr>
                <w:rFonts w:hint="default" w:ascii="Times New Roman" w:hAnsi="Times New Roman" w:eastAsia="黑体" w:cs="Times New Roman"/>
                <w:kern w:val="0"/>
                <w:sz w:val="24"/>
                <w:szCs w:val="24"/>
              </w:rPr>
              <w:t>专项评价设置原则表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02"/>
              <w:gridCol w:w="2820"/>
              <w:gridCol w:w="2920"/>
              <w:gridCol w:w="493"/>
            </w:tblGrid>
            <w:tr w14:paraId="7B5A2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14C79D9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kern w:val="0"/>
                      <w:szCs w:val="21"/>
                    </w:rPr>
                  </w:pPr>
                  <w:r>
                    <w:rPr>
                      <w:rFonts w:hint="default" w:ascii="Times New Roman" w:hAnsi="Times New Roman" w:cs="Times New Roman"/>
                      <w:b/>
                      <w:kern w:val="0"/>
                      <w:szCs w:val="21"/>
                    </w:rPr>
                    <w:t>专项评价类别</w:t>
                  </w:r>
                </w:p>
              </w:tc>
              <w:tc>
                <w:tcPr>
                  <w:tcW w:w="2820" w:type="dxa"/>
                  <w:vAlign w:val="center"/>
                </w:tcPr>
                <w:p w14:paraId="632D2C5B">
                  <w:pPr>
                    <w:keepNext w:val="0"/>
                    <w:keepLines w:val="0"/>
                    <w:suppressLineNumbers w:val="0"/>
                    <w:spacing w:before="0" w:beforeAutospacing="0" w:after="0" w:afterAutospacing="0" w:line="276" w:lineRule="auto"/>
                    <w:ind w:left="0" w:right="0" w:firstLine="422" w:firstLineChars="200"/>
                    <w:jc w:val="center"/>
                    <w:rPr>
                      <w:rFonts w:hint="default" w:ascii="Times New Roman" w:hAnsi="Times New Roman" w:cs="Times New Roman"/>
                      <w:b/>
                      <w:kern w:val="0"/>
                      <w:szCs w:val="21"/>
                    </w:rPr>
                  </w:pPr>
                  <w:r>
                    <w:rPr>
                      <w:rFonts w:hint="default" w:ascii="Times New Roman" w:hAnsi="Times New Roman" w:cs="Times New Roman"/>
                      <w:b/>
                      <w:kern w:val="0"/>
                      <w:szCs w:val="21"/>
                    </w:rPr>
                    <w:t>设置原则</w:t>
                  </w:r>
                </w:p>
              </w:tc>
              <w:tc>
                <w:tcPr>
                  <w:tcW w:w="2920" w:type="dxa"/>
                  <w:vAlign w:val="center"/>
                </w:tcPr>
                <w:p w14:paraId="6BD0991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kern w:val="0"/>
                      <w:szCs w:val="21"/>
                    </w:rPr>
                  </w:pPr>
                  <w:r>
                    <w:rPr>
                      <w:rFonts w:hint="default" w:ascii="Times New Roman" w:hAnsi="Times New Roman" w:cs="Times New Roman"/>
                      <w:b/>
                      <w:kern w:val="0"/>
                      <w:szCs w:val="21"/>
                    </w:rPr>
                    <w:t>本项目情况</w:t>
                  </w:r>
                </w:p>
              </w:tc>
              <w:tc>
                <w:tcPr>
                  <w:tcW w:w="493" w:type="dxa"/>
                  <w:vAlign w:val="center"/>
                </w:tcPr>
                <w:p w14:paraId="51F7E6D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kern w:val="0"/>
                      <w:szCs w:val="21"/>
                    </w:rPr>
                  </w:pPr>
                  <w:r>
                    <w:rPr>
                      <w:rFonts w:hint="default" w:ascii="Times New Roman" w:hAnsi="Times New Roman" w:cs="Times New Roman"/>
                      <w:b/>
                      <w:kern w:val="0"/>
                      <w:szCs w:val="21"/>
                    </w:rPr>
                    <w:t>设置情况</w:t>
                  </w:r>
                </w:p>
              </w:tc>
            </w:tr>
            <w:tr w14:paraId="4F649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4DE77C1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大气</w:t>
                  </w:r>
                </w:p>
              </w:tc>
              <w:tc>
                <w:tcPr>
                  <w:tcW w:w="2820" w:type="dxa"/>
                  <w:vAlign w:val="center"/>
                </w:tcPr>
                <w:p w14:paraId="139CFAD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排放废气含有毒有害污染物</w:t>
                  </w:r>
                  <w:r>
                    <w:rPr>
                      <w:rFonts w:hint="default" w:ascii="Times New Roman" w:hAnsi="Times New Roman" w:cs="Times New Roman"/>
                      <w:kern w:val="0"/>
                      <w:szCs w:val="21"/>
                      <w:vertAlign w:val="superscript"/>
                    </w:rPr>
                    <w:t>1</w:t>
                  </w:r>
                  <w:r>
                    <w:rPr>
                      <w:rFonts w:hint="default" w:ascii="Times New Roman" w:hAnsi="Times New Roman" w:cs="Times New Roman"/>
                      <w:kern w:val="0"/>
                      <w:szCs w:val="21"/>
                    </w:rPr>
                    <w:t>、二噁英、苯并[a]芘、氰化物、氯气且厂界外500米范围内有环境空气保护目标</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的建设项目</w:t>
                  </w:r>
                </w:p>
              </w:tc>
              <w:tc>
                <w:tcPr>
                  <w:tcW w:w="2920" w:type="dxa"/>
                  <w:vAlign w:val="center"/>
                </w:tcPr>
                <w:p w14:paraId="337B581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本项目排放废气为</w:t>
                  </w:r>
                  <w:r>
                    <w:rPr>
                      <w:rFonts w:hint="eastAsia" w:ascii="Times New Roman" w:hAnsi="Times New Roman" w:cs="Times New Roman"/>
                      <w:kern w:val="0"/>
                      <w:szCs w:val="21"/>
                      <w:lang w:val="en-US" w:eastAsia="zh-CN"/>
                    </w:rPr>
                    <w:t>颗粒物、</w:t>
                  </w:r>
                  <w:r>
                    <w:rPr>
                      <w:rFonts w:hint="default" w:ascii="Times New Roman" w:hAnsi="Times New Roman" w:cs="Times New Roman"/>
                      <w:kern w:val="0"/>
                      <w:szCs w:val="21"/>
                    </w:rPr>
                    <w:t>非甲烷总烃，排放废气不</w:t>
                  </w:r>
                  <w:r>
                    <w:rPr>
                      <w:rFonts w:hint="eastAsia" w:ascii="Times New Roman" w:hAnsi="Times New Roman" w:cs="Times New Roman"/>
                      <w:kern w:val="0"/>
                      <w:szCs w:val="21"/>
                    </w:rPr>
                    <w:t>涉及</w:t>
                  </w:r>
                  <w:r>
                    <w:rPr>
                      <w:rFonts w:hint="default" w:ascii="Times New Roman" w:hAnsi="Times New Roman" w:cs="Times New Roman"/>
                      <w:kern w:val="0"/>
                      <w:szCs w:val="21"/>
                    </w:rPr>
                    <w:t>《有毒有害大气污染物名录》规定的有毒有害污染物及二噁英、苯并[a]芘、氰化物、氯气</w:t>
                  </w:r>
                </w:p>
              </w:tc>
              <w:tc>
                <w:tcPr>
                  <w:tcW w:w="493" w:type="dxa"/>
                  <w:vAlign w:val="center"/>
                </w:tcPr>
                <w:p w14:paraId="547BE50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不设置</w:t>
                  </w:r>
                </w:p>
              </w:tc>
            </w:tr>
            <w:tr w14:paraId="14598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7851EB4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地表水</w:t>
                  </w:r>
                </w:p>
              </w:tc>
              <w:tc>
                <w:tcPr>
                  <w:tcW w:w="2820" w:type="dxa"/>
                  <w:vAlign w:val="center"/>
                </w:tcPr>
                <w:p w14:paraId="7268350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新增工业废水直排建设项目（槽罐车外送污水处理厂的除外）；新增废水直排的污水集中处理厂</w:t>
                  </w:r>
                </w:p>
              </w:tc>
              <w:tc>
                <w:tcPr>
                  <w:tcW w:w="2920" w:type="dxa"/>
                  <w:vAlign w:val="center"/>
                </w:tcPr>
                <w:p w14:paraId="17C9B22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本项目雨水进入市政雨水管网，</w:t>
                  </w:r>
                  <w:r>
                    <w:rPr>
                      <w:rFonts w:hint="eastAsia" w:ascii="Times New Roman" w:hAnsi="Times New Roman" w:eastAsia="宋体" w:cs="Times New Roman"/>
                      <w:bCs/>
                      <w:szCs w:val="21"/>
                    </w:rPr>
                    <w:t>后段清洗废水和保洁废水经pH调节后与经化粪池处理后的生活污水一起排入山南新区污水处理厂</w:t>
                  </w:r>
                </w:p>
              </w:tc>
              <w:tc>
                <w:tcPr>
                  <w:tcW w:w="493" w:type="dxa"/>
                  <w:vAlign w:val="center"/>
                </w:tcPr>
                <w:p w14:paraId="07604F3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不设置</w:t>
                  </w:r>
                </w:p>
              </w:tc>
            </w:tr>
            <w:tr w14:paraId="22AA5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06F8A38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环境风险</w:t>
                  </w:r>
                </w:p>
              </w:tc>
              <w:tc>
                <w:tcPr>
                  <w:tcW w:w="2820" w:type="dxa"/>
                  <w:vAlign w:val="center"/>
                </w:tcPr>
                <w:p w14:paraId="17CDF62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有毒有害和易燃易爆危险物质存储量超过临界量</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的建设项目</w:t>
                  </w:r>
                </w:p>
              </w:tc>
              <w:tc>
                <w:tcPr>
                  <w:tcW w:w="2920" w:type="dxa"/>
                  <w:vAlign w:val="center"/>
                </w:tcPr>
                <w:p w14:paraId="7D2E916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本项目</w:t>
                  </w:r>
                  <w:r>
                    <w:rPr>
                      <w:rFonts w:hint="default" w:ascii="Times New Roman" w:hAnsi="Times New Roman" w:cs="Times New Roman"/>
                      <w:kern w:val="0"/>
                      <w:szCs w:val="21"/>
                    </w:rPr>
                    <w:t>危险物质存储量未超过临界量</w:t>
                  </w:r>
                </w:p>
              </w:tc>
              <w:tc>
                <w:tcPr>
                  <w:tcW w:w="493" w:type="dxa"/>
                  <w:vAlign w:val="center"/>
                </w:tcPr>
                <w:p w14:paraId="21345FB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不设置</w:t>
                  </w:r>
                </w:p>
              </w:tc>
            </w:tr>
            <w:tr w14:paraId="4DB53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06039C2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生态</w:t>
                  </w:r>
                </w:p>
              </w:tc>
              <w:tc>
                <w:tcPr>
                  <w:tcW w:w="2820" w:type="dxa"/>
                  <w:vAlign w:val="center"/>
                </w:tcPr>
                <w:p w14:paraId="7B31475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取水口下游500米范围内有重要水生生物的自然产卵场、索饵场、越冬场和洄游通道的新增河道取水的污染类建设项目</w:t>
                  </w:r>
                </w:p>
              </w:tc>
              <w:tc>
                <w:tcPr>
                  <w:tcW w:w="2920" w:type="dxa"/>
                  <w:vAlign w:val="center"/>
                </w:tcPr>
                <w:p w14:paraId="391D017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本项目供水来自市政供水管网，不涉及取水口</w:t>
                  </w:r>
                </w:p>
              </w:tc>
              <w:tc>
                <w:tcPr>
                  <w:tcW w:w="493" w:type="dxa"/>
                  <w:vAlign w:val="center"/>
                </w:tcPr>
                <w:p w14:paraId="5175256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不设置</w:t>
                  </w:r>
                </w:p>
              </w:tc>
            </w:tr>
            <w:tr w14:paraId="0CF2B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32056BC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海洋</w:t>
                  </w:r>
                </w:p>
              </w:tc>
              <w:tc>
                <w:tcPr>
                  <w:tcW w:w="2820" w:type="dxa"/>
                  <w:vAlign w:val="center"/>
                </w:tcPr>
                <w:p w14:paraId="761943A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直接向海排放污染物的海洋工程建设项目</w:t>
                  </w:r>
                </w:p>
              </w:tc>
              <w:tc>
                <w:tcPr>
                  <w:tcW w:w="2920" w:type="dxa"/>
                  <w:vAlign w:val="center"/>
                </w:tcPr>
                <w:p w14:paraId="4C7AFA8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本项目不涉及向海排放污染物</w:t>
                  </w:r>
                </w:p>
              </w:tc>
              <w:tc>
                <w:tcPr>
                  <w:tcW w:w="493" w:type="dxa"/>
                  <w:vAlign w:val="center"/>
                </w:tcPr>
                <w:p w14:paraId="4920985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不设置</w:t>
                  </w:r>
                </w:p>
              </w:tc>
            </w:tr>
          </w:tbl>
          <w:p w14:paraId="20402689">
            <w:pPr>
              <w:keepNext w:val="0"/>
              <w:keepLines w:val="0"/>
              <w:suppressLineNumbers w:val="0"/>
              <w:spacing w:before="0" w:beforeAutospacing="0" w:after="0" w:afterAutospacing="0" w:line="276" w:lineRule="auto"/>
              <w:ind w:left="0" w:right="0"/>
              <w:jc w:val="left"/>
              <w:rPr>
                <w:rFonts w:hint="default" w:ascii="Times New Roman" w:hAnsi="Times New Roman" w:eastAsia="黑体" w:cs="Times New Roman"/>
                <w:kern w:val="0"/>
                <w:szCs w:val="21"/>
              </w:rPr>
            </w:pPr>
            <w:r>
              <w:rPr>
                <w:rFonts w:hint="default" w:ascii="Times New Roman" w:hAnsi="Times New Roman" w:eastAsia="黑体" w:cs="Times New Roman"/>
                <w:kern w:val="0"/>
                <w:szCs w:val="21"/>
              </w:rPr>
              <w:t>注</w:t>
            </w:r>
            <w:r>
              <w:rPr>
                <w:rFonts w:hint="eastAsia" w:ascii="Times New Roman" w:hAnsi="Times New Roman" w:eastAsia="黑体" w:cs="Times New Roman"/>
                <w:kern w:val="0"/>
                <w:szCs w:val="21"/>
              </w:rPr>
              <w:t>：1、废气中有毒有害污染物指纳入《有毒有害大气污染物名录》的污染物（不包括无排放标准的污染物）；</w:t>
            </w:r>
          </w:p>
          <w:p w14:paraId="010756EB">
            <w:pPr>
              <w:keepNext w:val="0"/>
              <w:keepLines w:val="0"/>
              <w:suppressLineNumbers w:val="0"/>
              <w:spacing w:before="0" w:beforeAutospacing="0" w:after="0" w:afterAutospacing="0" w:line="276" w:lineRule="auto"/>
              <w:ind w:left="0" w:right="0" w:firstLine="420" w:firstLineChars="200"/>
              <w:jc w:val="left"/>
              <w:rPr>
                <w:rFonts w:hint="default" w:ascii="Times New Roman" w:hAnsi="Times New Roman" w:eastAsia="黑体" w:cs="Times New Roman"/>
                <w:kern w:val="0"/>
                <w:szCs w:val="21"/>
              </w:rPr>
            </w:pPr>
            <w:r>
              <w:rPr>
                <w:rFonts w:hint="eastAsia" w:ascii="Times New Roman" w:hAnsi="Times New Roman" w:eastAsia="黑体" w:cs="Times New Roman"/>
                <w:kern w:val="0"/>
                <w:szCs w:val="21"/>
              </w:rPr>
              <w:t>2、环境空气保护目标指自然保护区、风景名胜区、居住区、文化区和农村地区中人群较集中的区域；</w:t>
            </w:r>
          </w:p>
          <w:p w14:paraId="38EE6CA2">
            <w:pPr>
              <w:keepNext w:val="0"/>
              <w:keepLines w:val="0"/>
              <w:suppressLineNumbers w:val="0"/>
              <w:spacing w:before="0" w:beforeAutospacing="0" w:after="0" w:afterAutospacing="0" w:line="276" w:lineRule="auto"/>
              <w:ind w:left="0" w:right="0" w:firstLine="420" w:firstLineChars="200"/>
              <w:jc w:val="left"/>
              <w:rPr>
                <w:rFonts w:hint="default" w:ascii="Times New Roman" w:hAnsi="Times New Roman" w:eastAsia="宋体" w:cs="Times New Roman"/>
                <w:kern w:val="0"/>
                <w:sz w:val="24"/>
                <w:szCs w:val="24"/>
              </w:rPr>
            </w:pPr>
            <w:r>
              <w:rPr>
                <w:rFonts w:hint="eastAsia" w:ascii="Times New Roman" w:hAnsi="Times New Roman" w:eastAsia="黑体" w:cs="Times New Roman"/>
                <w:kern w:val="0"/>
                <w:szCs w:val="21"/>
              </w:rPr>
              <w:t>3、临界量及其计算方法可参考《建设项目环境风险评价技术导则》（HJ 169）附录B、附录C。</w:t>
            </w:r>
          </w:p>
        </w:tc>
      </w:tr>
      <w:tr w14:paraId="79068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pct"/>
            <w:vAlign w:val="center"/>
          </w:tcPr>
          <w:p w14:paraId="5A46253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 w:val="24"/>
                <w:szCs w:val="24"/>
              </w:rPr>
            </w:pPr>
            <w:r>
              <w:rPr>
                <w:rFonts w:hint="default" w:ascii="Times New Roman" w:hAnsi="Times New Roman" w:cs="Times New Roman"/>
                <w:bCs/>
                <w:kern w:val="0"/>
                <w:sz w:val="24"/>
                <w:szCs w:val="24"/>
              </w:rPr>
              <w:t>规划情况</w:t>
            </w:r>
          </w:p>
        </w:tc>
        <w:tc>
          <w:tcPr>
            <w:tcW w:w="4206" w:type="pct"/>
            <w:gridSpan w:val="3"/>
            <w:vAlign w:val="center"/>
          </w:tcPr>
          <w:p w14:paraId="76829010">
            <w:pPr>
              <w:keepNext w:val="0"/>
              <w:keepLines w:val="0"/>
              <w:suppressLineNumbers w:val="0"/>
              <w:spacing w:before="0" w:beforeAutospacing="0" w:after="0" w:afterAutospacing="0" w:line="360" w:lineRule="auto"/>
              <w:ind w:left="0" w:right="0" w:firstLine="480" w:firstLineChars="200"/>
              <w:jc w:val="left"/>
              <w:rPr>
                <w:rFonts w:hint="default" w:ascii="Times New Roman" w:hAnsi="宋体" w:eastAsia="宋体" w:cs="Times New Roman"/>
                <w:kern w:val="0"/>
                <w:sz w:val="24"/>
                <w:szCs w:val="24"/>
              </w:rPr>
            </w:pPr>
            <w:r>
              <w:rPr>
                <w:rFonts w:hint="default" w:ascii="Times New Roman" w:hAnsi="宋体" w:eastAsia="宋体" w:cs="Times New Roman"/>
                <w:kern w:val="0"/>
                <w:sz w:val="24"/>
                <w:szCs w:val="24"/>
              </w:rPr>
              <w:t>1</w:t>
            </w:r>
            <w:r>
              <w:rPr>
                <w:rFonts w:hint="eastAsia" w:ascii="Times New Roman" w:hAnsi="宋体" w:eastAsia="宋体" w:cs="Times New Roman"/>
                <w:kern w:val="0"/>
                <w:sz w:val="24"/>
                <w:szCs w:val="24"/>
              </w:rPr>
              <w:t>、规划名称：《淮南市国土空间总体规划（2021-2035年）》</w:t>
            </w:r>
          </w:p>
          <w:p w14:paraId="2F351E04">
            <w:pPr>
              <w:keepNext w:val="0"/>
              <w:keepLines w:val="0"/>
              <w:suppressLineNumbers w:val="0"/>
              <w:spacing w:before="0" w:beforeAutospacing="0" w:after="0" w:afterAutospacing="0" w:line="360" w:lineRule="auto"/>
              <w:ind w:left="0" w:right="0" w:firstLine="480" w:firstLineChars="200"/>
              <w:jc w:val="left"/>
              <w:rPr>
                <w:rFonts w:hint="default" w:ascii="Times New Roman" w:hAnsi="宋体" w:eastAsia="宋体" w:cs="Times New Roman"/>
                <w:kern w:val="0"/>
                <w:sz w:val="24"/>
                <w:szCs w:val="24"/>
              </w:rPr>
            </w:pPr>
            <w:r>
              <w:rPr>
                <w:rFonts w:hint="eastAsia" w:ascii="Times New Roman" w:hAnsi="宋体" w:eastAsia="宋体" w:cs="Times New Roman"/>
                <w:kern w:val="0"/>
                <w:sz w:val="24"/>
                <w:szCs w:val="24"/>
              </w:rPr>
              <w:t>审批机关：安徽省人民政府</w:t>
            </w:r>
          </w:p>
          <w:p w14:paraId="5FAABD8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szCs w:val="24"/>
              </w:rPr>
            </w:pPr>
            <w:r>
              <w:rPr>
                <w:rFonts w:hint="eastAsia" w:ascii="Times New Roman" w:hAnsi="宋体" w:eastAsia="宋体" w:cs="Times New Roman"/>
                <w:kern w:val="0"/>
                <w:sz w:val="24"/>
                <w:szCs w:val="24"/>
              </w:rPr>
              <w:t>审批文件及文号：皖政秘〔2024〕46号</w:t>
            </w:r>
          </w:p>
        </w:tc>
      </w:tr>
      <w:tr w14:paraId="58BD2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pct"/>
            <w:vAlign w:val="center"/>
          </w:tcPr>
          <w:p w14:paraId="749826D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kern w:val="0"/>
                <w:sz w:val="24"/>
                <w:szCs w:val="24"/>
              </w:rPr>
            </w:pPr>
            <w:r>
              <w:rPr>
                <w:rFonts w:hint="default" w:ascii="Times New Roman" w:hAnsi="Times New Roman" w:cs="Times New Roman"/>
                <w:bCs/>
                <w:kern w:val="0"/>
                <w:sz w:val="24"/>
                <w:szCs w:val="24"/>
              </w:rPr>
              <w:t>规划环境影响评价情况</w:t>
            </w:r>
          </w:p>
        </w:tc>
        <w:tc>
          <w:tcPr>
            <w:tcW w:w="4206" w:type="pct"/>
            <w:gridSpan w:val="3"/>
            <w:vAlign w:val="center"/>
          </w:tcPr>
          <w:p w14:paraId="24E2F0C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kern w:val="0"/>
                <w:sz w:val="24"/>
                <w:szCs w:val="24"/>
              </w:rPr>
            </w:pPr>
            <w:r>
              <w:rPr>
                <w:rFonts w:hint="eastAsia" w:ascii="Times New Roman" w:hAnsi="Times New Roman" w:cs="Times New Roman"/>
                <w:kern w:val="0"/>
                <w:sz w:val="24"/>
                <w:szCs w:val="24"/>
              </w:rPr>
              <w:t>无</w:t>
            </w:r>
          </w:p>
        </w:tc>
      </w:tr>
      <w:tr w14:paraId="613AB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pct"/>
            <w:vAlign w:val="center"/>
          </w:tcPr>
          <w:p w14:paraId="6A21CA5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kern w:val="0"/>
                <w:sz w:val="24"/>
                <w:szCs w:val="24"/>
              </w:rPr>
            </w:pPr>
            <w:r>
              <w:rPr>
                <w:rFonts w:hint="default" w:ascii="Times New Roman" w:hAnsi="Times New Roman" w:cs="Times New Roman"/>
                <w:bCs/>
                <w:kern w:val="0"/>
                <w:sz w:val="24"/>
                <w:szCs w:val="24"/>
              </w:rPr>
              <w:t>规划及规划环境影响评价符合性分析</w:t>
            </w:r>
          </w:p>
        </w:tc>
        <w:tc>
          <w:tcPr>
            <w:tcW w:w="4206" w:type="pct"/>
            <w:gridSpan w:val="3"/>
            <w:vAlign w:val="center"/>
          </w:tcPr>
          <w:p w14:paraId="7FC1FA99">
            <w:pPr>
              <w:keepNext w:val="0"/>
              <w:keepLines w:val="0"/>
              <w:suppressLineNumbers w:val="0"/>
              <w:spacing w:before="0" w:beforeAutospacing="0" w:after="0" w:afterAutospacing="0" w:line="360" w:lineRule="auto"/>
              <w:ind w:left="0" w:right="0" w:firstLine="480" w:firstLineChars="200"/>
              <w:rPr>
                <w:rFonts w:hint="default" w:ascii="Times New Roman" w:cs="Times New Roman" w:hAnsiTheme="minorEastAsia"/>
                <w:kern w:val="0"/>
                <w:sz w:val="24"/>
                <w:szCs w:val="24"/>
              </w:rPr>
            </w:pPr>
            <w:r>
              <w:rPr>
                <w:rFonts w:hint="eastAsia" w:ascii="Times New Roman" w:cs="Times New Roman" w:hAnsiTheme="minorEastAsia"/>
                <w:kern w:val="0"/>
                <w:sz w:val="24"/>
                <w:szCs w:val="24"/>
              </w:rPr>
              <w:t>1、与《淮南市国土空间总体规划（2021-2035年）》符合性分析</w:t>
            </w:r>
          </w:p>
          <w:p w14:paraId="032EC7E5">
            <w:pPr>
              <w:keepNext w:val="0"/>
              <w:keepLines w:val="0"/>
              <w:suppressLineNumbers w:val="0"/>
              <w:spacing w:before="0" w:beforeAutospacing="0" w:after="0" w:afterAutospacing="0" w:line="360" w:lineRule="auto"/>
              <w:ind w:left="0" w:right="0" w:firstLine="480" w:firstLineChars="200"/>
              <w:rPr>
                <w:rFonts w:hint="default" w:ascii="Times New Roman" w:hAnsi="宋体" w:cs="Times New Roman"/>
                <w:kern w:val="0"/>
                <w:sz w:val="24"/>
                <w:szCs w:val="24"/>
              </w:rPr>
            </w:pPr>
            <w:r>
              <w:rPr>
                <w:rFonts w:hint="eastAsia" w:ascii="Times New Roman" w:cs="Times New Roman" w:hAnsiTheme="minorEastAsia"/>
                <w:kern w:val="0"/>
                <w:sz w:val="24"/>
                <w:szCs w:val="24"/>
              </w:rPr>
              <w:t>《淮南市国土空间总体规划（2021-2035年）》提出“全力打造国家煤炭绿色开发利用基地、国家煤电和新能源清洁电力生产基地、国家现代煤化工产业园区；发展绿色低碳的生态经济，打造人与自然和谐共生的能源创新之都”的愿景，明确“3城”（资源型城市绿色转型发展示范城市、合肥都市圈副中心城市、文化休闲品质宜居城市）、“2基地”（全国重要的新型综合能源基地、长三角绿色农产品供应基地）、“1示范区”（承接长三角产业转移示范区）的功能定位。市域开发保护遵循“一轴、两带、四板块”发展格局，“一轴”即合淮蚌发展轴，“两带”即沿淮绿色发展带、江淮运河生态复合廊带，“四板块”即北部粮煤复合功能板块、中部城镇集中建设板块、南部现代农业与特色旅游功能板块、新桥临空板块。</w:t>
            </w:r>
          </w:p>
          <w:p w14:paraId="1D36878A">
            <w:pPr>
              <w:keepNext w:val="0"/>
              <w:keepLines w:val="0"/>
              <w:suppressLineNumbers w:val="0"/>
              <w:spacing w:before="0" w:beforeAutospacing="0" w:after="0" w:afterAutospacing="0" w:line="360" w:lineRule="auto"/>
              <w:ind w:left="0" w:right="0" w:firstLine="480" w:firstLineChars="200"/>
              <w:jc w:val="left"/>
              <w:rPr>
                <w:rFonts w:hint="default"/>
              </w:rPr>
            </w:pPr>
            <w:r>
              <w:rPr>
                <w:rFonts w:hint="eastAsia" w:ascii="Times New Roman" w:hAnsi="宋体" w:eastAsia="宋体" w:cs="Times New Roman"/>
                <w:kern w:val="0"/>
                <w:sz w:val="24"/>
                <w:szCs w:val="24"/>
              </w:rPr>
              <w:t>本项目位于城乡发展空间中的淮南中心城市，地处江淮运河生态复合廊带，</w:t>
            </w:r>
            <w:r>
              <w:rPr>
                <w:rFonts w:hint="eastAsia" w:ascii="Times New Roman" w:hAnsi="宋体" w:eastAsia="宋体" w:cs="Times New Roman"/>
                <w:kern w:val="0"/>
                <w:sz w:val="24"/>
                <w:szCs w:val="24"/>
                <w:lang w:val="en-US" w:eastAsia="zh-CN"/>
              </w:rPr>
              <w:t>属于</w:t>
            </w:r>
            <w:r>
              <w:rPr>
                <w:rFonts w:hint="eastAsia" w:ascii="Times New Roman" w:hAnsi="宋体" w:eastAsia="宋体" w:cs="Times New Roman"/>
                <w:kern w:val="0"/>
                <w:sz w:val="24"/>
                <w:szCs w:val="24"/>
              </w:rPr>
              <w:t>市域开发保护总体格局中的属于城镇集中建设板块。对照《淮南市国土空间总体规划(2021-2035年)》中心城区土地使用规划图（详见附图</w:t>
            </w:r>
            <w:r>
              <w:rPr>
                <w:rFonts w:hint="eastAsia" w:ascii="Times New Roman" w:hAnsi="宋体" w:eastAsia="宋体" w:cs="Times New Roman"/>
                <w:kern w:val="0"/>
                <w:sz w:val="24"/>
                <w:szCs w:val="24"/>
                <w:lang w:val="en-US" w:eastAsia="zh-CN"/>
              </w:rPr>
              <w:t>4</w:t>
            </w:r>
            <w:r>
              <w:rPr>
                <w:rFonts w:hint="eastAsia" w:ascii="Times New Roman" w:hAnsi="宋体" w:eastAsia="宋体" w:cs="Times New Roman"/>
                <w:kern w:val="0"/>
                <w:sz w:val="24"/>
                <w:szCs w:val="24"/>
              </w:rPr>
              <w:t>），本项目用地为工业用地，在城镇开发边界之内，不涉及生态保护红线、永久基本农田保护红线，符合《淮南市国土空间总体规划（2021-2035年）》中相关要求。</w:t>
            </w:r>
          </w:p>
        </w:tc>
      </w:tr>
      <w:tr w14:paraId="40E26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pct"/>
            <w:vAlign w:val="center"/>
          </w:tcPr>
          <w:p w14:paraId="620E6A1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 w:val="24"/>
                <w:szCs w:val="24"/>
              </w:rPr>
            </w:pPr>
            <w:r>
              <w:rPr>
                <w:rFonts w:hint="default" w:ascii="Times New Roman" w:hAnsi="Times New Roman" w:cs="Times New Roman"/>
                <w:bCs/>
                <w:kern w:val="0"/>
                <w:sz w:val="24"/>
                <w:szCs w:val="24"/>
              </w:rPr>
              <w:t>其他符合性分析</w:t>
            </w:r>
          </w:p>
        </w:tc>
        <w:tc>
          <w:tcPr>
            <w:tcW w:w="4206" w:type="pct"/>
            <w:gridSpan w:val="3"/>
            <w:vAlign w:val="center"/>
          </w:tcPr>
          <w:p w14:paraId="0A7A1B76">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kern w:val="0"/>
                <w:sz w:val="24"/>
                <w:szCs w:val="24"/>
              </w:rPr>
            </w:pPr>
            <w:r>
              <w:rPr>
                <w:rFonts w:hint="default" w:ascii="Times New Roman" w:hAnsi="Times New Roman" w:cs="Times New Roman"/>
                <w:b/>
                <w:kern w:val="0"/>
                <w:sz w:val="24"/>
                <w:szCs w:val="24"/>
              </w:rPr>
              <w:t>1、产业政策符合性分析</w:t>
            </w:r>
          </w:p>
          <w:p w14:paraId="5DD7A4C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rPr>
            </w:pPr>
            <w:r>
              <w:rPr>
                <w:rFonts w:hint="eastAsia" w:ascii="Times New Roman" w:hAnsi="Times New Roman" w:cs="Times New Roman"/>
                <w:bCs/>
                <w:kern w:val="0"/>
                <w:sz w:val="24"/>
              </w:rPr>
              <w:t>本项目属于</w:t>
            </w:r>
            <w:r>
              <w:rPr>
                <w:rFonts w:hint="eastAsia" w:ascii="Times New Roman" w:hAnsi="Times New Roman" w:cs="Times New Roman"/>
                <w:bCs/>
                <w:kern w:val="0"/>
                <w:sz w:val="24"/>
                <w:lang w:eastAsia="zh-CN"/>
              </w:rPr>
              <w:t>C2770 卫生材料及医药用品制造</w:t>
            </w:r>
            <w:r>
              <w:rPr>
                <w:rFonts w:hint="eastAsia" w:ascii="Times New Roman" w:hAnsi="Times New Roman" w:cs="Times New Roman"/>
                <w:bCs/>
                <w:kern w:val="0"/>
                <w:sz w:val="24"/>
              </w:rPr>
              <w:t>，</w:t>
            </w:r>
            <w:r>
              <w:rPr>
                <w:rFonts w:hint="default" w:ascii="Times New Roman" w:hAnsi="Times New Roman" w:cs="Times New Roman"/>
                <w:bCs/>
                <w:kern w:val="0"/>
                <w:sz w:val="24"/>
              </w:rPr>
              <w:t>查阅《产业结构调整指导目录</w:t>
            </w:r>
            <w:r>
              <w:rPr>
                <w:rFonts w:hint="eastAsia" w:ascii="Times New Roman" w:hAnsi="Times New Roman" w:cs="Times New Roman"/>
                <w:bCs/>
                <w:kern w:val="0"/>
                <w:sz w:val="24"/>
                <w:szCs w:val="24"/>
              </w:rPr>
              <w:t>（</w:t>
            </w:r>
            <w:r>
              <w:rPr>
                <w:rFonts w:hint="eastAsia" w:ascii="Times New Roman" w:cs="Times New Roman"/>
                <w:kern w:val="0"/>
                <w:sz w:val="24"/>
                <w:szCs w:val="24"/>
              </w:rPr>
              <w:t>2024年本）</w:t>
            </w:r>
            <w:r>
              <w:rPr>
                <w:rFonts w:hint="default" w:ascii="Times New Roman" w:hAnsi="Times New Roman" w:cs="Times New Roman"/>
                <w:bCs/>
                <w:kern w:val="0"/>
                <w:sz w:val="24"/>
              </w:rPr>
              <w:t>》</w:t>
            </w:r>
            <w:r>
              <w:rPr>
                <w:rFonts w:hint="default" w:ascii="Times New Roman" w:hAnsi="Times New Roman" w:cs="Times New Roman"/>
                <w:bCs/>
                <w:kern w:val="0"/>
                <w:sz w:val="24"/>
                <w:szCs w:val="24"/>
              </w:rPr>
              <w:t>，</w:t>
            </w:r>
            <w:r>
              <w:rPr>
                <w:rFonts w:hint="default" w:ascii="Times New Roman" w:hAnsi="Times New Roman" w:cs="Times New Roman"/>
                <w:bCs/>
                <w:kern w:val="0"/>
                <w:sz w:val="24"/>
              </w:rPr>
              <w:t>本项目不属于限制类或淘汰类项目</w:t>
            </w:r>
            <w:r>
              <w:rPr>
                <w:rFonts w:hint="eastAsia" w:ascii="Times New Roman" w:hAnsi="Times New Roman" w:cs="Times New Roman"/>
                <w:bCs/>
                <w:kern w:val="0"/>
                <w:sz w:val="24"/>
              </w:rPr>
              <w:t>，视</w:t>
            </w:r>
            <w:r>
              <w:rPr>
                <w:rFonts w:hint="default" w:ascii="Times New Roman" w:hAnsi="Times New Roman" w:cs="Times New Roman"/>
                <w:bCs/>
                <w:kern w:val="0"/>
                <w:sz w:val="24"/>
              </w:rPr>
              <w:t>为允许建设项目</w:t>
            </w:r>
            <w:r>
              <w:rPr>
                <w:rFonts w:hint="eastAsia" w:ascii="Times New Roman" w:hAnsi="Times New Roman" w:cs="Times New Roman"/>
                <w:bCs/>
                <w:kern w:val="0"/>
                <w:sz w:val="24"/>
              </w:rPr>
              <w:t>。</w:t>
            </w:r>
            <w:r>
              <w:rPr>
                <w:rFonts w:hint="default" w:ascii="Times New Roman" w:hAnsi="Times New Roman" w:cs="Times New Roman"/>
                <w:bCs/>
                <w:kern w:val="0"/>
                <w:sz w:val="24"/>
              </w:rPr>
              <w:t>同时，</w:t>
            </w:r>
            <w:r>
              <w:rPr>
                <w:rFonts w:hint="default" w:ascii="Times New Roman" w:hAnsi="Times New Roman" w:eastAsia="宋体" w:cs="Times New Roman"/>
                <w:kern w:val="0"/>
                <w:sz w:val="24"/>
                <w:szCs w:val="24"/>
              </w:rPr>
              <w:t>项目已取得了</w:t>
            </w:r>
            <w:r>
              <w:rPr>
                <w:rFonts w:hint="eastAsia" w:ascii="Times New Roman" w:hAnsi="Times New Roman" w:cs="Times New Roman"/>
                <w:sz w:val="24"/>
                <w:szCs w:val="24"/>
              </w:rPr>
              <w:t>淮南</w:t>
            </w:r>
            <w:r>
              <w:rPr>
                <w:rFonts w:hint="eastAsia" w:ascii="Times New Roman" w:hAnsi="Times New Roman" w:cs="Times New Roman"/>
                <w:sz w:val="24"/>
                <w:szCs w:val="24"/>
                <w:lang w:val="en-US" w:eastAsia="zh-CN"/>
              </w:rPr>
              <w:t>高新技术产业开发区管理委员会</w:t>
            </w:r>
            <w:r>
              <w:rPr>
                <w:rFonts w:hint="default" w:ascii="Times New Roman" w:hAnsi="Times New Roman" w:cs="Times New Roman"/>
                <w:sz w:val="24"/>
                <w:szCs w:val="24"/>
              </w:rPr>
              <w:t>经济发展局</w:t>
            </w:r>
            <w:r>
              <w:rPr>
                <w:rFonts w:hint="default" w:ascii="Times New Roman" w:hAnsi="Times New Roman" w:eastAsia="宋体" w:cs="Times New Roman"/>
                <w:kern w:val="0"/>
                <w:sz w:val="24"/>
                <w:szCs w:val="24"/>
              </w:rPr>
              <w:t>出具的备案文件，项目编码为</w:t>
            </w:r>
            <w:r>
              <w:rPr>
                <w:rFonts w:hint="eastAsia" w:ascii="Times New Roman" w:hAnsi="Times New Roman" w:cs="Times New Roman"/>
                <w:sz w:val="24"/>
              </w:rPr>
              <w:t>2512-340463-04-01-158361</w:t>
            </w:r>
            <w:r>
              <w:rPr>
                <w:rFonts w:hint="default" w:ascii="Times New Roman" w:hAnsi="Times New Roman" w:eastAsia="宋体" w:cs="Times New Roman"/>
                <w:kern w:val="0"/>
                <w:sz w:val="24"/>
                <w:szCs w:val="24"/>
              </w:rPr>
              <w:t>。因此，本项目建设符合国家产业政策要求。</w:t>
            </w:r>
          </w:p>
          <w:p w14:paraId="740AE0CC">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2、选址符合性分析</w:t>
            </w:r>
          </w:p>
          <w:p w14:paraId="7E54D37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w:t>
            </w:r>
            <w:r>
              <w:rPr>
                <w:rFonts w:hint="eastAsia" w:ascii="Times New Roman" w:hAnsi="Times New Roman" w:eastAsia="宋体" w:cs="Times New Roman"/>
                <w:kern w:val="0"/>
                <w:sz w:val="24"/>
                <w:szCs w:val="24"/>
              </w:rPr>
              <w:t>选址</w:t>
            </w:r>
            <w:r>
              <w:rPr>
                <w:rFonts w:hint="default" w:ascii="Times New Roman" w:hAnsi="Times New Roman" w:eastAsia="宋体" w:cs="Times New Roman"/>
                <w:kern w:val="0"/>
                <w:sz w:val="24"/>
                <w:szCs w:val="24"/>
              </w:rPr>
              <w:t>于</w:t>
            </w:r>
            <w:r>
              <w:rPr>
                <w:rFonts w:hint="default" w:ascii="Times New Roman" w:hAnsi="Times New Roman" w:cs="Times New Roman"/>
                <w:bCs/>
                <w:sz w:val="24"/>
              </w:rPr>
              <w:t>淮南高新技术产业开发区科技信息产业园5号楼</w:t>
            </w:r>
            <w:r>
              <w:rPr>
                <w:rFonts w:hint="eastAsia" w:ascii="Times New Roman" w:hAnsi="Times New Roman" w:eastAsia="宋体" w:cs="Times New Roman"/>
                <w:kern w:val="0"/>
                <w:sz w:val="24"/>
                <w:szCs w:val="24"/>
              </w:rPr>
              <w:t>，根据</w:t>
            </w:r>
            <w:r>
              <w:rPr>
                <w:rFonts w:hint="eastAsia" w:ascii="Times New Roman" w:hAnsi="Times New Roman" w:eastAsia="宋体" w:cs="Times New Roman"/>
                <w:kern w:val="0"/>
                <w:sz w:val="24"/>
                <w:szCs w:val="24"/>
                <w:lang w:eastAsia="zh-CN"/>
              </w:rPr>
              <w:t>《</w:t>
            </w:r>
            <w:r>
              <w:rPr>
                <w:rFonts w:hint="eastAsia" w:ascii="Times New Roman" w:cs="Times New Roman" w:hAnsiTheme="minorEastAsia"/>
                <w:kern w:val="0"/>
                <w:sz w:val="24"/>
                <w:szCs w:val="24"/>
              </w:rPr>
              <w:t>淮南市国土空间总体规划（2021-2035年）</w:t>
            </w:r>
            <w:r>
              <w:rPr>
                <w:rFonts w:hint="eastAsia" w:ascii="Times New Roman" w:hAnsi="Times New Roman" w:eastAsia="宋体" w:cs="Times New Roman"/>
                <w:kern w:val="0"/>
                <w:sz w:val="24"/>
                <w:szCs w:val="24"/>
                <w:lang w:eastAsia="zh-CN"/>
              </w:rPr>
              <w:t>》</w:t>
            </w:r>
            <w:r>
              <w:rPr>
                <w:rFonts w:hint="eastAsia" w:ascii="Times New Roman" w:cs="Times New Roman" w:hAnsiTheme="minorEastAsia"/>
                <w:kern w:val="0"/>
                <w:sz w:val="24"/>
                <w:szCs w:val="24"/>
              </w:rPr>
              <w:t>中心城区土地使用规划图</w:t>
            </w:r>
            <w:r>
              <w:rPr>
                <w:rFonts w:hint="eastAsia" w:ascii="Times New Roman" w:cs="Times New Roman" w:hAnsiTheme="minorEastAsia"/>
                <w:kern w:val="0"/>
                <w:sz w:val="24"/>
                <w:szCs w:val="24"/>
                <w:lang w:eastAsia="zh-CN"/>
              </w:rPr>
              <w:t>（</w:t>
            </w:r>
            <w:r>
              <w:rPr>
                <w:rFonts w:hint="eastAsia" w:ascii="Times New Roman" w:cs="Times New Roman" w:hAnsiTheme="minorEastAsia"/>
                <w:kern w:val="0"/>
                <w:sz w:val="24"/>
                <w:szCs w:val="24"/>
                <w:lang w:val="en-US" w:eastAsia="zh-CN"/>
              </w:rPr>
              <w:t>详见附图4</w:t>
            </w:r>
            <w:r>
              <w:rPr>
                <w:rFonts w:hint="eastAsia" w:ascii="Times New Roman" w:cs="Times New Roman" w:hAnsiTheme="minorEastAsia"/>
                <w:kern w:val="0"/>
                <w:sz w:val="24"/>
                <w:szCs w:val="24"/>
                <w:lang w:eastAsia="zh-CN"/>
              </w:rPr>
              <w:t>）</w:t>
            </w:r>
            <w:r>
              <w:rPr>
                <w:rFonts w:hint="eastAsia" w:ascii="Times New Roman" w:hAnsi="Times New Roman" w:eastAsia="宋体" w:cs="Times New Roman"/>
                <w:kern w:val="0"/>
                <w:sz w:val="24"/>
                <w:szCs w:val="24"/>
              </w:rPr>
              <w:t>，本项目</w:t>
            </w:r>
            <w:r>
              <w:rPr>
                <w:rFonts w:hint="default" w:ascii="Times New Roman" w:hAnsi="Times New Roman" w:eastAsia="宋体" w:cs="Times New Roman"/>
                <w:kern w:val="0"/>
                <w:sz w:val="24"/>
                <w:szCs w:val="24"/>
              </w:rPr>
              <w:t>占地类型为工业用地</w:t>
            </w:r>
            <w:r>
              <w:rPr>
                <w:rFonts w:hint="eastAsia" w:ascii="Times New Roman" w:hAnsi="Times New Roman" w:eastAsia="宋体" w:cs="Times New Roman"/>
                <w:kern w:val="0"/>
                <w:sz w:val="24"/>
                <w:szCs w:val="24"/>
              </w:rPr>
              <w:t>，符合选址用地要求</w:t>
            </w:r>
            <w:r>
              <w:rPr>
                <w:rFonts w:hint="eastAsia" w:ascii="Times New Roman" w:hAnsi="宋体" w:eastAsia="宋体" w:cs="Times New Roman"/>
                <w:kern w:val="0"/>
                <w:sz w:val="24"/>
                <w:szCs w:val="24"/>
              </w:rPr>
              <w:t>。</w:t>
            </w:r>
          </w:p>
          <w:p w14:paraId="7A91B7E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区域环境质量良好，</w:t>
            </w:r>
            <w:r>
              <w:rPr>
                <w:rFonts w:hint="eastAsia" w:ascii="Times New Roman" w:hAnsi="Times New Roman" w:eastAsia="宋体" w:cs="Times New Roman"/>
                <w:kern w:val="0"/>
                <w:sz w:val="24"/>
                <w:szCs w:val="24"/>
              </w:rPr>
              <w:t>地表水建湾渠、高塘湖满足《地表水环境质量标准》（GB3838</w:t>
            </w:r>
            <w:r>
              <w:rPr>
                <w:rFonts w:hint="default"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2002）中IV</w:t>
            </w:r>
            <w:r>
              <w:rPr>
                <w:rFonts w:hint="default" w:ascii="Times New Roman" w:hAnsi="Times New Roman" w:eastAsia="宋体" w:cs="Times New Roman"/>
                <w:kern w:val="0"/>
                <w:sz w:val="24"/>
                <w:szCs w:val="24"/>
              </w:rPr>
              <w:t>类</w:t>
            </w:r>
            <w:r>
              <w:rPr>
                <w:rFonts w:hint="eastAsia" w:ascii="Times New Roman" w:hAnsi="Times New Roman" w:eastAsia="宋体" w:cs="Times New Roman"/>
                <w:kern w:val="0"/>
                <w:sz w:val="24"/>
                <w:szCs w:val="24"/>
              </w:rPr>
              <w:t>标准要求；区域</w:t>
            </w:r>
            <w:r>
              <w:rPr>
                <w:rFonts w:hint="default" w:ascii="Times New Roman" w:hAnsi="Times New Roman" w:eastAsia="宋体" w:cs="Times New Roman"/>
                <w:kern w:val="0"/>
                <w:sz w:val="24"/>
                <w:szCs w:val="24"/>
              </w:rPr>
              <w:t>大气环境</w:t>
            </w:r>
            <w:r>
              <w:rPr>
                <w:rFonts w:hint="eastAsia" w:ascii="Times New Roman" w:hAnsi="Times New Roman" w:eastAsia="宋体" w:cs="Times New Roman"/>
                <w:kern w:val="0"/>
                <w:sz w:val="24"/>
                <w:szCs w:val="24"/>
              </w:rPr>
              <w:t>（除PM</w:t>
            </w:r>
            <w:r>
              <w:rPr>
                <w:rFonts w:hint="eastAsia" w:ascii="Times New Roman" w:hAnsi="Times New Roman" w:eastAsia="宋体" w:cs="Times New Roman"/>
                <w:kern w:val="0"/>
                <w:sz w:val="24"/>
                <w:szCs w:val="24"/>
                <w:vertAlign w:val="subscript"/>
                <w:lang w:val="en-US" w:eastAsia="zh-CN"/>
              </w:rPr>
              <w:t>10</w:t>
            </w:r>
            <w:r>
              <w:rPr>
                <w:rFonts w:hint="eastAsia" w:ascii="Times New Roman" w:hAnsi="Times New Roman" w:eastAsia="宋体" w:cs="Times New Roman"/>
                <w:kern w:val="0"/>
                <w:sz w:val="24"/>
                <w:szCs w:val="24"/>
                <w:vertAlign w:val="baseline"/>
                <w:lang w:eastAsia="zh-CN"/>
              </w:rPr>
              <w:t>、</w:t>
            </w:r>
            <w:r>
              <w:rPr>
                <w:rFonts w:hint="eastAsia" w:ascii="Times New Roman" w:hAnsi="Times New Roman" w:eastAsia="宋体" w:cs="Times New Roman"/>
                <w:kern w:val="0"/>
                <w:sz w:val="24"/>
                <w:szCs w:val="24"/>
              </w:rPr>
              <w:t>PM</w:t>
            </w:r>
            <w:r>
              <w:rPr>
                <w:rFonts w:hint="eastAsia" w:ascii="Times New Roman" w:hAnsi="Times New Roman" w:eastAsia="宋体" w:cs="Times New Roman"/>
                <w:kern w:val="0"/>
                <w:sz w:val="24"/>
                <w:szCs w:val="24"/>
                <w:vertAlign w:val="subscript"/>
              </w:rPr>
              <w:t>2.5</w:t>
            </w:r>
            <w:r>
              <w:rPr>
                <w:rFonts w:hint="eastAsia" w:ascii="Times New Roman" w:hAnsi="Times New Roman" w:eastAsia="宋体" w:cs="Times New Roman"/>
                <w:kern w:val="0"/>
                <w:sz w:val="24"/>
                <w:szCs w:val="24"/>
              </w:rPr>
              <w:t>超标），其他基本污染物基本</w:t>
            </w:r>
            <w:r>
              <w:rPr>
                <w:rFonts w:hint="default" w:ascii="Times New Roman" w:hAnsi="Times New Roman" w:eastAsia="宋体" w:cs="Times New Roman"/>
                <w:kern w:val="0"/>
                <w:sz w:val="24"/>
                <w:szCs w:val="24"/>
              </w:rPr>
              <w:t>满足《环境空气质量标准》</w:t>
            </w:r>
            <w:r>
              <w:rPr>
                <w:rFonts w:hint="eastAsia" w:ascii="Times New Roman" w:hAnsi="Times New Roman" w:eastAsia="宋体" w:cs="Times New Roman"/>
                <w:kern w:val="0"/>
                <w:sz w:val="24"/>
                <w:szCs w:val="24"/>
              </w:rPr>
              <w:t>（</w:t>
            </w:r>
            <w:r>
              <w:rPr>
                <w:rFonts w:hint="default" w:ascii="Times New Roman" w:hAnsi="Times New Roman" w:eastAsia="宋体" w:cs="Times New Roman"/>
                <w:kern w:val="0"/>
                <w:sz w:val="24"/>
                <w:szCs w:val="24"/>
              </w:rPr>
              <w:t>GB3095-20</w:t>
            </w:r>
            <w:r>
              <w:rPr>
                <w:rFonts w:hint="eastAsia" w:ascii="Times New Roman" w:hAnsi="Times New Roman" w:eastAsia="宋体" w:cs="Times New Roman"/>
                <w:kern w:val="0"/>
                <w:sz w:val="24"/>
                <w:szCs w:val="24"/>
                <w:lang w:val="en-US" w:eastAsia="zh-CN"/>
              </w:rPr>
              <w:t>26</w:t>
            </w:r>
            <w:r>
              <w:rPr>
                <w:rFonts w:hint="eastAsia" w:ascii="Times New Roman" w:hAnsi="Times New Roman" w:eastAsia="宋体" w:cs="Times New Roman"/>
                <w:kern w:val="0"/>
                <w:sz w:val="24"/>
                <w:szCs w:val="24"/>
              </w:rPr>
              <w:t>）</w:t>
            </w:r>
            <w:r>
              <w:rPr>
                <w:rFonts w:hint="default" w:ascii="Times New Roman" w:hAnsi="Times New Roman" w:eastAsia="宋体" w:cs="Times New Roman"/>
                <w:kern w:val="0"/>
                <w:sz w:val="24"/>
                <w:szCs w:val="24"/>
              </w:rPr>
              <w:t>中的</w:t>
            </w:r>
            <w:r>
              <w:rPr>
                <w:rFonts w:hint="eastAsia" w:ascii="Times New Roman" w:hAnsi="Times New Roman" w:eastAsia="宋体" w:cs="Times New Roman"/>
                <w:kern w:val="0"/>
                <w:sz w:val="24"/>
                <w:szCs w:val="24"/>
                <w:lang w:val="en-US" w:eastAsia="zh-CN"/>
              </w:rPr>
              <w:t>过渡阶段</w:t>
            </w:r>
            <w:r>
              <w:rPr>
                <w:rFonts w:hint="default" w:ascii="Times New Roman" w:hAnsi="Times New Roman" w:eastAsia="宋体" w:cs="Times New Roman"/>
                <w:kern w:val="0"/>
                <w:sz w:val="24"/>
                <w:szCs w:val="24"/>
              </w:rPr>
              <w:t>二级</w:t>
            </w:r>
            <w:r>
              <w:rPr>
                <w:rFonts w:hint="eastAsia" w:ascii="Times New Roman" w:hAnsi="Times New Roman" w:eastAsia="宋体" w:cs="Times New Roman"/>
                <w:kern w:val="0"/>
                <w:sz w:val="24"/>
                <w:szCs w:val="24"/>
                <w:lang w:val="en-US" w:eastAsia="zh-CN"/>
              </w:rPr>
              <w:t>浓度限值</w:t>
            </w:r>
            <w:r>
              <w:rPr>
                <w:rFonts w:hint="default" w:ascii="Times New Roman" w:hAnsi="Times New Roman" w:eastAsia="宋体" w:cs="Times New Roman"/>
                <w:kern w:val="0"/>
                <w:sz w:val="24"/>
                <w:szCs w:val="24"/>
              </w:rPr>
              <w:t>要求，项目区域对项目无制约因素</w:t>
            </w:r>
            <w:r>
              <w:rPr>
                <w:rFonts w:hint="eastAsia" w:ascii="Times New Roman" w:hAnsi="Times New Roman" w:eastAsia="宋体" w:cs="Times New Roman"/>
                <w:kern w:val="0"/>
                <w:sz w:val="24"/>
                <w:szCs w:val="24"/>
              </w:rPr>
              <w:t>。</w:t>
            </w:r>
          </w:p>
          <w:p w14:paraId="192C4D1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因此项目选址较为合理。</w:t>
            </w:r>
          </w:p>
          <w:p w14:paraId="033A5B0C">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kern w:val="0"/>
                <w:sz w:val="24"/>
                <w:szCs w:val="24"/>
              </w:rPr>
            </w:pPr>
            <w:r>
              <w:rPr>
                <w:rFonts w:hint="eastAsia" w:ascii="Times New Roman" w:hAnsi="Times New Roman" w:eastAsia="宋体" w:cs="Times New Roman"/>
                <w:b/>
                <w:kern w:val="0"/>
                <w:sz w:val="24"/>
                <w:szCs w:val="24"/>
              </w:rPr>
              <w:t>3</w:t>
            </w:r>
            <w:r>
              <w:rPr>
                <w:rFonts w:hint="eastAsia" w:ascii="Times New Roman" w:hAnsi="Times New Roman" w:eastAsia="宋体" w:cs="宋体"/>
                <w:b/>
                <w:kern w:val="0"/>
                <w:sz w:val="24"/>
                <w:szCs w:val="24"/>
              </w:rPr>
              <w:t>、与《淮南市“十四五”生态环境保护规划》（淮环通</w:t>
            </w:r>
            <w:r>
              <w:rPr>
                <w:rFonts w:hint="default" w:ascii="Times New Roman" w:hAnsi="Times New Roman" w:eastAsia="宋体" w:cs="Times New Roman"/>
                <w:b/>
                <w:kern w:val="0"/>
                <w:sz w:val="24"/>
                <w:szCs w:val="24"/>
              </w:rPr>
              <w:t>[2022]46</w:t>
            </w:r>
            <w:r>
              <w:rPr>
                <w:rFonts w:hint="eastAsia" w:ascii="Times New Roman" w:hAnsi="Times New Roman" w:eastAsia="宋体" w:cs="宋体"/>
                <w:b/>
                <w:kern w:val="0"/>
                <w:sz w:val="24"/>
                <w:szCs w:val="24"/>
              </w:rPr>
              <w:t>号）符合性分析</w:t>
            </w:r>
          </w:p>
          <w:p w14:paraId="723F1469">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kern w:val="0"/>
                <w:sz w:val="24"/>
              </w:rPr>
            </w:pPr>
            <w:r>
              <w:rPr>
                <w:rFonts w:hint="eastAsia" w:ascii="Times New Roman" w:hAnsi="Times New Roman" w:eastAsia="黑体" w:cs="黑体"/>
                <w:kern w:val="0"/>
                <w:sz w:val="24"/>
              </w:rPr>
              <w:t>表</w:t>
            </w:r>
            <w:r>
              <w:rPr>
                <w:rFonts w:hint="default" w:ascii="Times New Roman" w:hAnsi="Times New Roman" w:eastAsia="黑体" w:cs="Times New Roman"/>
                <w:kern w:val="0"/>
                <w:sz w:val="24"/>
              </w:rPr>
              <w:t>1-</w:t>
            </w:r>
            <w:r>
              <w:rPr>
                <w:rFonts w:hint="eastAsia" w:ascii="Times New Roman" w:hAnsi="Times New Roman" w:eastAsia="黑体" w:cs="Times New Roman"/>
                <w:kern w:val="0"/>
                <w:sz w:val="24"/>
              </w:rPr>
              <w:t>2</w:t>
            </w:r>
            <w:r>
              <w:rPr>
                <w:rFonts w:hint="default" w:ascii="Times New Roman" w:hAnsi="Times New Roman" w:eastAsia="黑体" w:cs="Times New Roman"/>
                <w:kern w:val="0"/>
                <w:sz w:val="24"/>
              </w:rPr>
              <w:t xml:space="preserve">  </w:t>
            </w:r>
            <w:r>
              <w:rPr>
                <w:rFonts w:hint="eastAsia" w:ascii="Times New Roman" w:hAnsi="Times New Roman" w:eastAsia="黑体" w:cs="黑体"/>
                <w:kern w:val="0"/>
                <w:sz w:val="24"/>
              </w:rPr>
              <w:t>与《淮南市“十四五”生态环境保护规划》（淮环通</w:t>
            </w:r>
            <w:r>
              <w:rPr>
                <w:rFonts w:hint="default" w:ascii="Times New Roman" w:hAnsi="Times New Roman" w:eastAsia="黑体" w:cs="Times New Roman"/>
                <w:kern w:val="0"/>
                <w:sz w:val="24"/>
              </w:rPr>
              <w:t>[2022]46</w:t>
            </w:r>
            <w:r>
              <w:rPr>
                <w:rFonts w:hint="eastAsia" w:ascii="Times New Roman" w:hAnsi="Times New Roman" w:eastAsia="黑体" w:cs="黑体"/>
                <w:kern w:val="0"/>
                <w:sz w:val="24"/>
              </w:rPr>
              <w:t>号）相符性分析</w:t>
            </w:r>
          </w:p>
          <w:tbl>
            <w:tblPr>
              <w:tblStyle w:val="17"/>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27"/>
              <w:gridCol w:w="3364"/>
              <w:gridCol w:w="2176"/>
              <w:gridCol w:w="907"/>
            </w:tblGrid>
            <w:tr w14:paraId="0EADD1F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8" w:type="dxa"/>
                  <w:tcBorders>
                    <w:top w:val="single" w:color="auto" w:sz="12" w:space="0"/>
                    <w:left w:val="nil"/>
                    <w:bottom w:val="single" w:color="auto" w:sz="6" w:space="0"/>
                    <w:right w:val="single" w:color="auto" w:sz="6" w:space="0"/>
                  </w:tcBorders>
                  <w:shd w:val="clear" w:color="auto" w:fill="auto"/>
                  <w:vAlign w:val="center"/>
                </w:tcPr>
                <w:p w14:paraId="62CDF1C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kern w:val="0"/>
                      <w:szCs w:val="21"/>
                    </w:rPr>
                  </w:pPr>
                  <w:r>
                    <w:rPr>
                      <w:rFonts w:hint="eastAsia" w:ascii="Times New Roman" w:hAnsi="Times New Roman" w:eastAsia="宋体" w:cs="宋体"/>
                      <w:b/>
                      <w:kern w:val="0"/>
                      <w:szCs w:val="21"/>
                    </w:rPr>
                    <w:t>序号</w:t>
                  </w:r>
                </w:p>
              </w:tc>
              <w:tc>
                <w:tcPr>
                  <w:tcW w:w="3370" w:type="dxa"/>
                  <w:tcBorders>
                    <w:top w:val="single" w:color="auto" w:sz="12" w:space="0"/>
                    <w:left w:val="single" w:color="auto" w:sz="6" w:space="0"/>
                    <w:bottom w:val="single" w:color="auto" w:sz="6" w:space="0"/>
                    <w:right w:val="single" w:color="auto" w:sz="6" w:space="0"/>
                  </w:tcBorders>
                  <w:shd w:val="clear" w:color="auto" w:fill="auto"/>
                  <w:vAlign w:val="center"/>
                </w:tcPr>
                <w:p w14:paraId="6F16A16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kern w:val="0"/>
                      <w:szCs w:val="21"/>
                    </w:rPr>
                  </w:pPr>
                  <w:r>
                    <w:rPr>
                      <w:rFonts w:hint="eastAsia" w:ascii="Times New Roman" w:hAnsi="Times New Roman" w:eastAsia="宋体" w:cs="宋体"/>
                      <w:b/>
                      <w:kern w:val="0"/>
                      <w:szCs w:val="21"/>
                    </w:rPr>
                    <w:t>与本项目相关的要求</w:t>
                  </w:r>
                </w:p>
              </w:tc>
              <w:tc>
                <w:tcPr>
                  <w:tcW w:w="2180" w:type="dxa"/>
                  <w:tcBorders>
                    <w:top w:val="single" w:color="auto" w:sz="12" w:space="0"/>
                    <w:left w:val="single" w:color="auto" w:sz="6" w:space="0"/>
                    <w:bottom w:val="single" w:color="auto" w:sz="6" w:space="0"/>
                    <w:right w:val="single" w:color="auto" w:sz="6" w:space="0"/>
                  </w:tcBorders>
                  <w:shd w:val="clear" w:color="auto" w:fill="auto"/>
                  <w:vAlign w:val="center"/>
                </w:tcPr>
                <w:p w14:paraId="33C4E8C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kern w:val="0"/>
                      <w:szCs w:val="21"/>
                    </w:rPr>
                  </w:pPr>
                  <w:r>
                    <w:rPr>
                      <w:rFonts w:hint="eastAsia" w:ascii="Times New Roman" w:hAnsi="Calibri" w:eastAsia="宋体" w:cs="宋体"/>
                      <w:b/>
                      <w:kern w:val="0"/>
                      <w:szCs w:val="21"/>
                    </w:rPr>
                    <w:t>本项目情况</w:t>
                  </w:r>
                </w:p>
              </w:tc>
              <w:tc>
                <w:tcPr>
                  <w:tcW w:w="908" w:type="dxa"/>
                  <w:tcBorders>
                    <w:top w:val="single" w:color="auto" w:sz="12" w:space="0"/>
                    <w:left w:val="single" w:color="auto" w:sz="6" w:space="0"/>
                    <w:bottom w:val="single" w:color="auto" w:sz="6" w:space="0"/>
                    <w:right w:val="nil"/>
                  </w:tcBorders>
                  <w:shd w:val="clear" w:color="auto" w:fill="auto"/>
                  <w:vAlign w:val="center"/>
                </w:tcPr>
                <w:p w14:paraId="0B0113B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kern w:val="0"/>
                      <w:szCs w:val="21"/>
                    </w:rPr>
                  </w:pPr>
                  <w:r>
                    <w:rPr>
                      <w:rFonts w:hint="eastAsia" w:ascii="Times New Roman" w:hAnsi="Calibri" w:eastAsia="宋体" w:cs="宋体"/>
                      <w:b/>
                      <w:kern w:val="0"/>
                      <w:szCs w:val="21"/>
                    </w:rPr>
                    <w:t>相符性</w:t>
                  </w:r>
                </w:p>
              </w:tc>
            </w:tr>
            <w:tr w14:paraId="55F09CE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8" w:type="dxa"/>
                  <w:tcBorders>
                    <w:top w:val="single" w:color="auto" w:sz="6" w:space="0"/>
                    <w:left w:val="nil"/>
                    <w:bottom w:val="single" w:color="auto" w:sz="6" w:space="0"/>
                    <w:right w:val="single" w:color="auto" w:sz="6" w:space="0"/>
                  </w:tcBorders>
                  <w:shd w:val="clear" w:color="auto" w:fill="auto"/>
                  <w:vAlign w:val="center"/>
                </w:tcPr>
                <w:p w14:paraId="75B4BB6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eastAsia="宋体" w:cs="Times New Roman"/>
                      <w:kern w:val="0"/>
                      <w:szCs w:val="21"/>
                    </w:rPr>
                    <w:t>1</w:t>
                  </w:r>
                </w:p>
              </w:tc>
              <w:tc>
                <w:tcPr>
                  <w:tcW w:w="3370" w:type="dxa"/>
                  <w:tcBorders>
                    <w:top w:val="single" w:color="auto" w:sz="6" w:space="0"/>
                    <w:left w:val="single" w:color="auto" w:sz="6" w:space="0"/>
                    <w:bottom w:val="single" w:color="auto" w:sz="6" w:space="0"/>
                    <w:right w:val="single" w:color="auto" w:sz="6" w:space="0"/>
                  </w:tcBorders>
                  <w:shd w:val="clear" w:color="auto" w:fill="auto"/>
                  <w:vAlign w:val="center"/>
                </w:tcPr>
                <w:p w14:paraId="0CECAA1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eastAsia" w:ascii="Times New Roman" w:hAnsi="Times New Roman" w:eastAsia="宋体" w:cs="宋体"/>
                      <w:kern w:val="0"/>
                      <w:szCs w:val="21"/>
                    </w:rPr>
                    <w:t>控制煤炭消费总量，加快实施重点用能单位节能低碳行动和重点产业能效提升计划，严格执行高耗能行业产品能耗限额标准体系</w:t>
                  </w:r>
                </w:p>
              </w:tc>
              <w:tc>
                <w:tcPr>
                  <w:tcW w:w="2180" w:type="dxa"/>
                  <w:tcBorders>
                    <w:top w:val="single" w:color="auto" w:sz="6" w:space="0"/>
                    <w:left w:val="single" w:color="auto" w:sz="6" w:space="0"/>
                    <w:bottom w:val="single" w:color="auto" w:sz="6" w:space="0"/>
                    <w:right w:val="single" w:color="auto" w:sz="6" w:space="0"/>
                  </w:tcBorders>
                  <w:shd w:val="clear" w:color="auto" w:fill="auto"/>
                  <w:vAlign w:val="center"/>
                </w:tcPr>
                <w:p w14:paraId="6773FD8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eastAsia" w:ascii="Times New Roman" w:hAnsi="Times New Roman" w:eastAsia="宋体" w:cs="宋体"/>
                      <w:kern w:val="0"/>
                      <w:szCs w:val="21"/>
                    </w:rPr>
                    <w:t>本项目不涉及煤炭使用</w:t>
                  </w:r>
                </w:p>
              </w:tc>
              <w:tc>
                <w:tcPr>
                  <w:tcW w:w="908" w:type="dxa"/>
                  <w:tcBorders>
                    <w:top w:val="single" w:color="auto" w:sz="6" w:space="0"/>
                    <w:left w:val="single" w:color="auto" w:sz="6" w:space="0"/>
                    <w:bottom w:val="single" w:color="auto" w:sz="6" w:space="0"/>
                    <w:right w:val="nil"/>
                  </w:tcBorders>
                  <w:shd w:val="clear" w:color="auto" w:fill="auto"/>
                  <w:vAlign w:val="center"/>
                </w:tcPr>
                <w:p w14:paraId="4056001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eastAsia" w:ascii="Times New Roman" w:hAnsi="Calibri" w:eastAsia="宋体" w:cs="宋体"/>
                      <w:kern w:val="0"/>
                      <w:szCs w:val="21"/>
                    </w:rPr>
                    <w:t>符合</w:t>
                  </w:r>
                </w:p>
              </w:tc>
            </w:tr>
            <w:tr w14:paraId="415F7B1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8" w:type="dxa"/>
                  <w:tcBorders>
                    <w:top w:val="single" w:color="auto" w:sz="6" w:space="0"/>
                    <w:left w:val="nil"/>
                    <w:bottom w:val="single" w:color="auto" w:sz="6" w:space="0"/>
                    <w:right w:val="single" w:color="auto" w:sz="6" w:space="0"/>
                  </w:tcBorders>
                  <w:shd w:val="clear" w:color="auto" w:fill="auto"/>
                  <w:vAlign w:val="center"/>
                </w:tcPr>
                <w:p w14:paraId="6A298A2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eastAsia="宋体" w:cs="Times New Roman"/>
                      <w:kern w:val="0"/>
                      <w:szCs w:val="21"/>
                    </w:rPr>
                    <w:t>2</w:t>
                  </w:r>
                </w:p>
              </w:tc>
              <w:tc>
                <w:tcPr>
                  <w:tcW w:w="3370" w:type="dxa"/>
                  <w:tcBorders>
                    <w:top w:val="single" w:color="auto" w:sz="6" w:space="0"/>
                    <w:left w:val="single" w:color="auto" w:sz="6" w:space="0"/>
                    <w:bottom w:val="single" w:color="auto" w:sz="6" w:space="0"/>
                    <w:right w:val="single" w:color="auto" w:sz="6" w:space="0"/>
                  </w:tcBorders>
                  <w:shd w:val="clear" w:color="auto" w:fill="auto"/>
                  <w:vAlign w:val="center"/>
                </w:tcPr>
                <w:p w14:paraId="0838106B">
                  <w:pPr>
                    <w:keepNext w:val="0"/>
                    <w:keepLines w:val="0"/>
                    <w:suppressLineNumbers w:val="0"/>
                    <w:spacing w:before="0" w:beforeAutospacing="0" w:after="0" w:afterAutospacing="0" w:line="276" w:lineRule="auto"/>
                    <w:ind w:left="0" w:right="0"/>
                    <w:jc w:val="center"/>
                    <w:rPr>
                      <w:rFonts w:hint="default" w:ascii="Times New Roman" w:hAnsi="Calibri" w:cs="Times New Roman"/>
                      <w:kern w:val="0"/>
                      <w:szCs w:val="21"/>
                    </w:rPr>
                  </w:pPr>
                  <w:r>
                    <w:rPr>
                      <w:rFonts w:hint="eastAsia" w:ascii="Times New Roman" w:hAnsi="宋体" w:eastAsia="宋体" w:cs="Times New Roman"/>
                      <w:kern w:val="0"/>
                      <w:szCs w:val="21"/>
                    </w:rPr>
                    <w:t>按照“分类管理、分级负责、属地为主”的总体要求，进一步健全市、县区（市职能部门）、乡镇（县区职能部门）三级环境应急响应机制。修编全市突发环境事件总体应急预案，定期开展环境应急演练，建立健全信息共享、组织指挥、应对保障等方面协调联动工作机制，形成快速处置突发事件的合力，不断完善网状环境应急指挥体系</w:t>
                  </w:r>
                </w:p>
              </w:tc>
              <w:tc>
                <w:tcPr>
                  <w:tcW w:w="2180" w:type="dxa"/>
                  <w:tcBorders>
                    <w:top w:val="single" w:color="auto" w:sz="6" w:space="0"/>
                    <w:left w:val="single" w:color="auto" w:sz="6" w:space="0"/>
                    <w:bottom w:val="single" w:color="auto" w:sz="6" w:space="0"/>
                    <w:right w:val="single" w:color="auto" w:sz="6" w:space="0"/>
                  </w:tcBorders>
                  <w:shd w:val="clear" w:color="auto" w:fill="auto"/>
                  <w:vAlign w:val="center"/>
                </w:tcPr>
                <w:p w14:paraId="1C328A8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eastAsia" w:ascii="Times New Roman" w:hAnsi="Times New Roman" w:eastAsia="宋体" w:cs="宋体"/>
                      <w:kern w:val="0"/>
                      <w:szCs w:val="21"/>
                    </w:rPr>
                    <w:t>本项目将</w:t>
                  </w:r>
                  <w:r>
                    <w:rPr>
                      <w:rFonts w:hint="eastAsia" w:ascii="Times New Roman" w:hAnsi="Times New Roman" w:eastAsia="宋体" w:cs="Times New Roman"/>
                      <w:bCs/>
                      <w:szCs w:val="21"/>
                    </w:rPr>
                    <w:t>编制突发环境事件应急预案并到生态环境主管部门备案</w:t>
                  </w:r>
                </w:p>
              </w:tc>
              <w:tc>
                <w:tcPr>
                  <w:tcW w:w="908" w:type="dxa"/>
                  <w:tcBorders>
                    <w:top w:val="single" w:color="auto" w:sz="6" w:space="0"/>
                    <w:left w:val="single" w:color="auto" w:sz="6" w:space="0"/>
                    <w:bottom w:val="single" w:color="auto" w:sz="6" w:space="0"/>
                    <w:right w:val="nil"/>
                  </w:tcBorders>
                  <w:shd w:val="clear" w:color="auto" w:fill="auto"/>
                  <w:vAlign w:val="center"/>
                </w:tcPr>
                <w:p w14:paraId="13AE6388">
                  <w:pPr>
                    <w:keepNext w:val="0"/>
                    <w:keepLines w:val="0"/>
                    <w:suppressLineNumbers w:val="0"/>
                    <w:spacing w:before="0" w:beforeAutospacing="0" w:after="0" w:afterAutospacing="0" w:line="276" w:lineRule="auto"/>
                    <w:ind w:left="0" w:right="0"/>
                    <w:jc w:val="center"/>
                    <w:rPr>
                      <w:rFonts w:hint="default" w:ascii="Times New Roman" w:hAnsi="Calibri" w:cs="Times New Roman"/>
                      <w:kern w:val="0"/>
                      <w:szCs w:val="21"/>
                    </w:rPr>
                  </w:pPr>
                  <w:r>
                    <w:rPr>
                      <w:rFonts w:hint="eastAsia" w:ascii="Times New Roman" w:hAnsi="Calibri" w:eastAsia="宋体" w:cs="宋体"/>
                      <w:kern w:val="0"/>
                      <w:szCs w:val="21"/>
                    </w:rPr>
                    <w:t>符合</w:t>
                  </w:r>
                </w:p>
              </w:tc>
            </w:tr>
            <w:tr w14:paraId="65CAF57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8" w:type="dxa"/>
                  <w:tcBorders>
                    <w:top w:val="single" w:color="auto" w:sz="6" w:space="0"/>
                    <w:left w:val="nil"/>
                    <w:bottom w:val="single" w:color="auto" w:sz="12" w:space="0"/>
                    <w:right w:val="single" w:color="auto" w:sz="6" w:space="0"/>
                  </w:tcBorders>
                  <w:shd w:val="clear" w:color="auto" w:fill="auto"/>
                  <w:vAlign w:val="center"/>
                </w:tcPr>
                <w:p w14:paraId="34ED9FD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eastAsia="宋体" w:cs="Times New Roman"/>
                      <w:kern w:val="0"/>
                      <w:szCs w:val="21"/>
                    </w:rPr>
                    <w:t>3</w:t>
                  </w:r>
                </w:p>
              </w:tc>
              <w:tc>
                <w:tcPr>
                  <w:tcW w:w="3370" w:type="dxa"/>
                  <w:tcBorders>
                    <w:top w:val="single" w:color="auto" w:sz="6" w:space="0"/>
                    <w:left w:val="single" w:color="auto" w:sz="6" w:space="0"/>
                    <w:bottom w:val="single" w:color="auto" w:sz="12" w:space="0"/>
                    <w:right w:val="single" w:color="auto" w:sz="6" w:space="0"/>
                  </w:tcBorders>
                  <w:shd w:val="clear" w:color="auto" w:fill="auto"/>
                  <w:vAlign w:val="center"/>
                </w:tcPr>
                <w:p w14:paraId="6A4CA9E6">
                  <w:pPr>
                    <w:pStyle w:val="14"/>
                    <w:keepNext w:val="0"/>
                    <w:keepLines w:val="0"/>
                    <w:suppressLineNumbers w:val="0"/>
                    <w:shd w:val="clear" w:color="auto" w:fill="FFFFFF"/>
                    <w:spacing w:before="0" w:beforeAutospacing="0" w:after="0" w:afterAutospacing="0" w:line="276" w:lineRule="auto"/>
                    <w:ind w:left="0" w:right="0"/>
                    <w:jc w:val="center"/>
                    <w:rPr>
                      <w:rFonts w:hint="default" w:ascii="Times New Roman" w:cs="Times New Roman"/>
                      <w:kern w:val="0"/>
                      <w:szCs w:val="21"/>
                      <w:shd w:val="clear" w:color="auto" w:fill="FFFFFF"/>
                    </w:rPr>
                  </w:pPr>
                  <w:r>
                    <w:rPr>
                      <w:rFonts w:hint="default" w:ascii="Times New Roman" w:hAnsi="Times New Roman"/>
                      <w:kern w:val="0"/>
                      <w:sz w:val="21"/>
                      <w:szCs w:val="21"/>
                      <w:shd w:val="clear" w:color="auto" w:fill="FFFFFF"/>
                    </w:rPr>
                    <w:t>筑牢源头防线。围绕危废专项整治三年行动，加快推进重点涉危企业环保智能监控体系建设，在涉危重点企业安装视频监控、智能地磅、电子液位计等设备，集成视频、称重、贮存、工况和排放等数据，实时监控危险废物产生、处置、流向，数据实时同步上传至安徽省固体废物动态信息管理平台</w:t>
                  </w:r>
                </w:p>
              </w:tc>
              <w:tc>
                <w:tcPr>
                  <w:tcW w:w="2180" w:type="dxa"/>
                  <w:tcBorders>
                    <w:top w:val="single" w:color="auto" w:sz="6" w:space="0"/>
                    <w:left w:val="single" w:color="auto" w:sz="6" w:space="0"/>
                    <w:bottom w:val="single" w:color="auto" w:sz="12" w:space="0"/>
                    <w:right w:val="single" w:color="auto" w:sz="6" w:space="0"/>
                  </w:tcBorders>
                  <w:shd w:val="clear" w:color="auto" w:fill="auto"/>
                  <w:vAlign w:val="center"/>
                </w:tcPr>
                <w:p w14:paraId="0EA0C65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eastAsia" w:ascii="Times New Roman" w:hAnsi="Times New Roman" w:eastAsia="宋体" w:cs="宋体"/>
                      <w:kern w:val="0"/>
                      <w:szCs w:val="21"/>
                    </w:rPr>
                    <w:t>本项目危险废物收集后暂存于危废暂存间，定期委托有资质的单位处置</w:t>
                  </w:r>
                </w:p>
              </w:tc>
              <w:tc>
                <w:tcPr>
                  <w:tcW w:w="908" w:type="dxa"/>
                  <w:tcBorders>
                    <w:top w:val="single" w:color="auto" w:sz="6" w:space="0"/>
                    <w:left w:val="single" w:color="auto" w:sz="6" w:space="0"/>
                    <w:bottom w:val="single" w:color="auto" w:sz="12" w:space="0"/>
                    <w:right w:val="nil"/>
                  </w:tcBorders>
                  <w:shd w:val="clear" w:color="auto" w:fill="auto"/>
                  <w:vAlign w:val="center"/>
                </w:tcPr>
                <w:p w14:paraId="592D41A2">
                  <w:pPr>
                    <w:keepNext w:val="0"/>
                    <w:keepLines w:val="0"/>
                    <w:suppressLineNumbers w:val="0"/>
                    <w:spacing w:before="0" w:beforeAutospacing="0" w:after="0" w:afterAutospacing="0" w:line="276" w:lineRule="auto"/>
                    <w:ind w:left="0" w:right="0"/>
                    <w:jc w:val="center"/>
                    <w:rPr>
                      <w:rFonts w:hint="default" w:ascii="Times New Roman" w:hAnsi="Calibri" w:cs="Times New Roman"/>
                      <w:kern w:val="0"/>
                      <w:szCs w:val="21"/>
                    </w:rPr>
                  </w:pPr>
                  <w:r>
                    <w:rPr>
                      <w:rFonts w:hint="eastAsia" w:ascii="Times New Roman" w:hAnsi="Calibri" w:eastAsia="宋体" w:cs="宋体"/>
                      <w:kern w:val="0"/>
                      <w:szCs w:val="21"/>
                    </w:rPr>
                    <w:t>符合</w:t>
                  </w:r>
                </w:p>
              </w:tc>
            </w:tr>
          </w:tbl>
          <w:p w14:paraId="5A14FB43">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kern w:val="0"/>
                <w:sz w:val="24"/>
                <w:szCs w:val="24"/>
              </w:rPr>
            </w:pPr>
            <w:r>
              <w:rPr>
                <w:rFonts w:hint="eastAsia" w:ascii="Times New Roman" w:hAnsi="Times New Roman" w:cs="Times New Roman"/>
                <w:b/>
                <w:kern w:val="0"/>
                <w:sz w:val="24"/>
                <w:szCs w:val="24"/>
              </w:rPr>
              <w:t>4</w:t>
            </w:r>
            <w:r>
              <w:rPr>
                <w:rFonts w:hint="default" w:ascii="Times New Roman" w:hAnsi="Times New Roman" w:cs="Times New Roman"/>
                <w:b/>
                <w:kern w:val="0"/>
                <w:sz w:val="24"/>
                <w:szCs w:val="24"/>
              </w:rPr>
              <w:t>、与《安徽省淮河流域水污染防治条例》相符性分析</w:t>
            </w:r>
          </w:p>
          <w:p w14:paraId="49331CAD">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szCs w:val="24"/>
              </w:rPr>
              <w:t>表1-</w:t>
            </w:r>
            <w:r>
              <w:rPr>
                <w:rFonts w:hint="eastAsia" w:ascii="Times New Roman" w:hAnsi="Times New Roman" w:eastAsia="黑体" w:cs="Times New Roman"/>
                <w:kern w:val="0"/>
                <w:sz w:val="24"/>
                <w:szCs w:val="24"/>
              </w:rPr>
              <w:t xml:space="preserve">3  </w:t>
            </w:r>
            <w:r>
              <w:rPr>
                <w:rFonts w:hint="default" w:ascii="Times New Roman" w:hAnsi="Times New Roman" w:eastAsia="黑体" w:cs="Times New Roman"/>
                <w:kern w:val="0"/>
                <w:sz w:val="24"/>
              </w:rPr>
              <w:t>与《安徽省淮河流域水污染防治条例》相符性分析</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4"/>
              <w:gridCol w:w="3333"/>
              <w:gridCol w:w="2894"/>
              <w:gridCol w:w="473"/>
            </w:tblGrid>
            <w:tr w14:paraId="347849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7" w:type="dxa"/>
                  <w:shd w:val="clear" w:color="auto" w:fill="auto"/>
                  <w:vAlign w:val="center"/>
                </w:tcPr>
                <w:p w14:paraId="3B84CC2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序号</w:t>
                  </w:r>
                </w:p>
              </w:tc>
              <w:tc>
                <w:tcPr>
                  <w:tcW w:w="3460" w:type="dxa"/>
                  <w:shd w:val="clear" w:color="auto" w:fill="auto"/>
                  <w:vAlign w:val="center"/>
                </w:tcPr>
                <w:p w14:paraId="01FB55F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措施内容</w:t>
                  </w:r>
                </w:p>
              </w:tc>
              <w:tc>
                <w:tcPr>
                  <w:tcW w:w="3000" w:type="dxa"/>
                  <w:shd w:val="clear" w:color="auto" w:fill="auto"/>
                  <w:vAlign w:val="center"/>
                </w:tcPr>
                <w:p w14:paraId="08C6ED2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本项目措施</w:t>
                  </w:r>
                </w:p>
              </w:tc>
              <w:tc>
                <w:tcPr>
                  <w:tcW w:w="475" w:type="dxa"/>
                  <w:shd w:val="clear" w:color="auto" w:fill="auto"/>
                  <w:vAlign w:val="center"/>
                </w:tcPr>
                <w:p w14:paraId="6BFF721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相符性</w:t>
                  </w:r>
                </w:p>
              </w:tc>
            </w:tr>
            <w:tr w14:paraId="77BF17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7" w:type="dxa"/>
                  <w:shd w:val="clear" w:color="auto" w:fill="auto"/>
                  <w:vAlign w:val="center"/>
                </w:tcPr>
                <w:p w14:paraId="21897E9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3460" w:type="dxa"/>
                  <w:shd w:val="clear" w:color="auto" w:fill="auto"/>
                  <w:vAlign w:val="center"/>
                </w:tcPr>
                <w:p w14:paraId="5B13AA7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3000" w:type="dxa"/>
                  <w:shd w:val="clear" w:color="auto" w:fill="auto"/>
                  <w:vAlign w:val="center"/>
                </w:tcPr>
                <w:p w14:paraId="2EE04F4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本项目</w:t>
                  </w:r>
                  <w:r>
                    <w:rPr>
                      <w:rFonts w:hint="eastAsia" w:ascii="Times New Roman" w:hAnsi="Times New Roman" w:cs="Times New Roman"/>
                      <w:kern w:val="0"/>
                      <w:szCs w:val="21"/>
                      <w:lang w:val="en-US" w:eastAsia="zh-CN"/>
                    </w:rPr>
                    <w:t>产品为</w:t>
                  </w:r>
                  <w:r>
                    <w:rPr>
                      <w:rFonts w:hint="default" w:ascii="Times New Roman" w:hAnsi="Times New Roman" w:cs="Times New Roman"/>
                      <w:kern w:val="0"/>
                      <w:szCs w:val="21"/>
                    </w:rPr>
                    <w:t>硅胶干燥剂、分子筛干燥剂、活性炭干燥剂、氧气指示剂、二氧化碳指示剂、脱氧剂，</w:t>
                  </w:r>
                  <w:r>
                    <w:rPr>
                      <w:rFonts w:hint="eastAsia" w:ascii="Times New Roman" w:hAnsi="Times New Roman" w:cs="Times New Roman"/>
                      <w:kern w:val="0"/>
                      <w:szCs w:val="21"/>
                      <w:lang w:val="en-US" w:eastAsia="zh-CN"/>
                    </w:rPr>
                    <w:t>仅涉及原料的分装，</w:t>
                  </w:r>
                  <w:r>
                    <w:rPr>
                      <w:rFonts w:hint="default" w:ascii="Times New Roman" w:hAnsi="Times New Roman" w:eastAsia="宋体" w:cs="Times New Roman"/>
                      <w:kern w:val="0"/>
                      <w:szCs w:val="21"/>
                    </w:rPr>
                    <w:t>企业不属于印染、制革、化工、电镀、酿造等污染严重的小型企业。</w:t>
                  </w:r>
                  <w:r>
                    <w:rPr>
                      <w:rFonts w:hint="default" w:ascii="Times New Roman" w:hAnsi="Times New Roman" w:cs="Times New Roman"/>
                      <w:kern w:val="0"/>
                      <w:szCs w:val="21"/>
                    </w:rPr>
                    <w:t>项目已取得淮南高新技术产业开发区管理委员会经济发展局备案</w:t>
                  </w:r>
                </w:p>
              </w:tc>
              <w:tc>
                <w:tcPr>
                  <w:tcW w:w="475" w:type="dxa"/>
                  <w:shd w:val="clear" w:color="auto" w:fill="auto"/>
                  <w:vAlign w:val="center"/>
                </w:tcPr>
                <w:p w14:paraId="51760C9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符合</w:t>
                  </w:r>
                </w:p>
              </w:tc>
            </w:tr>
            <w:tr w14:paraId="2EA063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7" w:type="dxa"/>
                  <w:shd w:val="clear" w:color="auto" w:fill="auto"/>
                  <w:vAlign w:val="center"/>
                </w:tcPr>
                <w:p w14:paraId="3B9E5C7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shd w:val="clear" w:color="auto" w:fill="FFFFFF"/>
                    </w:rPr>
                  </w:pPr>
                  <w:r>
                    <w:rPr>
                      <w:rFonts w:hint="default" w:ascii="Times New Roman" w:hAnsi="Times New Roman" w:cs="Times New Roman"/>
                      <w:kern w:val="0"/>
                      <w:szCs w:val="21"/>
                      <w:shd w:val="clear" w:color="auto" w:fill="FFFFFF"/>
                    </w:rPr>
                    <w:t>2</w:t>
                  </w:r>
                </w:p>
              </w:tc>
              <w:tc>
                <w:tcPr>
                  <w:tcW w:w="3460" w:type="dxa"/>
                  <w:shd w:val="clear" w:color="auto" w:fill="auto"/>
                  <w:vAlign w:val="center"/>
                </w:tcPr>
                <w:p w14:paraId="48AE313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在淮河流域城市公共排水设施覆盖区域内，应当实行雨水、污水分流；排水户应当将雨水、污水分别排入公共雨水、污水管网及其附属设施</w:t>
                  </w:r>
                </w:p>
              </w:tc>
              <w:tc>
                <w:tcPr>
                  <w:tcW w:w="3000" w:type="dxa"/>
                  <w:shd w:val="clear" w:color="auto" w:fill="auto"/>
                  <w:vAlign w:val="center"/>
                </w:tcPr>
                <w:p w14:paraId="75FC2F4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kern w:val="0"/>
                      <w:szCs w:val="21"/>
                      <w:highlight w:val="none"/>
                      <w:shd w:val="clear" w:color="auto" w:fill="FFFFFF"/>
                    </w:rPr>
                  </w:pPr>
                  <w:r>
                    <w:rPr>
                      <w:rFonts w:hint="eastAsia" w:ascii="Times New Roman" w:hAnsi="Times New Roman" w:cs="Times New Roman"/>
                      <w:kern w:val="0"/>
                      <w:highlight w:val="none"/>
                    </w:rPr>
                    <w:t>后段清洗废水和保洁废水经pH调节后与经化粪池处理后的生活污水一起排入山南新区污水处理厂</w:t>
                  </w:r>
                </w:p>
              </w:tc>
              <w:tc>
                <w:tcPr>
                  <w:tcW w:w="475" w:type="dxa"/>
                  <w:shd w:val="clear" w:color="auto" w:fill="auto"/>
                  <w:vAlign w:val="center"/>
                </w:tcPr>
                <w:p w14:paraId="4D7CBB4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符合</w:t>
                  </w:r>
                </w:p>
              </w:tc>
            </w:tr>
          </w:tbl>
          <w:p w14:paraId="4760525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宋体"/>
                <w:kern w:val="0"/>
                <w:sz w:val="24"/>
                <w:szCs w:val="24"/>
              </w:rPr>
            </w:pPr>
            <w:r>
              <w:rPr>
                <w:rFonts w:hint="eastAsia" w:ascii="Times New Roman" w:hAnsi="Times New Roman" w:eastAsia="宋体" w:cs="宋体"/>
                <w:kern w:val="0"/>
                <w:sz w:val="24"/>
                <w:szCs w:val="24"/>
              </w:rPr>
              <w:t>根据上表可知，本项目与</w:t>
            </w:r>
            <w:r>
              <w:rPr>
                <w:rFonts w:hint="default" w:ascii="Times New Roman" w:hAnsi="Times New Roman" w:eastAsia="宋体" w:cs="宋体"/>
                <w:kern w:val="0"/>
                <w:sz w:val="24"/>
                <w:szCs w:val="24"/>
              </w:rPr>
              <w:t>《安徽省淮河流域水污染防治条例》</w:t>
            </w:r>
            <w:r>
              <w:rPr>
                <w:rFonts w:hint="eastAsia" w:ascii="Times New Roman" w:hAnsi="Times New Roman" w:eastAsia="宋体" w:cs="宋体"/>
                <w:kern w:val="0"/>
                <w:sz w:val="24"/>
                <w:szCs w:val="24"/>
              </w:rPr>
              <w:t>中的规定相符。</w:t>
            </w:r>
          </w:p>
          <w:p w14:paraId="5C986342">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kern w:val="0"/>
                <w:sz w:val="24"/>
              </w:rPr>
            </w:pPr>
            <w:r>
              <w:rPr>
                <w:rFonts w:hint="eastAsia" w:ascii="Times New Roman" w:hAnsi="Times New Roman" w:cs="Times New Roman"/>
                <w:b/>
                <w:kern w:val="0"/>
                <w:sz w:val="24"/>
                <w:szCs w:val="24"/>
                <w:lang w:val="en-US" w:eastAsia="zh-CN"/>
              </w:rPr>
              <w:t>5</w:t>
            </w:r>
            <w:r>
              <w:rPr>
                <w:rFonts w:hint="eastAsia" w:ascii="Times New Roman" w:hAnsi="Times New Roman" w:cs="Times New Roman"/>
                <w:b/>
                <w:kern w:val="0"/>
                <w:sz w:val="24"/>
                <w:szCs w:val="24"/>
              </w:rPr>
              <w:t>、</w:t>
            </w:r>
            <w:r>
              <w:rPr>
                <w:rFonts w:hint="eastAsia" w:ascii="Times New Roman" w:hAnsi="Times New Roman" w:cs="Times New Roman"/>
                <w:b/>
                <w:kern w:val="0"/>
                <w:sz w:val="24"/>
              </w:rPr>
              <w:t>“三线一单”符合性分析</w:t>
            </w:r>
          </w:p>
          <w:p w14:paraId="4864EE4F">
            <w:pPr>
              <w:keepNext w:val="0"/>
              <w:keepLines w:val="0"/>
              <w:suppressLineNumbers w:val="0"/>
              <w:spacing w:before="0" w:beforeAutospacing="0" w:after="0" w:afterAutospacing="0" w:line="360" w:lineRule="auto"/>
              <w:ind w:left="0" w:right="0" w:firstLine="480" w:firstLineChars="200"/>
              <w:rPr>
                <w:rFonts w:hint="default" w:ascii="Times New Roman"/>
                <w:spacing w:val="-2"/>
                <w:sz w:val="24"/>
              </w:rPr>
            </w:pPr>
            <w:r>
              <w:rPr>
                <w:rFonts w:hint="default" w:ascii="Times New Roman" w:hAnsi="Times New Roman"/>
                <w:sz w:val="24"/>
              </w:rPr>
              <w:t>根据中南安全环境技术研究院股份有限公司《</w:t>
            </w:r>
            <w:r>
              <w:rPr>
                <w:rFonts w:hint="eastAsia" w:ascii="Times New Roman" w:hAnsi="Times New Roman"/>
                <w:sz w:val="24"/>
              </w:rPr>
              <w:t>淮南市</w:t>
            </w:r>
            <w:r>
              <w:rPr>
                <w:rFonts w:hint="default" w:ascii="Times New Roman" w:hAnsi="Times New Roman"/>
                <w:sz w:val="24"/>
              </w:rPr>
              <w:t>生态环境分区管控成果动态更新准入清单》</w:t>
            </w:r>
            <w:r>
              <w:rPr>
                <w:rFonts w:hint="eastAsia" w:ascii="Times New Roman"/>
                <w:spacing w:val="-2"/>
                <w:sz w:val="24"/>
              </w:rPr>
              <w:t>，</w:t>
            </w:r>
            <w:r>
              <w:rPr>
                <w:rFonts w:hint="default" w:ascii="Times New Roman" w:hAnsi="Times New Roman"/>
                <w:sz w:val="24"/>
              </w:rPr>
              <w:t>项目“三线一单”符合性分析见下表。</w:t>
            </w:r>
          </w:p>
          <w:p w14:paraId="2CF69AE2">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08CBF805">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31A1CD14">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25693F6F">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24A51976">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0EB146D3">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03F0162F">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r>
              <w:rPr>
                <w:rFonts w:hint="default" w:ascii="Times New Roman" w:hAnsi="Times New Roman" w:eastAsia="黑体"/>
                <w:kern w:val="0"/>
                <w:sz w:val="24"/>
                <w:szCs w:val="24"/>
              </w:rPr>
              <w:t>表1-</w:t>
            </w:r>
            <w:r>
              <w:rPr>
                <w:rFonts w:hint="eastAsia" w:ascii="Times New Roman" w:hAnsi="Times New Roman" w:eastAsia="黑体"/>
                <w:kern w:val="0"/>
                <w:sz w:val="24"/>
                <w:szCs w:val="24"/>
                <w:lang w:val="en-US" w:eastAsia="zh-CN"/>
              </w:rPr>
              <w:t>4</w:t>
            </w:r>
            <w:r>
              <w:rPr>
                <w:rFonts w:hint="eastAsia" w:ascii="Times New Roman" w:hAnsi="Times New Roman" w:eastAsia="黑体"/>
                <w:kern w:val="0"/>
                <w:sz w:val="24"/>
                <w:szCs w:val="24"/>
              </w:rPr>
              <w:t xml:space="preserve">  </w:t>
            </w:r>
            <w:r>
              <w:rPr>
                <w:rFonts w:hint="default" w:ascii="Times New Roman" w:hAnsi="Times New Roman" w:eastAsia="黑体"/>
                <w:kern w:val="0"/>
                <w:sz w:val="24"/>
                <w:szCs w:val="24"/>
              </w:rPr>
              <w:t>项目与</w:t>
            </w:r>
            <w:r>
              <w:rPr>
                <w:rFonts w:hint="default" w:ascii="Times New Roman" w:hAnsi="Times New Roman"/>
                <w:kern w:val="0"/>
                <w:sz w:val="24"/>
                <w:szCs w:val="24"/>
              </w:rPr>
              <w:t>“</w:t>
            </w:r>
            <w:r>
              <w:rPr>
                <w:rFonts w:hint="default" w:ascii="Times New Roman" w:hAnsi="Times New Roman" w:eastAsia="黑体"/>
                <w:kern w:val="0"/>
                <w:sz w:val="24"/>
                <w:szCs w:val="24"/>
              </w:rPr>
              <w:t>三线一单</w:t>
            </w:r>
            <w:r>
              <w:rPr>
                <w:rFonts w:hint="default" w:ascii="Times New Roman" w:hAnsi="Times New Roman"/>
                <w:kern w:val="0"/>
                <w:sz w:val="24"/>
                <w:szCs w:val="24"/>
              </w:rPr>
              <w:t>”</w:t>
            </w:r>
            <w:r>
              <w:rPr>
                <w:rFonts w:hint="default" w:ascii="Times New Roman" w:hAnsi="Times New Roman" w:eastAsia="黑体"/>
                <w:kern w:val="0"/>
                <w:sz w:val="24"/>
                <w:szCs w:val="24"/>
              </w:rPr>
              <w:t>符合性分析</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99"/>
              <w:gridCol w:w="3475"/>
            </w:tblGrid>
            <w:tr w14:paraId="02293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8" w:type="pct"/>
                  <w:vAlign w:val="center"/>
                </w:tcPr>
                <w:p w14:paraId="7B5D32C1">
                  <w:pPr>
                    <w:keepNext w:val="0"/>
                    <w:keepLines w:val="0"/>
                    <w:suppressLineNumbers w:val="0"/>
                    <w:spacing w:before="0" w:beforeAutospacing="0" w:after="0" w:afterAutospacing="0" w:line="276" w:lineRule="auto"/>
                    <w:ind w:left="0" w:right="0"/>
                    <w:jc w:val="center"/>
                    <w:rPr>
                      <w:rFonts w:hint="default" w:ascii="Times New Roman" w:hAnsi="Times New Roman"/>
                      <w:b/>
                      <w:szCs w:val="21"/>
                    </w:rPr>
                  </w:pPr>
                  <w:r>
                    <w:rPr>
                      <w:rFonts w:hint="eastAsia" w:ascii="Times New Roman" w:hAnsi="Times New Roman"/>
                      <w:b/>
                      <w:szCs w:val="21"/>
                    </w:rPr>
                    <w:t>淮南市</w:t>
                  </w:r>
                  <w:r>
                    <w:rPr>
                      <w:rFonts w:hint="default" w:ascii="Times New Roman" w:hAnsi="Times New Roman"/>
                      <w:b/>
                      <w:szCs w:val="21"/>
                    </w:rPr>
                    <w:t>生态环境分区管控成果动态更新准入清单</w:t>
                  </w:r>
                </w:p>
              </w:tc>
              <w:tc>
                <w:tcPr>
                  <w:tcW w:w="2422" w:type="pct"/>
                  <w:vAlign w:val="center"/>
                </w:tcPr>
                <w:p w14:paraId="0B1CFDB7">
                  <w:pPr>
                    <w:keepNext w:val="0"/>
                    <w:keepLines w:val="0"/>
                    <w:suppressLineNumbers w:val="0"/>
                    <w:spacing w:before="0" w:beforeAutospacing="0" w:after="0" w:afterAutospacing="0" w:line="276" w:lineRule="auto"/>
                    <w:ind w:left="0" w:right="0"/>
                    <w:jc w:val="center"/>
                    <w:rPr>
                      <w:rFonts w:hint="default" w:ascii="Times New Roman" w:hAnsi="Times New Roman"/>
                      <w:b/>
                      <w:szCs w:val="21"/>
                    </w:rPr>
                  </w:pPr>
                  <w:r>
                    <w:rPr>
                      <w:rFonts w:hint="default" w:ascii="Times New Roman" w:hAnsi="Times New Roman"/>
                      <w:b/>
                      <w:szCs w:val="21"/>
                    </w:rPr>
                    <w:t>项目符合性分析</w:t>
                  </w:r>
                </w:p>
              </w:tc>
            </w:tr>
            <w:tr w14:paraId="62289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8" w:type="pct"/>
                  <w:vAlign w:val="center"/>
                </w:tcPr>
                <w:p w14:paraId="1D6BC33F">
                  <w:pPr>
                    <w:keepNext w:val="0"/>
                    <w:keepLines w:val="0"/>
                    <w:suppressLineNumbers w:val="0"/>
                    <w:spacing w:before="0" w:beforeAutospacing="0" w:after="0" w:afterAutospacing="0" w:line="276" w:lineRule="auto"/>
                    <w:ind w:left="0" w:right="0"/>
                    <w:jc w:val="center"/>
                    <w:rPr>
                      <w:rFonts w:hint="default" w:ascii="Times New Roman" w:hAnsi="Times New Roman"/>
                      <w:b/>
                      <w:szCs w:val="21"/>
                    </w:rPr>
                  </w:pPr>
                  <w:r>
                    <w:rPr>
                      <w:rFonts w:hint="eastAsia" w:ascii="Times New Roman" w:hAnsi="Times New Roman"/>
                      <w:szCs w:val="21"/>
                      <w:lang w:val="zh-CN"/>
                    </w:rPr>
                    <w:t>全市范围内严禁违规新增钢铁、焦化、水泥熟料、平板玻璃、电解铝、氧化铝、煤化工产能，合理控制煤制油气产能规模。未纳入国家有关领域产业规划的，一律不得新建改扩建炼油和新建乙烯、对二甲苯、煤制烯烃项目。</w:t>
                  </w:r>
                </w:p>
              </w:tc>
              <w:tc>
                <w:tcPr>
                  <w:tcW w:w="2422" w:type="pct"/>
                  <w:vAlign w:val="center"/>
                </w:tcPr>
                <w:p w14:paraId="20B139E9">
                  <w:pPr>
                    <w:keepNext w:val="0"/>
                    <w:keepLines w:val="0"/>
                    <w:suppressLineNumbers w:val="0"/>
                    <w:spacing w:before="0" w:beforeAutospacing="0" w:after="0" w:afterAutospacing="0" w:line="276" w:lineRule="auto"/>
                    <w:ind w:left="0" w:right="0"/>
                    <w:jc w:val="center"/>
                    <w:rPr>
                      <w:rFonts w:hint="default" w:ascii="Times New Roman" w:hAnsi="Times New Roman"/>
                      <w:b/>
                      <w:szCs w:val="21"/>
                    </w:rPr>
                  </w:pPr>
                  <w:r>
                    <w:rPr>
                      <w:rFonts w:hint="default" w:ascii="Times New Roman" w:hAnsi="Times New Roman"/>
                      <w:szCs w:val="21"/>
                      <w:lang w:val="zh-CN"/>
                    </w:rPr>
                    <w:t>本项目主要产品为</w:t>
                  </w:r>
                  <w:r>
                    <w:rPr>
                      <w:rFonts w:hint="eastAsia" w:ascii="Times New Roman" w:hAnsi="Times New Roman"/>
                      <w:szCs w:val="21"/>
                      <w:lang w:val="zh-CN"/>
                    </w:rPr>
                    <w:t>硅胶干燥剂、分子筛干燥剂、活性炭干燥剂、氧气指示剂、二氧化碳指示剂、脱氧剂</w:t>
                  </w:r>
                  <w:r>
                    <w:rPr>
                      <w:rFonts w:hint="default" w:ascii="Times New Roman" w:hAnsi="Times New Roman"/>
                      <w:szCs w:val="21"/>
                      <w:lang w:val="zh-CN"/>
                    </w:rPr>
                    <w:t>，不属于</w:t>
                  </w:r>
                  <w:r>
                    <w:rPr>
                      <w:rFonts w:hint="eastAsia" w:ascii="Times New Roman" w:hAnsi="Times New Roman"/>
                      <w:szCs w:val="21"/>
                      <w:lang w:val="zh-CN"/>
                    </w:rPr>
                    <w:t>钢铁、焦化、水泥熟料、平板玻璃、电解铝、氧化铝、煤化工产能行业</w:t>
                  </w:r>
                </w:p>
              </w:tc>
            </w:tr>
            <w:tr w14:paraId="1806C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8" w:type="pct"/>
                  <w:vAlign w:val="center"/>
                </w:tcPr>
                <w:p w14:paraId="618A03F4">
                  <w:pPr>
                    <w:keepNext w:val="0"/>
                    <w:keepLines w:val="0"/>
                    <w:suppressLineNumbers w:val="0"/>
                    <w:spacing w:before="0" w:beforeAutospacing="0" w:after="0" w:afterAutospacing="0" w:line="276" w:lineRule="auto"/>
                    <w:ind w:left="0" w:right="0"/>
                    <w:jc w:val="center"/>
                    <w:rPr>
                      <w:rFonts w:hint="default" w:ascii="Times New Roman" w:hAnsi="Times New Roman"/>
                      <w:kern w:val="0"/>
                      <w:szCs w:val="21"/>
                      <w:lang w:val="zh-CN"/>
                    </w:rPr>
                  </w:pPr>
                  <w:r>
                    <w:rPr>
                      <w:rFonts w:hint="eastAsia" w:ascii="Times New Roman" w:hAnsi="Times New Roman"/>
                      <w:kern w:val="0"/>
                      <w:szCs w:val="21"/>
                      <w:lang w:val="zh-CN"/>
                    </w:rPr>
                    <w:t>现有经济开发区等工业集中区应实施热电联产或集中供热改造，将工业企业纳入集中供热范围，逐步淘汰分散燃煤锅炉，核准审批新建热电联产项目要求关停的燃煤锅炉必须按期淘汰。</w:t>
                  </w:r>
                </w:p>
              </w:tc>
              <w:tc>
                <w:tcPr>
                  <w:tcW w:w="2422" w:type="pct"/>
                  <w:vAlign w:val="center"/>
                </w:tcPr>
                <w:p w14:paraId="6C7CFAA6">
                  <w:pPr>
                    <w:keepNext w:val="0"/>
                    <w:keepLines w:val="0"/>
                    <w:suppressLineNumbers w:val="0"/>
                    <w:spacing w:before="0" w:beforeAutospacing="0" w:after="0" w:afterAutospacing="0" w:line="276" w:lineRule="auto"/>
                    <w:ind w:left="0" w:right="0"/>
                    <w:jc w:val="center"/>
                    <w:rPr>
                      <w:rFonts w:hint="default" w:ascii="Times New Roman" w:hAnsi="Times New Roman"/>
                      <w:kern w:val="0"/>
                      <w:szCs w:val="21"/>
                    </w:rPr>
                  </w:pPr>
                  <w:r>
                    <w:rPr>
                      <w:rFonts w:hint="eastAsia" w:ascii="Times New Roman" w:hAnsi="Times New Roman"/>
                      <w:kern w:val="0"/>
                      <w:szCs w:val="21"/>
                    </w:rPr>
                    <w:t>本项目生产过程中不涉及供热，</w:t>
                  </w:r>
                  <w:r>
                    <w:rPr>
                      <w:rFonts w:hint="eastAsia" w:ascii="Times New Roman"/>
                      <w:kern w:val="0"/>
                    </w:rPr>
                    <w:t>不涉及燃煤锅炉的使用</w:t>
                  </w:r>
                </w:p>
              </w:tc>
            </w:tr>
          </w:tbl>
          <w:p w14:paraId="66BEED62">
            <w:pPr>
              <w:keepNext w:val="0"/>
              <w:keepLines w:val="0"/>
              <w:suppressLineNumbers w:val="0"/>
              <w:spacing w:before="0" w:beforeAutospacing="0" w:after="0" w:afterAutospacing="0" w:line="360" w:lineRule="auto"/>
              <w:ind w:left="0" w:right="0" w:firstLine="482" w:firstLineChars="200"/>
              <w:rPr>
                <w:rFonts w:hint="default" w:ascii="Times New Roman" w:hAnsi="Times New Roman"/>
                <w:b/>
                <w:kern w:val="0"/>
                <w:sz w:val="24"/>
                <w:szCs w:val="24"/>
              </w:rPr>
            </w:pPr>
            <w:r>
              <w:rPr>
                <w:rFonts w:hint="eastAsia" w:ascii="Times New Roman" w:hAnsi="Times New Roman" w:cs="Times New Roman"/>
                <w:b/>
                <w:bCs/>
                <w:kern w:val="0"/>
                <w:sz w:val="24"/>
                <w:szCs w:val="24"/>
                <w:lang w:val="en-US" w:eastAsia="zh-CN"/>
              </w:rPr>
              <w:t>6</w:t>
            </w:r>
            <w:r>
              <w:rPr>
                <w:rFonts w:hint="eastAsia" w:ascii="Times New Roman" w:hAnsi="Times New Roman" w:cs="Times New Roman"/>
                <w:b/>
                <w:bCs/>
                <w:kern w:val="0"/>
                <w:sz w:val="24"/>
                <w:szCs w:val="24"/>
              </w:rPr>
              <w:t>、</w:t>
            </w:r>
            <w:r>
              <w:rPr>
                <w:rFonts w:hint="eastAsia" w:ascii="Times New Roman" w:hAnsi="Times New Roman"/>
                <w:b/>
                <w:bCs/>
                <w:kern w:val="0"/>
                <w:sz w:val="24"/>
                <w:szCs w:val="24"/>
              </w:rPr>
              <w:t>分区</w:t>
            </w:r>
            <w:r>
              <w:rPr>
                <w:rFonts w:hint="eastAsia" w:ascii="Times New Roman" w:hAnsi="Times New Roman"/>
                <w:b/>
                <w:kern w:val="0"/>
                <w:sz w:val="24"/>
                <w:szCs w:val="24"/>
              </w:rPr>
              <w:t>管控</w:t>
            </w:r>
            <w:r>
              <w:rPr>
                <w:rFonts w:hint="default" w:ascii="Times New Roman" w:hAnsi="Times New Roman"/>
                <w:b/>
                <w:kern w:val="0"/>
                <w:sz w:val="24"/>
                <w:szCs w:val="24"/>
              </w:rPr>
              <w:t>要求相符性分析</w:t>
            </w:r>
          </w:p>
          <w:p w14:paraId="42A47828">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0"/>
                <w:sz w:val="24"/>
                <w:szCs w:val="24"/>
              </w:rPr>
            </w:pPr>
            <w:r>
              <w:rPr>
                <w:rFonts w:hint="eastAsia" w:ascii="Times New Roman" w:hAnsi="Times New Roman"/>
                <w:kern w:val="0"/>
                <w:sz w:val="24"/>
                <w:szCs w:val="24"/>
              </w:rPr>
              <w:t>根据安徽省“三线一单”公众服务平台查询，本项目所在区域环境管控单元编码为：ZH34040320026，与“三线一单”成果数据分析，与1个环境管控单元存在交叠，其中优先保护类0个，重点管控类1个，一般管控类0个。根据淮南市“三线一单”图集，对照安徽“三线一单”管控要求查询报告内容要求，本次环评筛选了与本项目有关的管控要求单元生态环境准入</w:t>
            </w:r>
            <w:r>
              <w:rPr>
                <w:rFonts w:hint="default" w:ascii="Times New Roman" w:hAnsi="Times New Roman"/>
                <w:kern w:val="0"/>
                <w:sz w:val="24"/>
                <w:szCs w:val="24"/>
              </w:rPr>
              <w:t>清单进行分析，详见</w:t>
            </w:r>
            <w:r>
              <w:rPr>
                <w:rFonts w:hint="eastAsia" w:ascii="Times New Roman" w:hAnsi="Times New Roman"/>
                <w:kern w:val="0"/>
                <w:sz w:val="24"/>
                <w:szCs w:val="24"/>
              </w:rPr>
              <w:t>下表。</w:t>
            </w:r>
          </w:p>
          <w:p w14:paraId="1158B7E0">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r>
              <w:rPr>
                <w:rFonts w:hint="default" w:ascii="Times New Roman" w:hAnsi="Times New Roman" w:eastAsia="黑体"/>
                <w:kern w:val="0"/>
                <w:sz w:val="24"/>
                <w:szCs w:val="24"/>
              </w:rPr>
              <w:t>表1-</w:t>
            </w:r>
            <w:r>
              <w:rPr>
                <w:rFonts w:hint="eastAsia" w:ascii="Times New Roman" w:hAnsi="Times New Roman" w:eastAsia="黑体"/>
                <w:kern w:val="0"/>
                <w:sz w:val="24"/>
                <w:szCs w:val="24"/>
                <w:lang w:val="en-US" w:eastAsia="zh-CN"/>
              </w:rPr>
              <w:t>5</w:t>
            </w:r>
            <w:r>
              <w:rPr>
                <w:rFonts w:hint="eastAsia" w:ascii="Times New Roman" w:hAnsi="Times New Roman" w:eastAsia="黑体"/>
                <w:kern w:val="0"/>
                <w:sz w:val="24"/>
                <w:szCs w:val="24"/>
              </w:rPr>
              <w:t xml:space="preserve">  </w:t>
            </w:r>
            <w:r>
              <w:rPr>
                <w:rFonts w:hint="default" w:ascii="Times New Roman" w:hAnsi="Times New Roman" w:eastAsia="黑体"/>
                <w:kern w:val="0"/>
                <w:sz w:val="24"/>
                <w:szCs w:val="24"/>
              </w:rPr>
              <w:t>项目</w:t>
            </w:r>
            <w:r>
              <w:rPr>
                <w:rFonts w:hint="eastAsia" w:ascii="Times New Roman" w:hAnsi="Times New Roman" w:eastAsia="黑体"/>
                <w:kern w:val="0"/>
                <w:sz w:val="24"/>
                <w:szCs w:val="24"/>
              </w:rPr>
              <w:t>与生态管控单元的</w:t>
            </w:r>
            <w:r>
              <w:rPr>
                <w:rFonts w:hint="default" w:ascii="Times New Roman" w:hAnsi="Times New Roman" w:eastAsia="黑体"/>
                <w:kern w:val="0"/>
                <w:sz w:val="24"/>
                <w:szCs w:val="24"/>
              </w:rPr>
              <w:t>符合性分析</w:t>
            </w:r>
          </w:p>
          <w:tbl>
            <w:tblPr>
              <w:tblStyle w:val="17"/>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615"/>
              <w:gridCol w:w="2795"/>
              <w:gridCol w:w="2197"/>
              <w:gridCol w:w="812"/>
            </w:tblGrid>
            <w:tr w14:paraId="4AC42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14:paraId="2C6F105E">
                  <w:pPr>
                    <w:pStyle w:val="14"/>
                    <w:keepNext w:val="0"/>
                    <w:keepLines w:val="0"/>
                    <w:widowControl w:val="0"/>
                    <w:suppressLineNumbers w:val="0"/>
                    <w:spacing w:before="0" w:beforeAutospacing="0" w:after="0" w:afterAutospacing="0" w:line="276" w:lineRule="auto"/>
                    <w:ind w:left="0" w:right="0"/>
                    <w:jc w:val="center"/>
                    <w:rPr>
                      <w:rFonts w:hint="default"/>
                      <w:b/>
                      <w:bCs/>
                    </w:rPr>
                  </w:pPr>
                  <w:r>
                    <w:rPr>
                      <w:rFonts w:hint="eastAsia" w:ascii="Times New Roman" w:hAnsi="Times New Roman" w:cs="宋体"/>
                      <w:b/>
                      <w:bCs/>
                      <w:sz w:val="21"/>
                      <w:szCs w:val="24"/>
                    </w:rPr>
                    <w:t>区域管控单元名称</w:t>
                  </w:r>
                </w:p>
              </w:tc>
              <w:tc>
                <w:tcPr>
                  <w:tcW w:w="433" w:type="pct"/>
                  <w:shd w:val="clear" w:color="auto" w:fill="auto"/>
                  <w:vAlign w:val="center"/>
                </w:tcPr>
                <w:p w14:paraId="6BD65BC5">
                  <w:pPr>
                    <w:pStyle w:val="14"/>
                    <w:keepNext w:val="0"/>
                    <w:keepLines w:val="0"/>
                    <w:widowControl w:val="0"/>
                    <w:suppressLineNumbers w:val="0"/>
                    <w:spacing w:before="0" w:beforeAutospacing="0" w:after="0" w:afterAutospacing="0" w:line="276" w:lineRule="auto"/>
                    <w:ind w:left="0" w:right="0"/>
                    <w:jc w:val="center"/>
                    <w:rPr>
                      <w:rFonts w:hint="default"/>
                      <w:b/>
                      <w:bCs/>
                    </w:rPr>
                  </w:pPr>
                  <w:r>
                    <w:rPr>
                      <w:rFonts w:hint="eastAsia" w:ascii="Times New Roman" w:hAnsi="Times New Roman" w:cs="宋体"/>
                      <w:b/>
                      <w:bCs/>
                      <w:sz w:val="21"/>
                      <w:szCs w:val="24"/>
                    </w:rPr>
                    <w:t>管控类别</w:t>
                  </w:r>
                </w:p>
              </w:tc>
              <w:tc>
                <w:tcPr>
                  <w:tcW w:w="1968" w:type="pct"/>
                  <w:shd w:val="clear" w:color="auto" w:fill="auto"/>
                  <w:vAlign w:val="center"/>
                </w:tcPr>
                <w:p w14:paraId="63762F3F">
                  <w:pPr>
                    <w:pStyle w:val="14"/>
                    <w:keepNext w:val="0"/>
                    <w:keepLines w:val="0"/>
                    <w:widowControl w:val="0"/>
                    <w:suppressLineNumbers w:val="0"/>
                    <w:spacing w:before="0" w:beforeAutospacing="0" w:after="0" w:afterAutospacing="0" w:line="276" w:lineRule="auto"/>
                    <w:ind w:left="0" w:right="0"/>
                    <w:jc w:val="center"/>
                    <w:rPr>
                      <w:rFonts w:hint="default"/>
                      <w:b/>
                      <w:bCs/>
                    </w:rPr>
                  </w:pPr>
                  <w:r>
                    <w:rPr>
                      <w:rFonts w:hint="eastAsia" w:ascii="Times New Roman" w:hAnsi="Times New Roman" w:cs="宋体"/>
                      <w:b/>
                      <w:bCs/>
                      <w:sz w:val="21"/>
                      <w:szCs w:val="24"/>
                    </w:rPr>
                    <w:t>管控要求</w:t>
                  </w:r>
                </w:p>
              </w:tc>
              <w:tc>
                <w:tcPr>
                  <w:tcW w:w="1547" w:type="pct"/>
                  <w:shd w:val="clear" w:color="auto" w:fill="auto"/>
                  <w:vAlign w:val="center"/>
                </w:tcPr>
                <w:p w14:paraId="0AB5CA1E">
                  <w:pPr>
                    <w:pStyle w:val="14"/>
                    <w:keepNext w:val="0"/>
                    <w:keepLines w:val="0"/>
                    <w:widowControl w:val="0"/>
                    <w:suppressLineNumbers w:val="0"/>
                    <w:spacing w:before="0" w:beforeAutospacing="0" w:after="0" w:afterAutospacing="0" w:line="276" w:lineRule="auto"/>
                    <w:ind w:left="0" w:right="0"/>
                    <w:jc w:val="center"/>
                    <w:rPr>
                      <w:rFonts w:hint="default"/>
                      <w:b/>
                      <w:bCs/>
                    </w:rPr>
                  </w:pPr>
                  <w:r>
                    <w:rPr>
                      <w:rFonts w:hint="eastAsia" w:ascii="Times New Roman" w:hAnsi="Times New Roman" w:cs="宋体"/>
                      <w:b/>
                      <w:bCs/>
                      <w:sz w:val="21"/>
                      <w:szCs w:val="24"/>
                    </w:rPr>
                    <w:t>符合性分析</w:t>
                  </w:r>
                </w:p>
              </w:tc>
              <w:tc>
                <w:tcPr>
                  <w:tcW w:w="572" w:type="pct"/>
                  <w:shd w:val="clear" w:color="auto" w:fill="auto"/>
                  <w:vAlign w:val="center"/>
                </w:tcPr>
                <w:p w14:paraId="229FD256">
                  <w:pPr>
                    <w:pStyle w:val="14"/>
                    <w:keepNext w:val="0"/>
                    <w:keepLines w:val="0"/>
                    <w:widowControl w:val="0"/>
                    <w:suppressLineNumbers w:val="0"/>
                    <w:spacing w:before="0" w:beforeAutospacing="0" w:after="0" w:afterAutospacing="0" w:line="276" w:lineRule="auto"/>
                    <w:ind w:left="0" w:right="0"/>
                    <w:jc w:val="center"/>
                    <w:rPr>
                      <w:rFonts w:hint="default"/>
                      <w:b/>
                      <w:bCs/>
                    </w:rPr>
                  </w:pPr>
                  <w:r>
                    <w:rPr>
                      <w:rFonts w:hint="eastAsia" w:ascii="Times New Roman" w:hAnsi="Times New Roman" w:cs="宋体"/>
                      <w:b/>
                      <w:bCs/>
                      <w:sz w:val="21"/>
                      <w:szCs w:val="24"/>
                    </w:rPr>
                    <w:t>相符性</w:t>
                  </w:r>
                </w:p>
              </w:tc>
            </w:tr>
            <w:tr w14:paraId="7D236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restart"/>
                  <w:shd w:val="clear" w:color="auto" w:fill="auto"/>
                  <w:vAlign w:val="center"/>
                </w:tcPr>
                <w:p w14:paraId="74641C20">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重点管控单元</w:t>
                  </w:r>
                  <w:r>
                    <w:rPr>
                      <w:rFonts w:hint="eastAsia" w:ascii="Times New Roman" w:hAnsi="Times New Roman" w:cs="Times New Roman"/>
                      <w:sz w:val="21"/>
                      <w:szCs w:val="24"/>
                    </w:rPr>
                    <w:t>7</w:t>
                  </w:r>
                </w:p>
              </w:tc>
              <w:tc>
                <w:tcPr>
                  <w:tcW w:w="433" w:type="pct"/>
                  <w:vMerge w:val="restart"/>
                  <w:shd w:val="clear" w:color="auto" w:fill="auto"/>
                  <w:vAlign w:val="center"/>
                </w:tcPr>
                <w:p w14:paraId="56203185">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空间布局约束</w:t>
                  </w:r>
                </w:p>
              </w:tc>
              <w:tc>
                <w:tcPr>
                  <w:tcW w:w="1968" w:type="pct"/>
                  <w:shd w:val="clear" w:color="auto" w:fill="auto"/>
                  <w:vAlign w:val="center"/>
                </w:tcPr>
                <w:p w14:paraId="6CCE7E4D">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3</w:t>
                  </w:r>
                  <w:r>
                    <w:rPr>
                      <w:rFonts w:hint="eastAsia" w:ascii="Times New Roman" w:hAnsi="Times New Roman" w:cs="宋体"/>
                      <w:sz w:val="21"/>
                      <w:szCs w:val="24"/>
                    </w:rPr>
                    <w:t>严禁新增钢铁、焦化、电解铝、铸造、水泥和平板玻璃等产能；严格执行钢铁、水泥、平板玻璃等行业产能置换实施办法。</w:t>
                  </w:r>
                </w:p>
              </w:tc>
              <w:tc>
                <w:tcPr>
                  <w:tcW w:w="1547" w:type="pct"/>
                  <w:shd w:val="clear" w:color="auto" w:fill="auto"/>
                  <w:vAlign w:val="center"/>
                </w:tcPr>
                <w:p w14:paraId="49A434E6">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本项目进行干燥剂的生产，不属于钢铁、焦化、电解铝、铸造、水泥和平板玻璃制造产业</w:t>
                  </w:r>
                </w:p>
              </w:tc>
              <w:tc>
                <w:tcPr>
                  <w:tcW w:w="572" w:type="pct"/>
                  <w:shd w:val="clear" w:color="auto" w:fill="auto"/>
                  <w:vAlign w:val="center"/>
                </w:tcPr>
                <w:p w14:paraId="6096E9DC">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2A9A8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shd w:val="clear" w:color="auto" w:fill="auto"/>
                  <w:vAlign w:val="center"/>
                </w:tcPr>
                <w:p w14:paraId="1B4C3BF0">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continue"/>
                  <w:shd w:val="clear" w:color="auto" w:fill="auto"/>
                  <w:vAlign w:val="center"/>
                </w:tcPr>
                <w:p w14:paraId="1C8529B1">
                  <w:pPr>
                    <w:keepNext w:val="0"/>
                    <w:keepLines w:val="0"/>
                    <w:suppressLineNumbers w:val="0"/>
                    <w:spacing w:before="0" w:beforeAutospacing="0" w:after="0" w:afterAutospacing="0"/>
                    <w:ind w:left="0" w:right="0"/>
                    <w:rPr>
                      <w:rFonts w:hint="default" w:ascii="Calibri" w:hAnsi="Calibri" w:eastAsia="宋体" w:cs="Times New Roman"/>
                    </w:rPr>
                  </w:pPr>
                </w:p>
              </w:tc>
              <w:tc>
                <w:tcPr>
                  <w:tcW w:w="1968" w:type="pct"/>
                  <w:shd w:val="clear" w:color="auto" w:fill="auto"/>
                  <w:vAlign w:val="center"/>
                </w:tcPr>
                <w:p w14:paraId="70C42901">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4</w:t>
                  </w:r>
                  <w:r>
                    <w:rPr>
                      <w:rFonts w:hint="eastAsia" w:ascii="Times New Roman" w:hAnsi="Times New Roman" w:cs="宋体"/>
                      <w:sz w:val="21"/>
                      <w:szCs w:val="24"/>
                    </w:rPr>
                    <w:t>严格执行国家关于“两高”产业准入目录和产能总量控制政策措施。严禁新增钢铁、焦化、电解铝、铸造、水泥和平板玻璃等产能；新、改、扩建涉及大宗物料运输的建设项目，原则上不得采用公路运输。</w:t>
                  </w:r>
                </w:p>
              </w:tc>
              <w:tc>
                <w:tcPr>
                  <w:tcW w:w="1547" w:type="pct"/>
                  <w:shd w:val="clear" w:color="auto" w:fill="auto"/>
                  <w:vAlign w:val="center"/>
                </w:tcPr>
                <w:p w14:paraId="6F0C4D69">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对照《安徽省“两高”项目管理目录（试行）》，本项目不属于“两高”项目。本项目物料运输采用国六标准汽车</w:t>
                  </w:r>
                </w:p>
              </w:tc>
              <w:tc>
                <w:tcPr>
                  <w:tcW w:w="572" w:type="pct"/>
                  <w:shd w:val="clear" w:color="auto" w:fill="auto"/>
                  <w:vAlign w:val="center"/>
                </w:tcPr>
                <w:p w14:paraId="5923F8CE">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03EA2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shd w:val="clear" w:color="auto" w:fill="auto"/>
                  <w:vAlign w:val="center"/>
                </w:tcPr>
                <w:p w14:paraId="419F841A">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continue"/>
                  <w:shd w:val="clear" w:color="auto" w:fill="auto"/>
                  <w:vAlign w:val="center"/>
                </w:tcPr>
                <w:p w14:paraId="3E12C703">
                  <w:pPr>
                    <w:keepNext w:val="0"/>
                    <w:keepLines w:val="0"/>
                    <w:suppressLineNumbers w:val="0"/>
                    <w:spacing w:before="0" w:beforeAutospacing="0" w:after="0" w:afterAutospacing="0"/>
                    <w:ind w:left="0" w:right="0"/>
                    <w:rPr>
                      <w:rFonts w:hint="default" w:ascii="Calibri" w:hAnsi="Calibri" w:eastAsia="宋体" w:cs="Times New Roman"/>
                    </w:rPr>
                  </w:pPr>
                </w:p>
              </w:tc>
              <w:tc>
                <w:tcPr>
                  <w:tcW w:w="1968" w:type="pct"/>
                  <w:shd w:val="clear" w:color="auto" w:fill="auto"/>
                  <w:vAlign w:val="center"/>
                </w:tcPr>
                <w:p w14:paraId="143E83B1">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7</w:t>
                  </w:r>
                  <w:r>
                    <w:rPr>
                      <w:rFonts w:hint="eastAsia" w:ascii="Times New Roman" w:hAnsi="Times New Roman" w:cs="宋体"/>
                      <w:sz w:val="21"/>
                      <w:szCs w:val="24"/>
                    </w:rPr>
                    <w:t>非电行业新建项目，禁止配套建设自备纯凝、抽凝燃煤电站。</w:t>
                  </w:r>
                </w:p>
              </w:tc>
              <w:tc>
                <w:tcPr>
                  <w:tcW w:w="1547" w:type="pct"/>
                  <w:shd w:val="clear" w:color="auto" w:fill="auto"/>
                  <w:vAlign w:val="center"/>
                </w:tcPr>
                <w:p w14:paraId="47C2841E">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本项目不建设燃煤电站</w:t>
                  </w:r>
                </w:p>
              </w:tc>
              <w:tc>
                <w:tcPr>
                  <w:tcW w:w="572" w:type="pct"/>
                  <w:shd w:val="clear" w:color="auto" w:fill="auto"/>
                  <w:vAlign w:val="center"/>
                </w:tcPr>
                <w:p w14:paraId="1ADEC480">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34C4C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shd w:val="clear" w:color="auto" w:fill="auto"/>
                  <w:vAlign w:val="center"/>
                </w:tcPr>
                <w:p w14:paraId="35AA65CE">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continue"/>
                  <w:shd w:val="clear" w:color="auto" w:fill="auto"/>
                  <w:vAlign w:val="center"/>
                </w:tcPr>
                <w:p w14:paraId="0FF883FB">
                  <w:pPr>
                    <w:keepNext w:val="0"/>
                    <w:keepLines w:val="0"/>
                    <w:suppressLineNumbers w:val="0"/>
                    <w:spacing w:before="0" w:beforeAutospacing="0" w:after="0" w:afterAutospacing="0"/>
                    <w:ind w:left="0" w:right="0"/>
                    <w:rPr>
                      <w:rFonts w:hint="default" w:ascii="Calibri" w:hAnsi="Calibri" w:eastAsia="宋体" w:cs="Times New Roman"/>
                    </w:rPr>
                  </w:pPr>
                </w:p>
              </w:tc>
              <w:tc>
                <w:tcPr>
                  <w:tcW w:w="1968" w:type="pct"/>
                  <w:shd w:val="clear" w:color="auto" w:fill="auto"/>
                  <w:vAlign w:val="center"/>
                </w:tcPr>
                <w:p w14:paraId="2EF8443F">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9</w:t>
                  </w:r>
                  <w:r>
                    <w:rPr>
                      <w:rFonts w:hint="eastAsia" w:ascii="Times New Roman" w:hAnsi="Times New Roman" w:cs="宋体"/>
                      <w:sz w:val="21"/>
                      <w:szCs w:val="24"/>
                    </w:rPr>
                    <w:t>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w:t>
                  </w:r>
                </w:p>
              </w:tc>
              <w:tc>
                <w:tcPr>
                  <w:tcW w:w="1547" w:type="pct"/>
                  <w:shd w:val="clear" w:color="auto" w:fill="auto"/>
                  <w:vAlign w:val="center"/>
                </w:tcPr>
                <w:p w14:paraId="7C923A83">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本项目不属于“两高”项目</w:t>
                  </w:r>
                </w:p>
              </w:tc>
              <w:tc>
                <w:tcPr>
                  <w:tcW w:w="572" w:type="pct"/>
                  <w:shd w:val="clear" w:color="auto" w:fill="auto"/>
                  <w:vAlign w:val="center"/>
                </w:tcPr>
                <w:p w14:paraId="712854F7">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37544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shd w:val="clear" w:color="auto" w:fill="auto"/>
                  <w:vAlign w:val="center"/>
                </w:tcPr>
                <w:p w14:paraId="0A03804B">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continue"/>
                  <w:shd w:val="clear" w:color="auto" w:fill="auto"/>
                  <w:vAlign w:val="center"/>
                </w:tcPr>
                <w:p w14:paraId="6B76D0AF">
                  <w:pPr>
                    <w:keepNext w:val="0"/>
                    <w:keepLines w:val="0"/>
                    <w:suppressLineNumbers w:val="0"/>
                    <w:spacing w:before="0" w:beforeAutospacing="0" w:after="0" w:afterAutospacing="0"/>
                    <w:ind w:left="0" w:right="0"/>
                    <w:rPr>
                      <w:rFonts w:hint="default" w:ascii="Calibri" w:hAnsi="Calibri" w:eastAsia="宋体" w:cs="Times New Roman"/>
                    </w:rPr>
                  </w:pPr>
                </w:p>
              </w:tc>
              <w:tc>
                <w:tcPr>
                  <w:tcW w:w="1968" w:type="pct"/>
                  <w:shd w:val="clear" w:color="auto" w:fill="auto"/>
                  <w:vAlign w:val="center"/>
                </w:tcPr>
                <w:p w14:paraId="3D125A67">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12</w:t>
                  </w:r>
                  <w:r>
                    <w:rPr>
                      <w:rFonts w:hint="eastAsia" w:ascii="Times New Roman" w:hAnsi="Times New Roman" w:cs="宋体"/>
                      <w:sz w:val="21"/>
                      <w:szCs w:val="24"/>
                    </w:rPr>
                    <w:t>禁止新建、扩建分散燃煤供热锅炉。</w:t>
                  </w:r>
                </w:p>
              </w:tc>
              <w:tc>
                <w:tcPr>
                  <w:tcW w:w="1547" w:type="pct"/>
                  <w:shd w:val="clear" w:color="auto" w:fill="auto"/>
                  <w:vAlign w:val="center"/>
                </w:tcPr>
                <w:p w14:paraId="01E47F48">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本项目生产不涉及燃煤</w:t>
                  </w:r>
                </w:p>
              </w:tc>
              <w:tc>
                <w:tcPr>
                  <w:tcW w:w="572" w:type="pct"/>
                  <w:shd w:val="clear" w:color="auto" w:fill="auto"/>
                  <w:vAlign w:val="center"/>
                </w:tcPr>
                <w:p w14:paraId="73EEABAC">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56426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shd w:val="clear" w:color="auto" w:fill="auto"/>
                  <w:vAlign w:val="center"/>
                </w:tcPr>
                <w:p w14:paraId="59ADD3A4">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continue"/>
                  <w:shd w:val="clear" w:color="auto" w:fill="auto"/>
                  <w:vAlign w:val="center"/>
                </w:tcPr>
                <w:p w14:paraId="10E67B85">
                  <w:pPr>
                    <w:keepNext w:val="0"/>
                    <w:keepLines w:val="0"/>
                    <w:suppressLineNumbers w:val="0"/>
                    <w:spacing w:before="0" w:beforeAutospacing="0" w:after="0" w:afterAutospacing="0"/>
                    <w:ind w:left="0" w:right="0"/>
                    <w:rPr>
                      <w:rFonts w:hint="default" w:ascii="Calibri" w:hAnsi="Calibri" w:eastAsia="宋体" w:cs="Times New Roman"/>
                    </w:rPr>
                  </w:pPr>
                </w:p>
              </w:tc>
              <w:tc>
                <w:tcPr>
                  <w:tcW w:w="1968" w:type="pct"/>
                  <w:shd w:val="clear" w:color="auto" w:fill="auto"/>
                  <w:vAlign w:val="center"/>
                </w:tcPr>
                <w:p w14:paraId="43F1BFC2">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14</w:t>
                  </w:r>
                  <w:r>
                    <w:rPr>
                      <w:rFonts w:hint="eastAsia" w:ascii="Times New Roman" w:hAnsi="Times New Roman" w:cs="宋体"/>
                      <w:sz w:val="21"/>
                      <w:szCs w:val="24"/>
                    </w:rPr>
                    <w:t>禁止高灰分、高硫分煤炭进入市场。新建煤矿应当同步建设煤炭洗选设施，已建成的煤矿所采煤炭属于高灰分、高硫分的，应当在国家和省规定的期限内建成配套的煤炭洗选设施，使煤炭中的灰分、硫分达到规定的标准。</w:t>
                  </w:r>
                </w:p>
              </w:tc>
              <w:tc>
                <w:tcPr>
                  <w:tcW w:w="1547" w:type="pct"/>
                  <w:shd w:val="clear" w:color="auto" w:fill="auto"/>
                  <w:vAlign w:val="center"/>
                </w:tcPr>
                <w:p w14:paraId="2B2C0387">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本项目燃料和能源不使用煤，不进行煤矿开采</w:t>
                  </w:r>
                </w:p>
              </w:tc>
              <w:tc>
                <w:tcPr>
                  <w:tcW w:w="572" w:type="pct"/>
                  <w:shd w:val="clear" w:color="auto" w:fill="auto"/>
                  <w:vAlign w:val="center"/>
                </w:tcPr>
                <w:p w14:paraId="30A69907">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53D2F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shd w:val="clear" w:color="auto" w:fill="auto"/>
                  <w:vAlign w:val="center"/>
                </w:tcPr>
                <w:p w14:paraId="3D42A6C9">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continue"/>
                  <w:shd w:val="clear" w:color="auto" w:fill="auto"/>
                  <w:vAlign w:val="center"/>
                </w:tcPr>
                <w:p w14:paraId="26233F8D">
                  <w:pPr>
                    <w:keepNext w:val="0"/>
                    <w:keepLines w:val="0"/>
                    <w:suppressLineNumbers w:val="0"/>
                    <w:spacing w:before="0" w:beforeAutospacing="0" w:after="0" w:afterAutospacing="0"/>
                    <w:ind w:left="0" w:right="0"/>
                    <w:rPr>
                      <w:rFonts w:hint="default" w:ascii="Calibri" w:hAnsi="Calibri" w:eastAsia="宋体" w:cs="Times New Roman"/>
                    </w:rPr>
                  </w:pPr>
                </w:p>
              </w:tc>
              <w:tc>
                <w:tcPr>
                  <w:tcW w:w="1968" w:type="pct"/>
                  <w:shd w:val="clear" w:color="auto" w:fill="auto"/>
                  <w:vAlign w:val="center"/>
                </w:tcPr>
                <w:p w14:paraId="64D963D6">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15</w:t>
                  </w:r>
                  <w:r>
                    <w:rPr>
                      <w:rFonts w:hint="eastAsia" w:ascii="Times New Roman" w:hAnsi="Times New Roman" w:cs="宋体"/>
                      <w:sz w:val="21"/>
                      <w:szCs w:val="24"/>
                    </w:rPr>
                    <w:t>禁止在人口集中地区、机场周围、交通干线附近以及当地人民政府划定的区域露天焚烧秸秆、落叶、垃圾等产生烟尘污染的物质。</w:t>
                  </w:r>
                </w:p>
              </w:tc>
              <w:tc>
                <w:tcPr>
                  <w:tcW w:w="1547" w:type="pct"/>
                  <w:shd w:val="clear" w:color="auto" w:fill="auto"/>
                  <w:vAlign w:val="center"/>
                </w:tcPr>
                <w:p w14:paraId="0D7766FE">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本项目选址位于淮南高新技术产业开发区科技信息产业园5号楼，进行硅胶干燥剂、分子筛干燥剂、活性炭干燥剂、氧气指示剂、二氧化碳指示剂、脱氧剂生产，不进行垃圾等焚烧</w:t>
                  </w:r>
                </w:p>
              </w:tc>
              <w:tc>
                <w:tcPr>
                  <w:tcW w:w="572" w:type="pct"/>
                  <w:shd w:val="clear" w:color="auto" w:fill="auto"/>
                  <w:vAlign w:val="center"/>
                </w:tcPr>
                <w:p w14:paraId="0299164A">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18F86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shd w:val="clear" w:color="auto" w:fill="auto"/>
                  <w:vAlign w:val="center"/>
                </w:tcPr>
                <w:p w14:paraId="0D134BA0">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continue"/>
                  <w:shd w:val="clear" w:color="auto" w:fill="auto"/>
                  <w:vAlign w:val="center"/>
                </w:tcPr>
                <w:p w14:paraId="196F8B0D">
                  <w:pPr>
                    <w:keepNext w:val="0"/>
                    <w:keepLines w:val="0"/>
                    <w:suppressLineNumbers w:val="0"/>
                    <w:spacing w:before="0" w:beforeAutospacing="0" w:after="0" w:afterAutospacing="0"/>
                    <w:ind w:left="0" w:right="0"/>
                    <w:rPr>
                      <w:rFonts w:hint="default" w:ascii="Calibri" w:hAnsi="Calibri" w:eastAsia="宋体" w:cs="Times New Roman"/>
                    </w:rPr>
                  </w:pPr>
                </w:p>
              </w:tc>
              <w:tc>
                <w:tcPr>
                  <w:tcW w:w="1968" w:type="pct"/>
                  <w:shd w:val="clear" w:color="auto" w:fill="auto"/>
                  <w:vAlign w:val="center"/>
                </w:tcPr>
                <w:p w14:paraId="3F1068F1">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16</w:t>
                  </w:r>
                  <w:r>
                    <w:rPr>
                      <w:rFonts w:hint="eastAsia" w:ascii="Times New Roman" w:hAnsi="Times New Roman" w:cs="宋体"/>
                      <w:sz w:val="21"/>
                      <w:szCs w:val="24"/>
                    </w:rPr>
                    <w:t>在燃气管网和集中供热管网覆盖的区域，不得新建、扩建、改建燃烧煤炭、重油、渣油的供热设施；原有分散的中小型燃煤供热锅炉应当限期拆除。</w:t>
                  </w:r>
                </w:p>
              </w:tc>
              <w:tc>
                <w:tcPr>
                  <w:tcW w:w="1547" w:type="pct"/>
                  <w:shd w:val="clear" w:color="auto" w:fill="auto"/>
                  <w:vAlign w:val="center"/>
                </w:tcPr>
                <w:p w14:paraId="24E1B6BF">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本项目生产能源主要</w:t>
                  </w:r>
                  <w:r>
                    <w:rPr>
                      <w:rFonts w:hint="eastAsia" w:ascii="Times New Roman" w:hAnsi="Times New Roman" w:cs="宋体"/>
                      <w:sz w:val="21"/>
                      <w:szCs w:val="24"/>
                      <w:lang w:val="en-US" w:eastAsia="zh-CN"/>
                    </w:rPr>
                    <w:t>为</w:t>
                  </w:r>
                  <w:r>
                    <w:rPr>
                      <w:rFonts w:hint="eastAsia" w:ascii="Times New Roman" w:hAnsi="Times New Roman" w:cs="宋体"/>
                      <w:sz w:val="21"/>
                      <w:szCs w:val="24"/>
                    </w:rPr>
                    <w:t>电能，不涉及煤炭、重油、渣油等燃料使用</w:t>
                  </w:r>
                </w:p>
              </w:tc>
              <w:tc>
                <w:tcPr>
                  <w:tcW w:w="572" w:type="pct"/>
                  <w:shd w:val="clear" w:color="auto" w:fill="auto"/>
                  <w:vAlign w:val="center"/>
                </w:tcPr>
                <w:p w14:paraId="5A8927C3">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4E220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shd w:val="clear" w:color="auto" w:fill="auto"/>
                  <w:vAlign w:val="center"/>
                </w:tcPr>
                <w:p w14:paraId="6BC3513F">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continue"/>
                  <w:shd w:val="clear" w:color="auto" w:fill="auto"/>
                  <w:vAlign w:val="center"/>
                </w:tcPr>
                <w:p w14:paraId="4A65DBFC">
                  <w:pPr>
                    <w:keepNext w:val="0"/>
                    <w:keepLines w:val="0"/>
                    <w:suppressLineNumbers w:val="0"/>
                    <w:spacing w:before="0" w:beforeAutospacing="0" w:after="0" w:afterAutospacing="0"/>
                    <w:ind w:left="0" w:right="0"/>
                    <w:rPr>
                      <w:rFonts w:hint="default" w:ascii="Calibri" w:hAnsi="Calibri" w:eastAsia="宋体" w:cs="Times New Roman"/>
                    </w:rPr>
                  </w:pPr>
                </w:p>
              </w:tc>
              <w:tc>
                <w:tcPr>
                  <w:tcW w:w="1968" w:type="pct"/>
                  <w:shd w:val="clear" w:color="auto" w:fill="auto"/>
                  <w:vAlign w:val="center"/>
                </w:tcPr>
                <w:p w14:paraId="0F4A05A3">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13</w:t>
                  </w:r>
                  <w:r>
                    <w:rPr>
                      <w:rFonts w:hint="eastAsia" w:ascii="Times New Roman" w:hAnsi="Times New Roman" w:cs="宋体"/>
                      <w:sz w:val="21"/>
                      <w:szCs w:val="24"/>
                    </w:rPr>
                    <w:t>严把“两高”项目审批，严格落实区域削减措施，对不符合规定的坚决停批停建。</w:t>
                  </w:r>
                  <w:r>
                    <w:rPr>
                      <w:rFonts w:hint="default" w:ascii="Times New Roman" w:hAnsi="Times New Roman" w:cs="Times New Roman"/>
                      <w:sz w:val="21"/>
                      <w:szCs w:val="24"/>
                    </w:rPr>
                    <w:t>17</w:t>
                  </w:r>
                  <w:r>
                    <w:rPr>
                      <w:rFonts w:hint="eastAsia" w:ascii="Times New Roman" w:hAnsi="Times New Roman" w:cs="宋体"/>
                      <w:sz w:val="21"/>
                      <w:szCs w:val="24"/>
                    </w:rPr>
                    <w:t>禁止新建焦化、有色金属、制革、农药等行业企业。</w:t>
                  </w:r>
                </w:p>
              </w:tc>
              <w:tc>
                <w:tcPr>
                  <w:tcW w:w="1547" w:type="pct"/>
                  <w:shd w:val="clear" w:color="auto" w:fill="auto"/>
                  <w:vAlign w:val="center"/>
                </w:tcPr>
                <w:p w14:paraId="04C0D008">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本项目不属于两高项目，不属于焦化、有色金属、制革、农药等行业</w:t>
                  </w:r>
                </w:p>
              </w:tc>
              <w:tc>
                <w:tcPr>
                  <w:tcW w:w="572" w:type="pct"/>
                  <w:shd w:val="clear" w:color="auto" w:fill="auto"/>
                  <w:vAlign w:val="center"/>
                </w:tcPr>
                <w:p w14:paraId="4EBAE66A">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0B578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shd w:val="clear" w:color="auto" w:fill="auto"/>
                  <w:vAlign w:val="center"/>
                </w:tcPr>
                <w:p w14:paraId="5BACBB60">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continue"/>
                  <w:shd w:val="clear" w:color="auto" w:fill="auto"/>
                  <w:vAlign w:val="center"/>
                </w:tcPr>
                <w:p w14:paraId="4ECEE040">
                  <w:pPr>
                    <w:keepNext w:val="0"/>
                    <w:keepLines w:val="0"/>
                    <w:suppressLineNumbers w:val="0"/>
                    <w:spacing w:before="0" w:beforeAutospacing="0" w:after="0" w:afterAutospacing="0"/>
                    <w:ind w:left="0" w:right="0"/>
                    <w:rPr>
                      <w:rFonts w:hint="default" w:ascii="Calibri" w:hAnsi="Calibri" w:eastAsia="宋体" w:cs="Times New Roman"/>
                    </w:rPr>
                  </w:pPr>
                </w:p>
              </w:tc>
              <w:tc>
                <w:tcPr>
                  <w:tcW w:w="1968" w:type="pct"/>
                  <w:shd w:val="clear" w:color="auto" w:fill="auto"/>
                  <w:vAlign w:val="center"/>
                </w:tcPr>
                <w:p w14:paraId="5812E582">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36</w:t>
                  </w:r>
                  <w:r>
                    <w:rPr>
                      <w:rFonts w:hint="eastAsia" w:ascii="Times New Roman" w:hAnsi="Times New Roman" w:cs="宋体"/>
                      <w:sz w:val="21"/>
                      <w:szCs w:val="24"/>
                    </w:rPr>
                    <w:t>依法淘汰落后产能。全市和各县区要依据工业行业淘汰落后生产工艺装备和产品指导目录、产业结构调整指导目录及相关行业污染物排放标准，结合水质改善要求及产业发展情况，制定并实施分年度的落后产能淘汰方案。未完成淘汰任务的县区，暂停审批和核准其相关行业新建项目。</w:t>
                  </w:r>
                </w:p>
              </w:tc>
              <w:tc>
                <w:tcPr>
                  <w:tcW w:w="1547" w:type="pct"/>
                  <w:shd w:val="clear" w:color="auto" w:fill="auto"/>
                  <w:vAlign w:val="center"/>
                </w:tcPr>
                <w:p w14:paraId="21615B95">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对照《产业结构调整指导目录（</w:t>
                  </w:r>
                  <w:r>
                    <w:rPr>
                      <w:rFonts w:hint="default" w:ascii="Times New Roman" w:hAnsi="Times New Roman" w:cs="Times New Roman"/>
                      <w:sz w:val="21"/>
                      <w:szCs w:val="24"/>
                    </w:rPr>
                    <w:t>2024</w:t>
                  </w:r>
                  <w:r>
                    <w:rPr>
                      <w:rFonts w:hint="eastAsia" w:ascii="Times New Roman" w:hAnsi="Times New Roman" w:cs="宋体"/>
                      <w:sz w:val="21"/>
                      <w:szCs w:val="24"/>
                    </w:rPr>
                    <w:t>年本）》，本项目工业行业、设备均不属于落后淘汰类别</w:t>
                  </w:r>
                </w:p>
              </w:tc>
              <w:tc>
                <w:tcPr>
                  <w:tcW w:w="572" w:type="pct"/>
                  <w:shd w:val="clear" w:color="auto" w:fill="auto"/>
                  <w:vAlign w:val="center"/>
                </w:tcPr>
                <w:p w14:paraId="3F42A68F">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4D8DA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480" w:type="pct"/>
                  <w:vMerge w:val="continue"/>
                  <w:shd w:val="clear" w:color="auto" w:fill="auto"/>
                  <w:vAlign w:val="center"/>
                </w:tcPr>
                <w:p w14:paraId="22C9FA6E">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restart"/>
                  <w:shd w:val="clear" w:color="auto" w:fill="auto"/>
                  <w:vAlign w:val="center"/>
                </w:tcPr>
                <w:p w14:paraId="2546E18E">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污染物排放管控</w:t>
                  </w:r>
                </w:p>
              </w:tc>
              <w:tc>
                <w:tcPr>
                  <w:tcW w:w="1968" w:type="pct"/>
                  <w:shd w:val="clear" w:color="auto" w:fill="auto"/>
                  <w:vAlign w:val="center"/>
                </w:tcPr>
                <w:p w14:paraId="0A9DAFEE">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Times New Roman"/>
                      <w:sz w:val="21"/>
                      <w:szCs w:val="24"/>
                    </w:rPr>
                    <w:t>4</w:t>
                  </w:r>
                  <w:r>
                    <w:rPr>
                      <w:rFonts w:hint="default" w:ascii="Times New Roman" w:hAnsi="Times New Roman" w:cs="Times New Roman"/>
                      <w:sz w:val="21"/>
                      <w:szCs w:val="24"/>
                    </w:rPr>
                    <w:t>6</w:t>
                  </w:r>
                  <w:r>
                    <w:rPr>
                      <w:rFonts w:hint="eastAsia" w:ascii="Times New Roman" w:hAnsi="Times New Roman" w:cs="宋体"/>
                      <w:sz w:val="21"/>
                      <w:szCs w:val="24"/>
                    </w:rPr>
                    <w:t>环境空气质量持续改善，全省细颗粒物（</w:t>
                  </w:r>
                  <w:r>
                    <w:rPr>
                      <w:rFonts w:hint="default" w:ascii="Times New Roman" w:hAnsi="Times New Roman" w:cs="Times New Roman"/>
                      <w:sz w:val="21"/>
                      <w:szCs w:val="24"/>
                    </w:rPr>
                    <w:t>PM</w:t>
                  </w:r>
                  <w:r>
                    <w:rPr>
                      <w:rFonts w:hint="default" w:ascii="Times New Roman" w:hAnsi="Times New Roman" w:cs="Times New Roman"/>
                      <w:sz w:val="21"/>
                      <w:szCs w:val="24"/>
                      <w:vertAlign w:val="subscript"/>
                    </w:rPr>
                    <w:t>2.5</w:t>
                  </w:r>
                  <w:r>
                    <w:rPr>
                      <w:rFonts w:hint="eastAsia" w:ascii="Times New Roman" w:hAnsi="Times New Roman" w:cs="宋体"/>
                      <w:sz w:val="21"/>
                      <w:szCs w:val="24"/>
                    </w:rPr>
                    <w:t>）浓度总体达标，基本消除重污染天气，优良天数比率进一步提升。</w:t>
                  </w:r>
                </w:p>
              </w:tc>
              <w:tc>
                <w:tcPr>
                  <w:tcW w:w="1547" w:type="pct"/>
                  <w:shd w:val="clear" w:color="auto" w:fill="auto"/>
                  <w:vAlign w:val="center"/>
                </w:tcPr>
                <w:p w14:paraId="4927CFED">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本项目营运期确保废气排放达标</w:t>
                  </w:r>
                </w:p>
              </w:tc>
              <w:tc>
                <w:tcPr>
                  <w:tcW w:w="572" w:type="pct"/>
                  <w:shd w:val="clear" w:color="auto" w:fill="auto"/>
                  <w:vAlign w:val="center"/>
                </w:tcPr>
                <w:p w14:paraId="1303FDAF">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56368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480" w:type="pct"/>
                  <w:vMerge w:val="continue"/>
                  <w:shd w:val="clear" w:color="auto" w:fill="auto"/>
                  <w:vAlign w:val="center"/>
                </w:tcPr>
                <w:p w14:paraId="44F23A15">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continue"/>
                  <w:shd w:val="clear" w:color="auto" w:fill="auto"/>
                  <w:vAlign w:val="center"/>
                </w:tcPr>
                <w:p w14:paraId="7D8FAB32">
                  <w:pPr>
                    <w:keepNext w:val="0"/>
                    <w:keepLines w:val="0"/>
                    <w:suppressLineNumbers w:val="0"/>
                    <w:spacing w:before="0" w:beforeAutospacing="0" w:after="0" w:afterAutospacing="0"/>
                    <w:ind w:left="0" w:right="0"/>
                    <w:rPr>
                      <w:rFonts w:hint="default" w:ascii="Calibri" w:hAnsi="Calibri" w:eastAsia="宋体" w:cs="Times New Roman"/>
                    </w:rPr>
                  </w:pPr>
                </w:p>
              </w:tc>
              <w:tc>
                <w:tcPr>
                  <w:tcW w:w="1968" w:type="pct"/>
                  <w:shd w:val="clear" w:color="auto" w:fill="auto"/>
                  <w:vAlign w:val="center"/>
                </w:tcPr>
                <w:p w14:paraId="5E03DF5A">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49</w:t>
                  </w:r>
                  <w:r>
                    <w:rPr>
                      <w:rFonts w:hint="eastAsia" w:ascii="Times New Roman" w:hAnsi="Times New Roman" w:cs="宋体"/>
                      <w:sz w:val="21"/>
                      <w:szCs w:val="24"/>
                    </w:rPr>
                    <w:t>新建、改建、扩建排放重点大气污染物的项目不符合总量控制要求的，不得通过环境影响评价。</w:t>
                  </w:r>
                </w:p>
              </w:tc>
              <w:tc>
                <w:tcPr>
                  <w:tcW w:w="1547" w:type="pct"/>
                  <w:shd w:val="clear" w:color="auto" w:fill="auto"/>
                  <w:vAlign w:val="center"/>
                </w:tcPr>
                <w:p w14:paraId="289419A9">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本项目目前正积极履行环评手续</w:t>
                  </w:r>
                </w:p>
              </w:tc>
              <w:tc>
                <w:tcPr>
                  <w:tcW w:w="572" w:type="pct"/>
                  <w:shd w:val="clear" w:color="auto" w:fill="auto"/>
                  <w:vAlign w:val="center"/>
                </w:tcPr>
                <w:p w14:paraId="67094528">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61338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480" w:type="pct"/>
                  <w:vMerge w:val="continue"/>
                  <w:shd w:val="clear" w:color="auto" w:fill="auto"/>
                  <w:vAlign w:val="center"/>
                </w:tcPr>
                <w:p w14:paraId="7C005C7B">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vMerge w:val="continue"/>
                  <w:shd w:val="clear" w:color="auto" w:fill="auto"/>
                  <w:vAlign w:val="center"/>
                </w:tcPr>
                <w:p w14:paraId="61A2D7E2">
                  <w:pPr>
                    <w:keepNext w:val="0"/>
                    <w:keepLines w:val="0"/>
                    <w:suppressLineNumbers w:val="0"/>
                    <w:spacing w:before="0" w:beforeAutospacing="0" w:after="0" w:afterAutospacing="0"/>
                    <w:ind w:left="0" w:right="0"/>
                    <w:rPr>
                      <w:rFonts w:hint="default" w:ascii="Calibri" w:hAnsi="Calibri" w:eastAsia="宋体" w:cs="Times New Roman"/>
                    </w:rPr>
                  </w:pPr>
                </w:p>
              </w:tc>
              <w:tc>
                <w:tcPr>
                  <w:tcW w:w="1968" w:type="pct"/>
                  <w:shd w:val="clear" w:color="auto" w:fill="auto"/>
                  <w:vAlign w:val="center"/>
                </w:tcPr>
                <w:p w14:paraId="379C8399">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default" w:ascii="Times New Roman" w:hAnsi="Times New Roman" w:cs="Times New Roman"/>
                      <w:sz w:val="21"/>
                      <w:szCs w:val="24"/>
                    </w:rPr>
                    <w:t>54</w:t>
                  </w:r>
                  <w:r>
                    <w:rPr>
                      <w:rFonts w:hint="eastAsia" w:ascii="Times New Roman" w:hAnsi="Times New Roman" w:cs="宋体"/>
                      <w:sz w:val="21"/>
                      <w:szCs w:val="24"/>
                    </w:rPr>
                    <w:t>全面推动挥发性有机物纳入排污许可管理。禁止建设生产和使用高挥发加快推进石化、化工性有机物含量涂料油墨、胶粘剂、清洗剂等项目。</w:t>
                  </w:r>
                </w:p>
              </w:tc>
              <w:tc>
                <w:tcPr>
                  <w:tcW w:w="1547" w:type="pct"/>
                  <w:shd w:val="clear" w:color="auto" w:fill="auto"/>
                  <w:vAlign w:val="center"/>
                </w:tcPr>
                <w:p w14:paraId="6CC4F21C">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项目按照要求进行排污许可管理</w:t>
                  </w:r>
                </w:p>
              </w:tc>
              <w:tc>
                <w:tcPr>
                  <w:tcW w:w="572" w:type="pct"/>
                  <w:shd w:val="clear" w:color="auto" w:fill="auto"/>
                  <w:vAlign w:val="center"/>
                </w:tcPr>
                <w:p w14:paraId="666EC37D">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符合</w:t>
                  </w:r>
                </w:p>
              </w:tc>
            </w:tr>
            <w:tr w14:paraId="3E5AC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480" w:type="pct"/>
                  <w:vMerge w:val="continue"/>
                  <w:shd w:val="clear" w:color="auto" w:fill="auto"/>
                  <w:vAlign w:val="center"/>
                </w:tcPr>
                <w:p w14:paraId="377B2542">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shd w:val="clear" w:color="auto" w:fill="auto"/>
                  <w:vAlign w:val="center"/>
                </w:tcPr>
                <w:p w14:paraId="4DAF9C6E">
                  <w:pPr>
                    <w:pStyle w:val="14"/>
                    <w:keepNext w:val="0"/>
                    <w:keepLines w:val="0"/>
                    <w:widowControl w:val="0"/>
                    <w:suppressLineNumbers w:val="0"/>
                    <w:spacing w:before="0" w:beforeAutospacing="0" w:after="0" w:afterAutospacing="0" w:line="276" w:lineRule="auto"/>
                    <w:ind w:left="0" w:right="0"/>
                    <w:jc w:val="center"/>
                    <w:rPr>
                      <w:rFonts w:hint="default"/>
                    </w:rPr>
                  </w:pPr>
                  <w:r>
                    <w:rPr>
                      <w:rFonts w:hint="eastAsia" w:ascii="Times New Roman" w:hAnsi="Times New Roman" w:cs="宋体"/>
                      <w:sz w:val="21"/>
                      <w:szCs w:val="24"/>
                    </w:rPr>
                    <w:t>环境风险管控</w:t>
                  </w:r>
                </w:p>
              </w:tc>
              <w:tc>
                <w:tcPr>
                  <w:tcW w:w="1968" w:type="pct"/>
                  <w:shd w:val="clear" w:color="auto" w:fill="auto"/>
                  <w:vAlign w:val="center"/>
                </w:tcPr>
                <w:p w14:paraId="1BE5F6E2">
                  <w:pPr>
                    <w:pStyle w:val="14"/>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sz w:val="21"/>
                      <w:szCs w:val="24"/>
                    </w:rPr>
                  </w:pPr>
                  <w:r>
                    <w:rPr>
                      <w:rFonts w:hint="eastAsia" w:ascii="Times New Roman" w:hAnsi="Times New Roman" w:cs="Times New Roman"/>
                      <w:sz w:val="21"/>
                      <w:szCs w:val="24"/>
                    </w:rPr>
                    <w:t>30排污单位发生事故或者其他突发性事件，造成或者可能造成水污染事故的，应当立即启动本单位的应急方案，采取隔离等应急措施，</w:t>
                  </w:r>
                  <w:r>
                    <w:rPr>
                      <w:rFonts w:hint="eastAsia" w:ascii="Times New Roman" w:hAnsi="Times New Roman" w:cs="Times New Roman"/>
                      <w:sz w:val="21"/>
                      <w:szCs w:val="24"/>
                      <w:lang w:val="en-US" w:eastAsia="zh-CN"/>
                    </w:rPr>
                    <w:t>防止</w:t>
                  </w:r>
                  <w:r>
                    <w:rPr>
                      <w:rFonts w:hint="eastAsia" w:ascii="Times New Roman" w:hAnsi="Times New Roman" w:cs="Times New Roman"/>
                      <w:sz w:val="21"/>
                      <w:szCs w:val="24"/>
                    </w:rPr>
                    <w:t>水污染物进入水体，并向事故发生地的县级以上人民政府或者生态环境行政主管部门报告。</w:t>
                  </w:r>
                </w:p>
              </w:tc>
              <w:tc>
                <w:tcPr>
                  <w:tcW w:w="1547" w:type="pct"/>
                  <w:shd w:val="clear" w:color="auto" w:fill="auto"/>
                  <w:vAlign w:val="center"/>
                </w:tcPr>
                <w:p w14:paraId="405E46EE">
                  <w:pPr>
                    <w:pStyle w:val="14"/>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sz w:val="21"/>
                      <w:szCs w:val="24"/>
                    </w:rPr>
                  </w:pPr>
                  <w:r>
                    <w:rPr>
                      <w:rFonts w:hint="eastAsia" w:ascii="Times New Roman" w:hAnsi="Times New Roman" w:cs="Times New Roman"/>
                      <w:sz w:val="21"/>
                      <w:szCs w:val="24"/>
                    </w:rPr>
                    <w:t>本项目将编制突发环境事件应急预案并到生态环境主管部门备案</w:t>
                  </w:r>
                </w:p>
              </w:tc>
              <w:tc>
                <w:tcPr>
                  <w:tcW w:w="572" w:type="pct"/>
                  <w:shd w:val="clear" w:color="auto" w:fill="auto"/>
                  <w:vAlign w:val="center"/>
                </w:tcPr>
                <w:p w14:paraId="52875E4D">
                  <w:pPr>
                    <w:pStyle w:val="14"/>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sz w:val="21"/>
                      <w:szCs w:val="24"/>
                    </w:rPr>
                  </w:pPr>
                </w:p>
              </w:tc>
            </w:tr>
            <w:tr w14:paraId="73F2F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480" w:type="pct"/>
                  <w:vMerge w:val="continue"/>
                  <w:shd w:val="clear" w:color="auto" w:fill="auto"/>
                  <w:vAlign w:val="center"/>
                </w:tcPr>
                <w:p w14:paraId="392D614D">
                  <w:pPr>
                    <w:keepNext w:val="0"/>
                    <w:keepLines w:val="0"/>
                    <w:suppressLineNumbers w:val="0"/>
                    <w:spacing w:before="0" w:beforeAutospacing="0" w:after="0" w:afterAutospacing="0"/>
                    <w:ind w:left="0" w:right="0"/>
                    <w:rPr>
                      <w:rFonts w:hint="default" w:ascii="Calibri" w:hAnsi="Calibri" w:eastAsia="宋体" w:cs="Times New Roman"/>
                    </w:rPr>
                  </w:pPr>
                </w:p>
              </w:tc>
              <w:tc>
                <w:tcPr>
                  <w:tcW w:w="433" w:type="pct"/>
                  <w:shd w:val="clear" w:color="auto" w:fill="auto"/>
                  <w:vAlign w:val="center"/>
                </w:tcPr>
                <w:p w14:paraId="199EE80B">
                  <w:pPr>
                    <w:pStyle w:val="14"/>
                    <w:keepNext w:val="0"/>
                    <w:keepLines w:val="0"/>
                    <w:widowControl w:val="0"/>
                    <w:suppressLineNumbers w:val="0"/>
                    <w:spacing w:before="0" w:beforeAutospacing="0" w:after="0" w:afterAutospacing="0" w:line="276" w:lineRule="auto"/>
                    <w:ind w:left="0" w:right="0"/>
                    <w:jc w:val="center"/>
                    <w:rPr>
                      <w:rFonts w:hint="default" w:ascii="Times New Roman" w:hAnsi="Times New Roman" w:cs="宋体"/>
                      <w:sz w:val="21"/>
                      <w:szCs w:val="24"/>
                    </w:rPr>
                  </w:pPr>
                  <w:r>
                    <w:rPr>
                      <w:rFonts w:hint="eastAsia" w:ascii="Times New Roman" w:hAnsi="Times New Roman" w:cs="宋体"/>
                      <w:sz w:val="21"/>
                      <w:szCs w:val="24"/>
                    </w:rPr>
                    <w:t>资源开发效率要求</w:t>
                  </w:r>
                </w:p>
              </w:tc>
              <w:tc>
                <w:tcPr>
                  <w:tcW w:w="1968" w:type="pct"/>
                  <w:shd w:val="clear" w:color="auto" w:fill="auto"/>
                  <w:vAlign w:val="center"/>
                </w:tcPr>
                <w:p w14:paraId="421F171D">
                  <w:pPr>
                    <w:pStyle w:val="14"/>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sz w:val="21"/>
                      <w:szCs w:val="24"/>
                    </w:rPr>
                  </w:pPr>
                  <w:r>
                    <w:rPr>
                      <w:rFonts w:hint="default" w:ascii="Times New Roman" w:hAnsi="Times New Roman" w:cs="Times New Roman"/>
                      <w:sz w:val="21"/>
                      <w:szCs w:val="24"/>
                    </w:rPr>
                    <w:t>73禁燃区内禁止燃用《高污染燃料目录》中的Ⅱ类燃料组合，即在禁燃区内，禁止使用除单台出力大于等于20蒸吨/小时的锅炉以外燃用的煤炭及其制品，及石油焦、油页岩、原油、重油、渣油、煤焦油。</w:t>
                  </w:r>
                </w:p>
              </w:tc>
              <w:tc>
                <w:tcPr>
                  <w:tcW w:w="1547" w:type="pct"/>
                  <w:shd w:val="clear" w:color="auto" w:fill="auto"/>
                  <w:vAlign w:val="center"/>
                </w:tcPr>
                <w:p w14:paraId="7FC19151">
                  <w:pPr>
                    <w:pStyle w:val="14"/>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sz w:val="21"/>
                      <w:szCs w:val="24"/>
                    </w:rPr>
                  </w:pPr>
                  <w:r>
                    <w:rPr>
                      <w:rFonts w:hint="eastAsia" w:ascii="Times New Roman" w:hAnsi="Times New Roman" w:cs="宋体"/>
                      <w:sz w:val="21"/>
                      <w:szCs w:val="24"/>
                    </w:rPr>
                    <w:t>本项目生产能源主要</w:t>
                  </w:r>
                  <w:r>
                    <w:rPr>
                      <w:rFonts w:hint="eastAsia" w:ascii="Times New Roman" w:hAnsi="Times New Roman" w:cs="宋体"/>
                      <w:sz w:val="21"/>
                      <w:szCs w:val="24"/>
                      <w:lang w:val="en-US" w:eastAsia="zh-CN"/>
                    </w:rPr>
                    <w:t>为</w:t>
                  </w:r>
                  <w:r>
                    <w:rPr>
                      <w:rFonts w:hint="eastAsia" w:ascii="Times New Roman" w:hAnsi="Times New Roman" w:cs="宋体"/>
                      <w:sz w:val="21"/>
                      <w:szCs w:val="24"/>
                    </w:rPr>
                    <w:t>电能，不涉及煤炭、重油、渣油等燃料使用</w:t>
                  </w:r>
                </w:p>
              </w:tc>
              <w:tc>
                <w:tcPr>
                  <w:tcW w:w="572" w:type="pct"/>
                  <w:shd w:val="clear" w:color="auto" w:fill="auto"/>
                  <w:vAlign w:val="center"/>
                </w:tcPr>
                <w:p w14:paraId="6836A3BE">
                  <w:pPr>
                    <w:pStyle w:val="14"/>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sz w:val="21"/>
                      <w:szCs w:val="24"/>
                    </w:rPr>
                  </w:pPr>
                </w:p>
              </w:tc>
            </w:tr>
          </w:tbl>
          <w:p w14:paraId="3E10339F">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7AC22215">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34BA8947">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4BC083F0">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221F5156">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55576A25">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14E01CBB">
            <w:pPr>
              <w:keepNext w:val="0"/>
              <w:keepLines w:val="0"/>
              <w:suppressLineNumbers w:val="0"/>
              <w:spacing w:before="0" w:beforeAutospacing="0" w:after="0" w:afterAutospacing="0" w:line="360" w:lineRule="auto"/>
              <w:ind w:left="0" w:right="0"/>
              <w:jc w:val="center"/>
              <w:rPr>
                <w:rFonts w:hint="default" w:ascii="Times New Roman" w:hAnsi="Times New Roman" w:eastAsia="黑体"/>
                <w:kern w:val="0"/>
                <w:sz w:val="24"/>
                <w:szCs w:val="24"/>
              </w:rPr>
            </w:pPr>
          </w:p>
          <w:p w14:paraId="5861BFBA">
            <w:pPr>
              <w:keepNext w:val="0"/>
              <w:keepLines w:val="0"/>
              <w:suppressLineNumbers w:val="0"/>
              <w:spacing w:before="0" w:beforeAutospacing="0" w:after="0" w:afterAutospacing="0" w:line="276" w:lineRule="auto"/>
              <w:ind w:left="0" w:right="0"/>
              <w:rPr>
                <w:rFonts w:hint="default" w:ascii="Times New Roman" w:hAnsi="Times New Roman" w:cs="Times New Roman"/>
                <w:kern w:val="0"/>
                <w:sz w:val="24"/>
                <w:szCs w:val="24"/>
              </w:rPr>
            </w:pPr>
          </w:p>
        </w:tc>
      </w:tr>
    </w:tbl>
    <w:p w14:paraId="23E8AAB6">
      <w:pPr>
        <w:rPr>
          <w:rFonts w:ascii="Times New Roman" w:hAnsi="Times New Roman"/>
        </w:rPr>
        <w:sectPr>
          <w:footerReference r:id="rId6" w:type="default"/>
          <w:pgSz w:w="11906" w:h="16838"/>
          <w:pgMar w:top="1701" w:right="1531" w:bottom="1701" w:left="1531" w:header="851" w:footer="992" w:gutter="0"/>
          <w:pgNumType w:start="1"/>
          <w:cols w:space="425" w:num="1"/>
          <w:docGrid w:type="lines" w:linePitch="312" w:charSpace="0"/>
        </w:sectPr>
      </w:pPr>
    </w:p>
    <w:p w14:paraId="3B803FE4">
      <w:pPr>
        <w:widowControl/>
        <w:jc w:val="center"/>
        <w:outlineLvl w:val="0"/>
        <w:rPr>
          <w:rFonts w:ascii="Times New Roman" w:hAnsi="Times New Roman" w:eastAsia="黑体" w:cs="Times New Roman"/>
          <w:snapToGrid w:val="0"/>
          <w:kern w:val="0"/>
          <w:sz w:val="32"/>
          <w:szCs w:val="32"/>
        </w:rPr>
      </w:pPr>
      <w:r>
        <w:rPr>
          <w:rFonts w:hint="eastAsia" w:ascii="Times New Roman" w:hAnsi="Times New Roman" w:eastAsia="黑体" w:cs="Times New Roman"/>
          <w:snapToGrid w:val="0"/>
          <w:kern w:val="0"/>
          <w:sz w:val="32"/>
          <w:szCs w:val="32"/>
        </w:rPr>
        <w:t>二、建设项目工程分析</w:t>
      </w:r>
    </w:p>
    <w:tbl>
      <w:tblPr>
        <w:tblStyle w:val="17"/>
        <w:tblpPr w:leftFromText="180" w:rightFromText="180" w:vertAnchor="page" w:horzAnchor="margin" w:tblpY="2567"/>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603"/>
      </w:tblGrid>
      <w:tr w14:paraId="3D1B5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854" w:hRule="atLeast"/>
        </w:trPr>
        <w:tc>
          <w:tcPr>
            <w:tcW w:w="252" w:type="pct"/>
            <w:vAlign w:val="center"/>
          </w:tcPr>
          <w:p w14:paraId="1012D7A4">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宋体"/>
                <w:kern w:val="0"/>
                <w:sz w:val="24"/>
                <w:szCs w:val="24"/>
              </w:rPr>
            </w:pPr>
            <w:r>
              <w:rPr>
                <w:rFonts w:hint="eastAsia" w:ascii="Times New Roman" w:hAnsi="Times New Roman" w:eastAsia="宋体" w:cs="宋体"/>
                <w:b/>
                <w:bCs/>
                <w:kern w:val="0"/>
                <w:sz w:val="24"/>
                <w:szCs w:val="24"/>
              </w:rPr>
              <w:t>建设内容</w:t>
            </w:r>
          </w:p>
        </w:tc>
        <w:tc>
          <w:tcPr>
            <w:tcW w:w="4748" w:type="pct"/>
          </w:tcPr>
          <w:p w14:paraId="2CB1CA6C">
            <w:pPr>
              <w:keepNext w:val="0"/>
              <w:keepLines w:val="0"/>
              <w:suppressLineNumbers w:val="0"/>
              <w:spacing w:before="0" w:beforeAutospacing="0" w:after="0" w:afterAutospacing="0" w:line="360" w:lineRule="auto"/>
              <w:ind w:left="0" w:right="0" w:firstLine="482" w:firstLineChars="200"/>
              <w:rPr>
                <w:rFonts w:hint="default" w:ascii="Times New Roman" w:hAnsi="Times New Roman"/>
                <w:b/>
                <w:sz w:val="24"/>
                <w:szCs w:val="24"/>
              </w:rPr>
            </w:pPr>
            <w:r>
              <w:rPr>
                <w:rFonts w:hint="eastAsia" w:ascii="Times New Roman" w:hAnsi="Times New Roman"/>
                <w:b/>
                <w:sz w:val="24"/>
                <w:szCs w:val="24"/>
              </w:rPr>
              <w:t>1、</w:t>
            </w:r>
            <w:r>
              <w:rPr>
                <w:rFonts w:hint="default" w:ascii="Times New Roman" w:hAnsi="Times New Roman"/>
                <w:b/>
                <w:sz w:val="24"/>
                <w:szCs w:val="24"/>
              </w:rPr>
              <w:t>项目背景</w:t>
            </w:r>
          </w:p>
          <w:p w14:paraId="192508B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安徽樱琦新材料技术有限公司拟投资30000万元</w:t>
            </w:r>
            <w:r>
              <w:rPr>
                <w:rFonts w:hint="default" w:ascii="Times New Roman" w:hAnsi="Times New Roman" w:cs="ËÎÌå"/>
                <w:kern w:val="0"/>
                <w:sz w:val="24"/>
                <w:szCs w:val="24"/>
              </w:rPr>
              <w:t>建设</w:t>
            </w:r>
            <w:r>
              <w:rPr>
                <w:rFonts w:hint="eastAsia" w:ascii="Times New Roman" w:hAnsi="Times New Roman" w:cs="Times New Roman"/>
                <w:bCs/>
                <w:sz w:val="24"/>
                <w:szCs w:val="24"/>
                <w:lang w:eastAsia="zh-CN"/>
              </w:rPr>
              <w:t>安徽樱琦药用新材料项目</w:t>
            </w:r>
            <w:r>
              <w:rPr>
                <w:rFonts w:hint="eastAsia" w:ascii="Times New Roman" w:hAnsi="Times New Roman" w:eastAsia="宋体" w:cs="Times New Roman"/>
                <w:kern w:val="0"/>
                <w:sz w:val="24"/>
                <w:szCs w:val="24"/>
              </w:rPr>
              <w:t>。企业租赁</w:t>
            </w:r>
            <w:r>
              <w:rPr>
                <w:rFonts w:hint="default" w:ascii="Times New Roman" w:hAnsi="Times New Roman" w:cs="Times New Roman"/>
                <w:bCs/>
                <w:sz w:val="24"/>
              </w:rPr>
              <w:t>淮南高新技术产业开发区科技信息产业园5号楼</w:t>
            </w:r>
            <w:r>
              <w:rPr>
                <w:rFonts w:hint="eastAsia" w:ascii="Times New Roman" w:hAnsi="Times New Roman" w:cs="Times New Roman"/>
                <w:bCs/>
                <w:sz w:val="24"/>
              </w:rPr>
              <w:t>1层、2层、3层、5层、6层、7层（其中5层为预留厂房，待后续项目另行评价），租赁面积为20330.21平方米</w:t>
            </w:r>
            <w:r>
              <w:rPr>
                <w:rFonts w:hint="eastAsia" w:ascii="Times New Roman" w:hAnsi="Times New Roman" w:eastAsia="宋体" w:cs="Times New Roman"/>
                <w:kern w:val="0"/>
                <w:sz w:val="24"/>
                <w:szCs w:val="24"/>
              </w:rPr>
              <w:t>，</w:t>
            </w:r>
            <w:r>
              <w:rPr>
                <w:rFonts w:hint="eastAsia" w:hAnsi="宋体"/>
                <w:spacing w:val="4"/>
                <w:sz w:val="24"/>
              </w:rPr>
              <w:t>项目建成后</w:t>
            </w:r>
            <w:r>
              <w:rPr>
                <w:rFonts w:hint="eastAsia" w:ascii="Times New Roman" w:hAnsi="Times New Roman" w:cs="Times New Roman"/>
                <w:bCs/>
                <w:sz w:val="24"/>
                <w:szCs w:val="24"/>
              </w:rPr>
              <w:t>最终</w:t>
            </w:r>
            <w:r>
              <w:rPr>
                <w:rFonts w:hint="eastAsia" w:ascii="Times New Roman" w:hAnsi="Times New Roman" w:cs="Times New Roman"/>
                <w:bCs/>
                <w:sz w:val="24"/>
                <w:szCs w:val="24"/>
                <w:lang w:val="en-US" w:eastAsia="zh-CN"/>
              </w:rPr>
              <w:t>产品为硅胶干燥剂、分子筛干燥剂、活性炭干燥剂、氧气指示剂、二氧化碳指示剂、脱氧剂</w:t>
            </w:r>
            <w:r>
              <w:rPr>
                <w:rFonts w:hint="default" w:ascii="Times New Roman" w:hAnsi="Times New Roman" w:cs="ËÎÌå"/>
                <w:kern w:val="0"/>
                <w:sz w:val="24"/>
                <w:szCs w:val="24"/>
              </w:rPr>
              <w:t>。</w:t>
            </w:r>
            <w:r>
              <w:rPr>
                <w:rFonts w:hint="eastAsia" w:ascii="Times New Roman" w:hAnsi="Times New Roman" w:cs="ËÎÌå"/>
                <w:kern w:val="0"/>
                <w:sz w:val="24"/>
                <w:szCs w:val="24"/>
              </w:rPr>
              <w:t>该项目于2025年12月15日经</w:t>
            </w:r>
            <w:r>
              <w:rPr>
                <w:rFonts w:hint="eastAsia" w:ascii="Times New Roman" w:hAnsi="Times New Roman" w:cs="Times New Roman"/>
                <w:sz w:val="24"/>
                <w:szCs w:val="24"/>
              </w:rPr>
              <w:t>淮南</w:t>
            </w:r>
            <w:r>
              <w:rPr>
                <w:rFonts w:hint="eastAsia" w:ascii="Times New Roman" w:hAnsi="Times New Roman" w:cs="Times New Roman"/>
                <w:sz w:val="24"/>
                <w:szCs w:val="24"/>
                <w:lang w:val="en-US" w:eastAsia="zh-CN"/>
              </w:rPr>
              <w:t>高新技术产业开发区管理委员会</w:t>
            </w:r>
            <w:r>
              <w:rPr>
                <w:rFonts w:hint="default" w:ascii="Times New Roman" w:hAnsi="Times New Roman" w:cs="Times New Roman"/>
                <w:sz w:val="24"/>
                <w:szCs w:val="24"/>
              </w:rPr>
              <w:t>经济发展局</w:t>
            </w:r>
            <w:r>
              <w:rPr>
                <w:rFonts w:hint="eastAsia" w:ascii="Times New Roman" w:hAnsi="Times New Roman" w:cs="ËÎÌå"/>
                <w:kern w:val="0"/>
                <w:sz w:val="24"/>
                <w:szCs w:val="24"/>
              </w:rPr>
              <w:t>通过</w:t>
            </w:r>
            <w:r>
              <w:rPr>
                <w:rFonts w:hint="eastAsia" w:ascii="Times New Roman" w:hAnsi="Times New Roman" w:cs="ËÎÌå"/>
                <w:kern w:val="0"/>
                <w:sz w:val="24"/>
                <w:szCs w:val="24"/>
                <w:lang w:val="en-US" w:eastAsia="zh-CN"/>
              </w:rPr>
              <w:t>首次</w:t>
            </w:r>
            <w:r>
              <w:rPr>
                <w:rFonts w:hint="eastAsia" w:ascii="Times New Roman" w:hAnsi="Times New Roman" w:cs="ËÎÌå"/>
                <w:kern w:val="0"/>
                <w:sz w:val="24"/>
                <w:szCs w:val="24"/>
              </w:rPr>
              <w:t>备案，</w:t>
            </w:r>
            <w:r>
              <w:rPr>
                <w:rFonts w:hint="eastAsia" w:ascii="Times New Roman" w:hAnsi="Times New Roman" w:eastAsia="宋体" w:cs="Times New Roman"/>
                <w:sz w:val="24"/>
              </w:rPr>
              <w:t>项目代码</w:t>
            </w:r>
            <w:r>
              <w:rPr>
                <w:rFonts w:hint="eastAsia" w:ascii="Times New Roman" w:hAnsi="Times New Roman" w:cs="ËÎÌå"/>
                <w:kern w:val="0"/>
                <w:sz w:val="24"/>
                <w:szCs w:val="24"/>
              </w:rPr>
              <w:t>为</w:t>
            </w:r>
            <w:r>
              <w:rPr>
                <w:rFonts w:hint="eastAsia" w:ascii="Times New Roman" w:hAnsi="Times New Roman" w:cs="Times New Roman"/>
                <w:sz w:val="24"/>
              </w:rPr>
              <w:t>2512-340463-04-01-158361</w:t>
            </w:r>
            <w:r>
              <w:rPr>
                <w:rFonts w:hint="eastAsia" w:ascii="Times New Roman" w:hAnsi="Times New Roman" w:eastAsia="宋体" w:cs="Times New Roman"/>
                <w:kern w:val="0"/>
                <w:sz w:val="24"/>
                <w:szCs w:val="24"/>
              </w:rPr>
              <w:t>。</w:t>
            </w:r>
          </w:p>
          <w:p w14:paraId="7BFF758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ËÎÌå"/>
                <w:b/>
                <w:bCs/>
                <w:kern w:val="0"/>
                <w:sz w:val="24"/>
                <w:szCs w:val="24"/>
              </w:rPr>
            </w:pPr>
            <w:r>
              <w:rPr>
                <w:rFonts w:hint="default" w:ascii="Times New Roman" w:hAnsi="Times New Roman" w:eastAsia="宋体" w:cs="Times New Roman"/>
                <w:sz w:val="24"/>
              </w:rPr>
              <w:t>根据《中华人民共和国环境保护法》（主席令2014年第9号）、《中华人民共和国环境影响评价法》（2018年12月29日修订）、《建设项目环境保护管理条例》（20</w:t>
            </w:r>
            <w:r>
              <w:rPr>
                <w:rFonts w:hint="default" w:ascii="Times New Roman" w:hAnsi="Times New Roman" w:cs="ËÎÌå"/>
                <w:kern w:val="0"/>
                <w:sz w:val="24"/>
                <w:szCs w:val="24"/>
              </w:rPr>
              <w:t>17年10月1日施行）</w:t>
            </w:r>
            <w:r>
              <w:rPr>
                <w:rFonts w:hint="eastAsia" w:ascii="Times New Roman" w:hAnsi="Times New Roman" w:cs="ËÎÌå"/>
                <w:kern w:val="0"/>
                <w:sz w:val="24"/>
                <w:szCs w:val="24"/>
              </w:rPr>
              <w:t>等相关要求，建设项目需履行环境影响评价手续。</w:t>
            </w:r>
            <w:r>
              <w:rPr>
                <w:rFonts w:hint="eastAsia" w:ascii="Times New Roman" w:hAnsi="Times New Roman" w:cs="ËÎÌå"/>
                <w:kern w:val="0"/>
                <w:sz w:val="24"/>
                <w:szCs w:val="24"/>
                <w:lang w:val="en-US" w:eastAsia="zh-CN"/>
              </w:rPr>
              <w:t>本项目需将生产的产品在项目质检室中进行质检，过程中会产生废气、废水和固废，</w:t>
            </w:r>
            <w:r>
              <w:rPr>
                <w:rFonts w:hint="eastAsia" w:ascii="Times New Roman" w:hAnsi="Times New Roman" w:cs="ËÎÌå"/>
                <w:kern w:val="0"/>
                <w:sz w:val="24"/>
                <w:szCs w:val="24"/>
              </w:rPr>
              <w:t>对照国民经济行业分类(GB/T 4754-2017)，项目属于</w:t>
            </w:r>
            <w:r>
              <w:rPr>
                <w:rFonts w:hint="eastAsia" w:ascii="Times New Roman" w:hAnsi="Times New Roman" w:cs="ËÎÌå"/>
                <w:kern w:val="0"/>
                <w:sz w:val="24"/>
                <w:szCs w:val="24"/>
                <w:lang w:eastAsia="zh-CN"/>
              </w:rPr>
              <w:t>C2770 卫生材料及医药用品制造</w:t>
            </w:r>
            <w:r>
              <w:rPr>
                <w:rFonts w:hint="eastAsia" w:ascii="Times New Roman" w:hAnsi="Times New Roman" w:cs="ËÎÌå"/>
                <w:kern w:val="0"/>
                <w:sz w:val="24"/>
                <w:szCs w:val="24"/>
              </w:rPr>
              <w:t>，对照</w:t>
            </w:r>
            <w:r>
              <w:rPr>
                <w:rFonts w:hint="default" w:ascii="Times New Roman" w:hAnsi="Times New Roman" w:cs="ËÎÌå"/>
                <w:kern w:val="0"/>
                <w:sz w:val="24"/>
                <w:szCs w:val="24"/>
              </w:rPr>
              <w:t>《建设项目环境影响评价分类管理</w:t>
            </w:r>
            <w:r>
              <w:rPr>
                <w:rFonts w:hint="default" w:ascii="Times New Roman" w:hAnsi="Times New Roman" w:cs="ËÎÌå"/>
                <w:kern w:val="0"/>
                <w:sz w:val="24"/>
                <w:szCs w:val="24"/>
                <w:highlight w:val="none"/>
              </w:rPr>
              <w:t>名录》（2021年版）</w:t>
            </w:r>
            <w:r>
              <w:rPr>
                <w:rFonts w:hint="eastAsia" w:ascii="Times New Roman" w:hAnsi="Times New Roman" w:cs="ËÎÌå"/>
                <w:kern w:val="0"/>
                <w:sz w:val="24"/>
                <w:szCs w:val="24"/>
                <w:highlight w:val="none"/>
              </w:rPr>
              <w:t>，</w:t>
            </w:r>
            <w:r>
              <w:rPr>
                <w:rFonts w:hint="eastAsia" w:ascii="Times New Roman" w:hAnsi="Times New Roman" w:eastAsia="宋体" w:cs="Times New Roman"/>
                <w:sz w:val="24"/>
                <w:highlight w:val="none"/>
              </w:rPr>
              <w:t>本项目</w:t>
            </w:r>
            <w:r>
              <w:rPr>
                <w:rFonts w:hint="default" w:ascii="Times New Roman" w:hAnsi="Times New Roman" w:cs="ËÎÌå"/>
                <w:kern w:val="0"/>
                <w:sz w:val="24"/>
                <w:szCs w:val="24"/>
                <w:highlight w:val="none"/>
              </w:rPr>
              <w:t>属于</w:t>
            </w:r>
            <w:r>
              <w:rPr>
                <w:rFonts w:hint="eastAsia" w:ascii="Times New Roman" w:hAnsi="Times New Roman" w:cs="ËÎÌå"/>
                <w:kern w:val="0"/>
                <w:sz w:val="24"/>
                <w:szCs w:val="24"/>
                <w:highlight w:val="none"/>
              </w:rPr>
              <w:t>“</w:t>
            </w:r>
            <w:r>
              <w:rPr>
                <w:rFonts w:hint="eastAsia" w:ascii="Times New Roman" w:hAnsi="Times New Roman" w:cs="Times New Roman"/>
                <w:sz w:val="24"/>
                <w:szCs w:val="24"/>
              </w:rPr>
              <w:t>二十</w:t>
            </w:r>
            <w:r>
              <w:rPr>
                <w:rFonts w:hint="eastAsia" w:ascii="Times New Roman" w:hAnsi="Times New Roman" w:cs="Times New Roman"/>
                <w:sz w:val="24"/>
                <w:szCs w:val="24"/>
                <w:lang w:val="en-US" w:eastAsia="zh-CN"/>
              </w:rPr>
              <w:t>四</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医药制造业 49卫生材料及医药用品制造</w:t>
            </w:r>
            <w:r>
              <w:rPr>
                <w:rFonts w:hint="eastAsia" w:ascii="Times New Roman" w:hAnsi="Times New Roman" w:cs="ËÎÌå"/>
                <w:kern w:val="0"/>
                <w:sz w:val="24"/>
                <w:szCs w:val="24"/>
                <w:highlight w:val="none"/>
              </w:rPr>
              <w:t>”中的“卫生材料及医药用品制造</w:t>
            </w:r>
            <w:r>
              <w:rPr>
                <w:rFonts w:hint="eastAsia" w:ascii="Times New Roman" w:hAnsi="Times New Roman" w:cs="ËÎÌå"/>
                <w:kern w:val="0"/>
                <w:sz w:val="24"/>
                <w:szCs w:val="24"/>
                <w:highlight w:val="none"/>
                <w:lang w:eastAsia="zh-CN"/>
              </w:rPr>
              <w:t>（</w:t>
            </w:r>
            <w:r>
              <w:rPr>
                <w:rFonts w:hint="eastAsia" w:ascii="Times New Roman" w:hAnsi="Times New Roman" w:cs="ËÎÌå"/>
                <w:kern w:val="0"/>
                <w:sz w:val="24"/>
                <w:szCs w:val="24"/>
                <w:highlight w:val="none"/>
              </w:rPr>
              <w:t>仅组装、分装的除外</w:t>
            </w:r>
            <w:r>
              <w:rPr>
                <w:rFonts w:hint="eastAsia" w:ascii="Times New Roman" w:hAnsi="Times New Roman" w:cs="ËÎÌå"/>
                <w:kern w:val="0"/>
                <w:sz w:val="24"/>
                <w:szCs w:val="24"/>
                <w:highlight w:val="none"/>
                <w:lang w:eastAsia="zh-CN"/>
              </w:rPr>
              <w:t>）</w:t>
            </w:r>
            <w:r>
              <w:rPr>
                <w:rFonts w:hint="eastAsia" w:ascii="Times New Roman" w:hAnsi="Times New Roman" w:cs="ËÎÌå"/>
                <w:kern w:val="0"/>
                <w:sz w:val="24"/>
                <w:szCs w:val="24"/>
                <w:highlight w:val="none"/>
              </w:rPr>
              <w:t>”，需要</w:t>
            </w:r>
            <w:r>
              <w:rPr>
                <w:rFonts w:hint="default" w:ascii="Times New Roman" w:hAnsi="Times New Roman" w:cs="ËÎÌå"/>
                <w:kern w:val="0"/>
                <w:sz w:val="24"/>
                <w:szCs w:val="24"/>
                <w:highlight w:val="none"/>
              </w:rPr>
              <w:t>编制环境影响</w:t>
            </w:r>
            <w:r>
              <w:rPr>
                <w:rFonts w:hint="default" w:ascii="Times New Roman" w:hAnsi="Times New Roman" w:cs="ËÎÌå"/>
                <w:kern w:val="0"/>
                <w:sz w:val="24"/>
                <w:szCs w:val="24"/>
              </w:rPr>
              <w:t>报告表</w:t>
            </w:r>
            <w:r>
              <w:rPr>
                <w:rFonts w:hint="eastAsia" w:ascii="Times New Roman" w:hAnsi="Times New Roman" w:cs="ËÎÌå"/>
                <w:kern w:val="0"/>
                <w:sz w:val="24"/>
                <w:szCs w:val="24"/>
              </w:rPr>
              <w:t>。报告类别详细判定过程见下表。</w:t>
            </w:r>
          </w:p>
          <w:p w14:paraId="10C12669">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kern w:val="0"/>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rPr>
              <w:t xml:space="preserve">2-1  </w:t>
            </w:r>
            <w:r>
              <w:rPr>
                <w:rFonts w:hint="default" w:ascii="Times New Roman" w:hAnsi="Times New Roman" w:eastAsia="黑体" w:cs="Times New Roman"/>
                <w:sz w:val="24"/>
                <w:szCs w:val="24"/>
              </w:rPr>
              <w:t>环境影响评价报告类别</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64"/>
              <w:gridCol w:w="1233"/>
              <w:gridCol w:w="3159"/>
              <w:gridCol w:w="931"/>
            </w:tblGrid>
            <w:tr w14:paraId="4FE612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826" w:type="pct"/>
                  <w:tcBorders>
                    <w:top w:val="single" w:color="auto" w:sz="12" w:space="0"/>
                    <w:left w:val="nil"/>
                    <w:bottom w:val="single" w:color="auto" w:sz="6" w:space="0"/>
                    <w:right w:val="single" w:color="auto" w:sz="6" w:space="0"/>
                    <w:tl2br w:val="single" w:color="auto" w:sz="6" w:space="0"/>
                  </w:tcBorders>
                  <w:vAlign w:val="center"/>
                </w:tcPr>
                <w:p w14:paraId="5BDBEAD0">
                  <w:pPr>
                    <w:keepNext w:val="0"/>
                    <w:keepLines w:val="0"/>
                    <w:suppressLineNumbers w:val="0"/>
                    <w:spacing w:before="0" w:beforeAutospacing="0" w:after="0" w:afterAutospacing="0" w:line="276" w:lineRule="auto"/>
                    <w:ind w:left="0" w:right="0"/>
                    <w:jc w:val="right"/>
                    <w:rPr>
                      <w:rFonts w:hint="default" w:ascii="Times New Roman" w:hAnsi="Times New Roman" w:cs="Times New Roman"/>
                      <w:b/>
                      <w:sz w:val="21"/>
                      <w:szCs w:val="21"/>
                    </w:rPr>
                  </w:pPr>
                  <w:r>
                    <w:rPr>
                      <w:rFonts w:hint="default" w:ascii="Times New Roman" w:hAnsi="Times New Roman" w:cs="Times New Roman"/>
                      <w:b/>
                      <w:sz w:val="21"/>
                      <w:szCs w:val="21"/>
                    </w:rPr>
                    <w:t>环评类别</w:t>
                  </w:r>
                </w:p>
                <w:p w14:paraId="1F8362D7">
                  <w:pPr>
                    <w:keepNext w:val="0"/>
                    <w:keepLines w:val="0"/>
                    <w:suppressLineNumbers w:val="0"/>
                    <w:spacing w:before="0" w:beforeAutospacing="0" w:after="0" w:afterAutospacing="0" w:line="276" w:lineRule="auto"/>
                    <w:ind w:left="0" w:right="0"/>
                    <w:rPr>
                      <w:rFonts w:hint="default" w:ascii="Times New Roman" w:hAnsi="Times New Roman" w:cs="Times New Roman"/>
                      <w:b/>
                      <w:sz w:val="21"/>
                      <w:szCs w:val="21"/>
                    </w:rPr>
                  </w:pPr>
                  <w:r>
                    <w:rPr>
                      <w:rFonts w:hint="default" w:ascii="Times New Roman" w:hAnsi="Times New Roman" w:cs="Times New Roman"/>
                      <w:b/>
                      <w:sz w:val="21"/>
                      <w:szCs w:val="21"/>
                    </w:rPr>
                    <w:t>项目类别</w:t>
                  </w:r>
                </w:p>
              </w:tc>
              <w:tc>
                <w:tcPr>
                  <w:tcW w:w="735" w:type="pct"/>
                  <w:tcBorders>
                    <w:top w:val="single" w:color="auto" w:sz="12" w:space="0"/>
                    <w:left w:val="single" w:color="auto" w:sz="6" w:space="0"/>
                    <w:bottom w:val="single" w:color="auto" w:sz="6" w:space="0"/>
                    <w:right w:val="single" w:color="auto" w:sz="6" w:space="0"/>
                  </w:tcBorders>
                  <w:vAlign w:val="center"/>
                </w:tcPr>
                <w:p w14:paraId="2A6642E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报告书</w:t>
                  </w:r>
                </w:p>
              </w:tc>
              <w:tc>
                <w:tcPr>
                  <w:tcW w:w="1883" w:type="pct"/>
                  <w:tcBorders>
                    <w:top w:val="single" w:color="auto" w:sz="12" w:space="0"/>
                    <w:left w:val="single" w:color="auto" w:sz="6" w:space="0"/>
                    <w:bottom w:val="single" w:color="auto" w:sz="6" w:space="0"/>
                    <w:right w:val="single" w:color="auto" w:sz="6" w:space="0"/>
                  </w:tcBorders>
                  <w:shd w:val="clear" w:color="auto" w:fill="auto"/>
                  <w:vAlign w:val="center"/>
                </w:tcPr>
                <w:p w14:paraId="5264A9F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报告表</w:t>
                  </w:r>
                </w:p>
              </w:tc>
              <w:tc>
                <w:tcPr>
                  <w:tcW w:w="555" w:type="pct"/>
                  <w:tcBorders>
                    <w:top w:val="single" w:color="auto" w:sz="12" w:space="0"/>
                    <w:left w:val="single" w:color="auto" w:sz="6" w:space="0"/>
                    <w:bottom w:val="single" w:color="auto" w:sz="6" w:space="0"/>
                    <w:right w:val="nil"/>
                  </w:tcBorders>
                  <w:vAlign w:val="center"/>
                </w:tcPr>
                <w:p w14:paraId="7A459C4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登记表</w:t>
                  </w:r>
                </w:p>
              </w:tc>
            </w:tr>
            <w:tr w14:paraId="6A3848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4"/>
                  <w:tcBorders>
                    <w:top w:val="single" w:color="auto" w:sz="6" w:space="0"/>
                    <w:left w:val="nil"/>
                    <w:bottom w:val="single" w:color="auto" w:sz="6" w:space="0"/>
                    <w:right w:val="nil"/>
                  </w:tcBorders>
                  <w:vAlign w:val="center"/>
                </w:tcPr>
                <w:p w14:paraId="54C376B4">
                  <w:pPr>
                    <w:keepNext w:val="0"/>
                    <w:keepLines w:val="0"/>
                    <w:suppressLineNumbers w:val="0"/>
                    <w:spacing w:before="0" w:beforeAutospacing="0" w:after="0" w:afterAutospacing="0" w:line="276" w:lineRule="auto"/>
                    <w:ind w:left="0" w:right="0"/>
                    <w:rPr>
                      <w:rFonts w:hint="default" w:ascii="Times New Roman" w:hAnsi="Times New Roman" w:cs="Times New Roman"/>
                      <w:sz w:val="21"/>
                      <w:szCs w:val="21"/>
                      <w:lang w:val="en-US"/>
                    </w:rPr>
                  </w:pPr>
                  <w:r>
                    <w:rPr>
                      <w:rFonts w:hint="default" w:ascii="Times New Roman" w:hAnsi="Times New Roman" w:cs="Times New Roman"/>
                      <w:sz w:val="21"/>
                      <w:szCs w:val="21"/>
                    </w:rPr>
                    <w:t>二十</w:t>
                  </w:r>
                  <w:r>
                    <w:rPr>
                      <w:rFonts w:hint="default" w:ascii="Times New Roman" w:hAnsi="Times New Roman" w:cs="Times New Roman"/>
                      <w:sz w:val="21"/>
                      <w:szCs w:val="21"/>
                      <w:lang w:val="en-US" w:eastAsia="zh-CN"/>
                    </w:rPr>
                    <w:t>四</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医药制造业 27</w:t>
                  </w:r>
                </w:p>
              </w:tc>
            </w:tr>
            <w:tr w14:paraId="0B3BAE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826" w:type="pct"/>
                  <w:tcBorders>
                    <w:top w:val="single" w:color="auto" w:sz="6" w:space="0"/>
                    <w:left w:val="nil"/>
                    <w:bottom w:val="single" w:color="auto" w:sz="6" w:space="0"/>
                    <w:right w:val="single" w:color="auto" w:sz="6" w:space="0"/>
                  </w:tcBorders>
                  <w:vAlign w:val="center"/>
                </w:tcPr>
                <w:p w14:paraId="289F1DD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卫生材料及医药用品制造277</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药用辅料及包装材料制造278</w:t>
                  </w:r>
                </w:p>
              </w:tc>
              <w:tc>
                <w:tcPr>
                  <w:tcW w:w="735" w:type="pct"/>
                  <w:tcBorders>
                    <w:top w:val="single" w:color="auto" w:sz="6" w:space="0"/>
                    <w:left w:val="single" w:color="auto" w:sz="6" w:space="0"/>
                    <w:bottom w:val="single" w:color="auto" w:sz="6" w:space="0"/>
                    <w:right w:val="single" w:color="auto" w:sz="6" w:space="0"/>
                  </w:tcBorders>
                  <w:vAlign w:val="center"/>
                </w:tcPr>
                <w:p w14:paraId="4C7248C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1883" w:type="pct"/>
                  <w:tcBorders>
                    <w:top w:val="single" w:color="auto" w:sz="6" w:space="0"/>
                    <w:left w:val="single" w:color="auto" w:sz="6" w:space="0"/>
                    <w:bottom w:val="single" w:color="auto" w:sz="6" w:space="0"/>
                    <w:right w:val="single" w:color="auto" w:sz="6" w:space="0"/>
                  </w:tcBorders>
                  <w:shd w:val="clear" w:color="auto" w:fill="D7D7D7" w:themeFill="background1" w:themeFillShade="D8"/>
                  <w:vAlign w:val="center"/>
                </w:tcPr>
                <w:p w14:paraId="5470489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bCs/>
                      <w:sz w:val="21"/>
                      <w:szCs w:val="21"/>
                    </w:rPr>
                    <w:t>卫生材料及医药用品制造</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仅组装、分装的除外</w:t>
                  </w: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含有机合成反应的药用辅料制造</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含有机合成反应的包装材料制造</w:t>
                  </w:r>
                </w:p>
              </w:tc>
              <w:tc>
                <w:tcPr>
                  <w:tcW w:w="555" w:type="pct"/>
                  <w:tcBorders>
                    <w:top w:val="single" w:color="auto" w:sz="6" w:space="0"/>
                    <w:left w:val="single" w:color="auto" w:sz="6" w:space="0"/>
                    <w:bottom w:val="single" w:color="auto" w:sz="6" w:space="0"/>
                    <w:right w:val="nil"/>
                  </w:tcBorders>
                  <w:shd w:val="clear" w:color="auto" w:fill="auto"/>
                  <w:vAlign w:val="center"/>
                </w:tcPr>
                <w:p w14:paraId="69EB789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rPr>
                    <w:t>/</w:t>
                  </w:r>
                </w:p>
              </w:tc>
            </w:tr>
          </w:tbl>
          <w:p w14:paraId="69FD8D9A">
            <w:pPr>
              <w:keepNext w:val="0"/>
              <w:keepLines w:val="0"/>
              <w:suppressLineNumbers w:val="0"/>
              <w:spacing w:before="0" w:beforeAutospacing="0" w:after="0" w:afterAutospacing="0" w:line="348" w:lineRule="auto"/>
              <w:ind w:left="0" w:right="0" w:firstLine="480" w:firstLineChars="200"/>
              <w:rPr>
                <w:rFonts w:hint="default" w:ascii="Times New Roman" w:hAnsi="宋体" w:eastAsia="宋体" w:cs="Times New Roman"/>
                <w:sz w:val="24"/>
                <w:szCs w:val="24"/>
                <w:highlight w:val="none"/>
              </w:rPr>
            </w:pPr>
            <w:r>
              <w:rPr>
                <w:rFonts w:hint="default" w:ascii="Times New Roman" w:hAnsi="宋体" w:eastAsia="宋体" w:cs="Times New Roman"/>
                <w:sz w:val="24"/>
                <w:szCs w:val="24"/>
                <w:highlight w:val="none"/>
              </w:rPr>
              <w:t>本项目属于卫生材料及医药用品制造，对照《固定污染源排污许可分类管理名录》（</w:t>
            </w:r>
            <w:r>
              <w:rPr>
                <w:rFonts w:hint="default" w:ascii="Times New Roman" w:hAnsi="Times New Roman" w:eastAsia="宋体" w:cs="Times New Roman"/>
                <w:sz w:val="24"/>
                <w:szCs w:val="24"/>
                <w:highlight w:val="none"/>
              </w:rPr>
              <w:t>2019</w:t>
            </w:r>
            <w:r>
              <w:rPr>
                <w:rFonts w:hint="default" w:ascii="Times New Roman" w:hAnsi="宋体" w:eastAsia="宋体" w:cs="Times New Roman"/>
                <w:sz w:val="24"/>
                <w:szCs w:val="24"/>
                <w:highlight w:val="none"/>
              </w:rPr>
              <w:t>年版），本项目属于</w:t>
            </w:r>
            <w:r>
              <w:rPr>
                <w:rFonts w:hint="eastAsia" w:ascii="Times New Roman" w:hAnsi="宋体" w:eastAsia="宋体" w:cs="Times New Roman"/>
                <w:sz w:val="24"/>
                <w:szCs w:val="24"/>
                <w:highlight w:val="none"/>
              </w:rPr>
              <w:t>登记</w:t>
            </w:r>
            <w:r>
              <w:rPr>
                <w:rFonts w:hint="default" w:ascii="Times New Roman" w:hAnsi="宋体" w:eastAsia="宋体" w:cs="Times New Roman"/>
                <w:sz w:val="24"/>
                <w:szCs w:val="24"/>
                <w:highlight w:val="none"/>
              </w:rPr>
              <w:t>管理。</w:t>
            </w:r>
          </w:p>
          <w:p w14:paraId="514B06D6">
            <w:pPr>
              <w:keepNext w:val="0"/>
              <w:keepLines w:val="0"/>
              <w:suppressLineNumbers w:val="0"/>
              <w:spacing w:before="0" w:beforeAutospacing="0" w:after="0" w:afterAutospacing="0" w:line="348" w:lineRule="auto"/>
              <w:ind w:left="0" w:right="0"/>
              <w:jc w:val="center"/>
              <w:rPr>
                <w:rFonts w:hint="default" w:ascii="Times New Roman" w:hAnsi="Times New Roman" w:eastAsia="黑体"/>
                <w:sz w:val="24"/>
                <w:szCs w:val="24"/>
                <w:highlight w:val="none"/>
              </w:rPr>
            </w:pPr>
          </w:p>
          <w:p w14:paraId="63188A9B">
            <w:pPr>
              <w:keepNext w:val="0"/>
              <w:keepLines w:val="0"/>
              <w:suppressLineNumbers w:val="0"/>
              <w:spacing w:before="0" w:beforeAutospacing="0" w:after="0" w:afterAutospacing="0" w:line="348" w:lineRule="auto"/>
              <w:ind w:left="0" w:right="0"/>
              <w:jc w:val="center"/>
              <w:rPr>
                <w:rFonts w:hint="default" w:ascii="Times New Roman" w:hAnsi="Times New Roman" w:eastAsia="黑体"/>
                <w:sz w:val="24"/>
                <w:szCs w:val="24"/>
                <w:highlight w:val="none"/>
              </w:rPr>
            </w:pPr>
            <w:r>
              <w:rPr>
                <w:rFonts w:hint="default" w:ascii="Times New Roman" w:hAnsi="Times New Roman" w:eastAsia="黑体"/>
                <w:sz w:val="24"/>
                <w:szCs w:val="24"/>
                <w:highlight w:val="none"/>
              </w:rPr>
              <w:t>表</w:t>
            </w:r>
            <w:r>
              <w:rPr>
                <w:rFonts w:hint="eastAsia" w:ascii="Times New Roman" w:hAnsi="Times New Roman" w:eastAsia="黑体"/>
                <w:sz w:val="24"/>
                <w:szCs w:val="24"/>
                <w:highlight w:val="none"/>
              </w:rPr>
              <w:t xml:space="preserve">2-2  </w:t>
            </w:r>
            <w:r>
              <w:rPr>
                <w:rFonts w:hint="default" w:ascii="Times New Roman" w:hAnsi="Times New Roman" w:eastAsia="黑体"/>
                <w:sz w:val="24"/>
                <w:szCs w:val="24"/>
                <w:highlight w:val="none"/>
              </w:rPr>
              <w:t>排污许可证申领类别一览表</w:t>
            </w:r>
          </w:p>
          <w:tbl>
            <w:tblPr>
              <w:tblStyle w:val="18"/>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922"/>
              <w:gridCol w:w="1187"/>
              <w:gridCol w:w="1063"/>
              <w:gridCol w:w="3215"/>
            </w:tblGrid>
            <w:tr w14:paraId="37F6144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22" w:type="dxa"/>
                  <w:vAlign w:val="center"/>
                </w:tcPr>
                <w:p w14:paraId="3DA21DE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行业类别</w:t>
                  </w:r>
                </w:p>
              </w:tc>
              <w:tc>
                <w:tcPr>
                  <w:tcW w:w="1187" w:type="dxa"/>
                  <w:vAlign w:val="center"/>
                </w:tcPr>
                <w:p w14:paraId="6797A47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重点管理</w:t>
                  </w:r>
                </w:p>
              </w:tc>
              <w:tc>
                <w:tcPr>
                  <w:tcW w:w="1063" w:type="dxa"/>
                  <w:vAlign w:val="center"/>
                </w:tcPr>
                <w:p w14:paraId="5AEB5AC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简化管理</w:t>
                  </w:r>
                </w:p>
              </w:tc>
              <w:tc>
                <w:tcPr>
                  <w:tcW w:w="3215" w:type="dxa"/>
                  <w:vAlign w:val="center"/>
                </w:tcPr>
                <w:p w14:paraId="1704A52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登记管理</w:t>
                  </w:r>
                </w:p>
              </w:tc>
            </w:tr>
            <w:tr w14:paraId="3C5DC6F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87" w:type="dxa"/>
                  <w:gridSpan w:val="4"/>
                  <w:vAlign w:val="center"/>
                </w:tcPr>
                <w:p w14:paraId="5549F694">
                  <w:pPr>
                    <w:keepNext w:val="0"/>
                    <w:keepLines w:val="0"/>
                    <w:suppressLineNumbers w:val="0"/>
                    <w:spacing w:before="0" w:beforeAutospacing="0" w:after="0" w:afterAutospacing="0" w:line="276" w:lineRule="auto"/>
                    <w:ind w:left="0" w:leftChars="0" w:right="0" w:rightChars="0"/>
                    <w:rPr>
                      <w:rFonts w:hint="default" w:ascii="Times New Roman" w:hAnsi="Times New Roman" w:cs="Times New Roman"/>
                      <w:kern w:val="0"/>
                      <w:szCs w:val="21"/>
                      <w:highlight w:val="none"/>
                    </w:rPr>
                  </w:pPr>
                  <w:r>
                    <w:rPr>
                      <w:rFonts w:hint="default" w:ascii="Times New Roman" w:hAnsi="Times New Roman" w:cs="Times New Roman"/>
                      <w:sz w:val="21"/>
                      <w:szCs w:val="21"/>
                    </w:rPr>
                    <w:t>二十</w:t>
                  </w:r>
                  <w:r>
                    <w:rPr>
                      <w:rFonts w:hint="eastAsia" w:ascii="Times New Roman" w:hAnsi="Times New Roman" w:cs="Times New Roman"/>
                      <w:sz w:val="21"/>
                      <w:szCs w:val="21"/>
                      <w:lang w:val="en-US" w:eastAsia="zh-CN"/>
                    </w:rPr>
                    <w:t>二</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医药制造业 27</w:t>
                  </w:r>
                </w:p>
              </w:tc>
            </w:tr>
            <w:tr w14:paraId="5C49377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22" w:type="dxa"/>
                  <w:vAlign w:val="center"/>
                </w:tcPr>
                <w:p w14:paraId="6C1F5A48">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kern w:val="0"/>
                      <w:szCs w:val="21"/>
                      <w:highlight w:val="none"/>
                    </w:rPr>
                  </w:pPr>
                  <w:r>
                    <w:rPr>
                      <w:rFonts w:hint="default" w:ascii="Times New Roman" w:hAnsi="Times New Roman" w:eastAsia="宋体" w:cs="Times New Roman"/>
                      <w:sz w:val="21"/>
                      <w:szCs w:val="21"/>
                    </w:rPr>
                    <w:t>卫生材料及医药用品制造277</w:t>
                  </w:r>
                </w:p>
              </w:tc>
              <w:tc>
                <w:tcPr>
                  <w:tcW w:w="1187" w:type="dxa"/>
                  <w:vAlign w:val="center"/>
                </w:tcPr>
                <w:p w14:paraId="620CB62C">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kern w:val="0"/>
                      <w:szCs w:val="21"/>
                      <w:highlight w:val="none"/>
                    </w:rPr>
                  </w:pPr>
                  <w:r>
                    <w:rPr>
                      <w:rFonts w:hint="default" w:ascii="Times New Roman" w:hAnsi="Times New Roman" w:eastAsia="宋体" w:cs="Times New Roman"/>
                      <w:sz w:val="21"/>
                      <w:szCs w:val="21"/>
                      <w:lang w:val="en-US" w:eastAsia="zh-CN"/>
                    </w:rPr>
                    <w:t>/</w:t>
                  </w:r>
                </w:p>
              </w:tc>
              <w:tc>
                <w:tcPr>
                  <w:tcW w:w="1063" w:type="dxa"/>
                  <w:shd w:val="clear" w:color="auto" w:fill="auto"/>
                  <w:vAlign w:val="center"/>
                </w:tcPr>
                <w:p w14:paraId="733BF7FA">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kern w:val="0"/>
                      <w:szCs w:val="21"/>
                      <w:highlight w:val="none"/>
                    </w:rPr>
                  </w:pPr>
                  <w:r>
                    <w:rPr>
                      <w:rFonts w:hint="default" w:ascii="Times New Roman" w:hAnsi="Times New Roman" w:eastAsia="宋体" w:cs="Times New Roman"/>
                      <w:sz w:val="21"/>
                      <w:szCs w:val="21"/>
                      <w:lang w:val="en-US" w:eastAsia="zh-CN"/>
                    </w:rPr>
                    <w:t>/</w:t>
                  </w:r>
                </w:p>
              </w:tc>
              <w:tc>
                <w:tcPr>
                  <w:tcW w:w="3215" w:type="dxa"/>
                  <w:shd w:val="clear" w:color="auto" w:fill="D8D8D8" w:themeFill="background1" w:themeFillShade="D9"/>
                  <w:vAlign w:val="center"/>
                </w:tcPr>
                <w:p w14:paraId="627D71E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
                      <w:bCs/>
                      <w:kern w:val="0"/>
                      <w:szCs w:val="21"/>
                      <w:highlight w:val="none"/>
                      <w:lang w:val="en-US" w:eastAsia="zh-CN"/>
                    </w:rPr>
                  </w:pPr>
                  <w:r>
                    <w:rPr>
                      <w:rFonts w:hint="default" w:ascii="Times New Roman" w:hAnsi="Times New Roman" w:eastAsia="宋体" w:cs="Times New Roman"/>
                      <w:sz w:val="21"/>
                      <w:szCs w:val="21"/>
                    </w:rPr>
                    <w:t>卫生材料及医药用品制造277</w:t>
                  </w:r>
                  <w:r>
                    <w:rPr>
                      <w:rFonts w:hint="eastAsia" w:ascii="Times New Roman" w:hAnsi="Times New Roman" w:eastAsia="宋体" w:cs="Times New Roman"/>
                      <w:sz w:val="21"/>
                      <w:szCs w:val="21"/>
                      <w:lang w:val="en-US" w:eastAsia="zh-CN"/>
                    </w:rPr>
                    <w:t>0</w:t>
                  </w:r>
                </w:p>
              </w:tc>
            </w:tr>
          </w:tbl>
          <w:p w14:paraId="5998A7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eastAsia" w:ascii="Times New Roman" w:hAnsi="Times New Roman" w:cs="Times New Roman"/>
                <w:sz w:val="24"/>
              </w:rPr>
              <w:t>安徽樱琦新材料技术有限公司</w:t>
            </w:r>
            <w:r>
              <w:rPr>
                <w:rFonts w:hint="default" w:ascii="Times New Roman" w:hAnsi="Times New Roman" w:cs="Times New Roman"/>
                <w:sz w:val="24"/>
              </w:rPr>
              <w:t>委托我公司为该项目进行环境影响评价。我公司在接受委托后，立即到现场踏勘，认真了解项目所在区域的周边环境情况，收集了有关资料，编写完成本项目的环境影响报告表，现呈报生态环境主管部门审批。</w:t>
            </w:r>
          </w:p>
          <w:p w14:paraId="38962258">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sz w:val="24"/>
              </w:rPr>
            </w:pPr>
            <w:r>
              <w:rPr>
                <w:rFonts w:hint="eastAsia" w:ascii="Times New Roman" w:hAnsi="Times New Roman" w:cs="Times New Roman"/>
                <w:b/>
                <w:sz w:val="24"/>
              </w:rPr>
              <w:t>2</w:t>
            </w:r>
            <w:r>
              <w:rPr>
                <w:rFonts w:hint="default" w:ascii="Times New Roman" w:hAnsi="Times New Roman" w:cs="Times New Roman"/>
                <w:b/>
                <w:sz w:val="24"/>
              </w:rPr>
              <w:t>、建设规模及内容</w:t>
            </w:r>
          </w:p>
          <w:p w14:paraId="1DDF72D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sz w:val="24"/>
                <w:lang w:eastAsia="zh-CN"/>
              </w:rPr>
            </w:pPr>
            <w:r>
              <w:rPr>
                <w:rFonts w:hint="default" w:ascii="Times New Roman" w:hAnsi="Times New Roman" w:cs="Times New Roman"/>
                <w:sz w:val="24"/>
              </w:rPr>
              <w:t>项目名称：</w:t>
            </w:r>
            <w:r>
              <w:rPr>
                <w:rFonts w:hint="eastAsia" w:ascii="Times New Roman" w:hAnsi="Times New Roman" w:cs="Times New Roman"/>
                <w:sz w:val="24"/>
                <w:lang w:eastAsia="zh-CN"/>
              </w:rPr>
              <w:t>安徽樱琦药用新材料项目</w:t>
            </w:r>
          </w:p>
          <w:p w14:paraId="64E0E35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建设单位：</w:t>
            </w:r>
            <w:r>
              <w:rPr>
                <w:rFonts w:hint="eastAsia" w:ascii="Times New Roman" w:hAnsi="Times New Roman" w:cs="Times New Roman"/>
                <w:bCs/>
                <w:sz w:val="24"/>
              </w:rPr>
              <w:t>安徽樱琦新材料技术有限公司</w:t>
            </w:r>
          </w:p>
          <w:p w14:paraId="0FBF1B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项目性质：新建</w:t>
            </w:r>
          </w:p>
          <w:p w14:paraId="56B1D4E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投资总额：</w:t>
            </w:r>
            <w:r>
              <w:rPr>
                <w:rFonts w:hint="eastAsia" w:ascii="Times New Roman" w:hAnsi="Times New Roman" w:cs="Times New Roman"/>
                <w:bCs/>
                <w:sz w:val="24"/>
              </w:rPr>
              <w:t>30000</w:t>
            </w:r>
            <w:r>
              <w:rPr>
                <w:rFonts w:hint="default" w:ascii="Times New Roman" w:hAnsi="Times New Roman" w:cs="Times New Roman"/>
                <w:bCs/>
                <w:sz w:val="24"/>
              </w:rPr>
              <w:t>万元</w:t>
            </w:r>
          </w:p>
          <w:p w14:paraId="61E3DF0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建设地点：淮南高新技术产业开发区科技信息产业园5号楼</w:t>
            </w:r>
            <w:r>
              <w:rPr>
                <w:rFonts w:hint="default" w:ascii="Times New Roman" w:hAnsi="Times New Roman" w:cs="Times New Roman"/>
                <w:sz w:val="24"/>
                <w:szCs w:val="24"/>
              </w:rPr>
              <w:t>（</w:t>
            </w:r>
            <w:r>
              <w:rPr>
                <w:rFonts w:hint="default" w:ascii="Times New Roman" w:hAnsi="Times New Roman" w:cs="Times New Roman"/>
                <w:bCs/>
                <w:sz w:val="24"/>
              </w:rPr>
              <w:t>项目区域地块中心地理坐标为E：117°0′9.380″，N：32°32′57.456″</w:t>
            </w:r>
            <w:r>
              <w:rPr>
                <w:rFonts w:hint="default" w:ascii="Times New Roman" w:hAnsi="Times New Roman" w:cs="Times New Roman"/>
                <w:sz w:val="24"/>
                <w:szCs w:val="24"/>
              </w:rPr>
              <w:t>）</w:t>
            </w:r>
            <w:r>
              <w:rPr>
                <w:rFonts w:hint="default" w:ascii="Times New Roman" w:hAnsi="Times New Roman" w:cs="Times New Roman"/>
                <w:bCs/>
                <w:sz w:val="24"/>
              </w:rPr>
              <w:t>。</w:t>
            </w:r>
          </w:p>
          <w:p w14:paraId="5E708B6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sz w:val="24"/>
                <w:szCs w:val="24"/>
              </w:rPr>
            </w:pPr>
            <w:r>
              <w:rPr>
                <w:rFonts w:hint="default" w:ascii="Times New Roman" w:hAnsi="Times New Roman" w:cs="Times New Roman"/>
                <w:sz w:val="24"/>
              </w:rPr>
              <w:t>本项目</w:t>
            </w:r>
            <w:r>
              <w:rPr>
                <w:rFonts w:hint="eastAsia" w:ascii="Times New Roman" w:hAnsi="Times New Roman" w:cs="Times New Roman"/>
                <w:sz w:val="24"/>
              </w:rPr>
              <w:t>租赁</w:t>
            </w:r>
            <w:r>
              <w:rPr>
                <w:rFonts w:hint="default" w:ascii="Times New Roman" w:hAnsi="Times New Roman" w:cs="Times New Roman"/>
                <w:bCs/>
                <w:sz w:val="24"/>
              </w:rPr>
              <w:t>淮南高新技术产业开发区科技信息产业园5号楼</w:t>
            </w:r>
            <w:r>
              <w:rPr>
                <w:rFonts w:hint="eastAsia" w:ascii="Times New Roman" w:hAnsi="Times New Roman" w:cs="Times New Roman"/>
                <w:bCs/>
                <w:sz w:val="24"/>
              </w:rPr>
              <w:t>1层、2层、3层、5层、6层、7层（其中5层为预留厂房，待后续项目另行评价）</w:t>
            </w:r>
            <w:r>
              <w:rPr>
                <w:rFonts w:hint="eastAsia" w:ascii="Times New Roman" w:hAnsi="Times New Roman" w:cs="Times New Roman"/>
                <w:sz w:val="24"/>
              </w:rPr>
              <w:t>，用于干燥剂生产线建设，建设</w:t>
            </w:r>
            <w:r>
              <w:rPr>
                <w:rFonts w:hint="eastAsia" w:ascii="Times New Roman" w:hAnsi="Times New Roman" w:cs="Times New Roman"/>
                <w:bCs/>
                <w:sz w:val="24"/>
                <w:lang w:eastAsia="zh-CN"/>
              </w:rPr>
              <w:t>安徽樱琦药用新材料项目</w:t>
            </w:r>
            <w:r>
              <w:rPr>
                <w:rFonts w:hint="eastAsia" w:ascii="Times New Roman" w:hAnsi="Times New Roman" w:cs="Times New Roman"/>
                <w:sz w:val="24"/>
              </w:rPr>
              <w:t>。</w:t>
            </w:r>
            <w:r>
              <w:rPr>
                <w:rFonts w:hint="default" w:ascii="Times New Roman" w:hAnsi="Times New Roman" w:cs="Times New Roman"/>
                <w:sz w:val="24"/>
              </w:rPr>
              <w:t>项目主要工程内容详见</w:t>
            </w:r>
            <w:r>
              <w:rPr>
                <w:rFonts w:hint="eastAsia" w:ascii="Times New Roman" w:hAnsi="Times New Roman" w:cs="Times New Roman"/>
                <w:sz w:val="24"/>
              </w:rPr>
              <w:t>下表。项目总平面图见附图3。</w:t>
            </w:r>
          </w:p>
          <w:p w14:paraId="2471FC81">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2ADDA405">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32690FD7">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6D67033D">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050E3298">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1F8E8A6E">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015845AE">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70A707B8">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48E3FCC1">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32514A32">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4421F134">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w:t>
            </w:r>
            <w:r>
              <w:rPr>
                <w:rFonts w:hint="eastAsia" w:ascii="Times New Roman" w:hAnsi="Times New Roman" w:eastAsia="黑体" w:cs="Times New Roman"/>
                <w:bCs/>
                <w:sz w:val="24"/>
                <w:szCs w:val="24"/>
              </w:rPr>
              <w:t xml:space="preserve">-3  </w:t>
            </w:r>
            <w:r>
              <w:rPr>
                <w:rFonts w:hint="default" w:ascii="Times New Roman" w:hAnsi="Times New Roman" w:eastAsia="黑体" w:cs="Times New Roman"/>
                <w:bCs/>
                <w:sz w:val="24"/>
                <w:szCs w:val="24"/>
              </w:rPr>
              <w:t>本项目组成一览表</w:t>
            </w:r>
          </w:p>
          <w:tbl>
            <w:tblPr>
              <w:tblStyle w:val="17"/>
              <w:tblW w:w="839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6"/>
              <w:gridCol w:w="1442"/>
              <w:gridCol w:w="4550"/>
              <w:gridCol w:w="1188"/>
              <w:gridCol w:w="535"/>
            </w:tblGrid>
            <w:tr w14:paraId="235D76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Align w:val="center"/>
                </w:tcPr>
                <w:p w14:paraId="49227C8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工程类别</w:t>
                  </w:r>
                </w:p>
              </w:tc>
              <w:tc>
                <w:tcPr>
                  <w:tcW w:w="1442" w:type="dxa"/>
                  <w:vAlign w:val="center"/>
                </w:tcPr>
                <w:p w14:paraId="4227EDB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单项工程名称</w:t>
                  </w:r>
                </w:p>
              </w:tc>
              <w:tc>
                <w:tcPr>
                  <w:tcW w:w="4550" w:type="dxa"/>
                  <w:vAlign w:val="center"/>
                </w:tcPr>
                <w:p w14:paraId="02113A4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建设内容</w:t>
                  </w:r>
                </w:p>
              </w:tc>
              <w:tc>
                <w:tcPr>
                  <w:tcW w:w="1188" w:type="dxa"/>
                  <w:vAlign w:val="center"/>
                </w:tcPr>
                <w:p w14:paraId="1903278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建设规模</w:t>
                  </w:r>
                </w:p>
              </w:tc>
              <w:tc>
                <w:tcPr>
                  <w:tcW w:w="535" w:type="dxa"/>
                  <w:vAlign w:val="center"/>
                </w:tcPr>
                <w:p w14:paraId="4E4BC6C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备注</w:t>
                  </w:r>
                </w:p>
              </w:tc>
            </w:tr>
            <w:tr w14:paraId="5D4779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restart"/>
                  <w:vAlign w:val="center"/>
                </w:tcPr>
                <w:p w14:paraId="75AA908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主体工程</w:t>
                  </w:r>
                </w:p>
              </w:tc>
              <w:tc>
                <w:tcPr>
                  <w:tcW w:w="1442" w:type="dxa"/>
                  <w:tcBorders>
                    <w:bottom w:val="single" w:color="auto" w:sz="4" w:space="0"/>
                  </w:tcBorders>
                  <w:vAlign w:val="center"/>
                </w:tcPr>
                <w:p w14:paraId="2634CEB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脱氧剂车间1</w:t>
                  </w:r>
                </w:p>
              </w:tc>
              <w:tc>
                <w:tcPr>
                  <w:tcW w:w="4550" w:type="dxa"/>
                  <w:tcBorders>
                    <w:bottom w:val="single" w:color="auto" w:sz="4" w:space="0"/>
                  </w:tcBorders>
                  <w:vAlign w:val="center"/>
                </w:tcPr>
                <w:p w14:paraId="645BC41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位于5号楼1层，主要</w:t>
                  </w:r>
                  <w:r>
                    <w:rPr>
                      <w:rFonts w:hint="default" w:ascii="Times New Roman" w:hAnsi="Times New Roman" w:eastAsia="宋体" w:cs="Times New Roman"/>
                      <w:bCs/>
                      <w:szCs w:val="21"/>
                    </w:rPr>
                    <w:t>用于脱氧剂称重、干燥</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建筑面积为200.2</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188" w:type="dxa"/>
                  <w:vMerge w:val="restart"/>
                  <w:vAlign w:val="center"/>
                </w:tcPr>
                <w:p w14:paraId="12FCBCBF">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szCs w:val="21"/>
                      <w:lang w:eastAsia="zh-CN"/>
                    </w:rPr>
                  </w:pPr>
                  <w:r>
                    <w:rPr>
                      <w:rFonts w:hint="default" w:ascii="Times New Roman" w:hAnsi="Times New Roman" w:eastAsia="宋体" w:cs="Times New Roman"/>
                      <w:bCs/>
                      <w:szCs w:val="21"/>
                    </w:rPr>
                    <w:t>年</w:t>
                  </w:r>
                  <w:r>
                    <w:rPr>
                      <w:rFonts w:hint="eastAsia" w:ascii="Times New Roman" w:hAnsi="Times New Roman" w:eastAsia="宋体" w:cs="Times New Roman"/>
                      <w:bCs/>
                      <w:szCs w:val="21"/>
                    </w:rPr>
                    <w:t>产</w:t>
                  </w:r>
                  <w:r>
                    <w:rPr>
                      <w:rFonts w:hint="eastAsia" w:ascii="Times New Roman" w:hAnsi="Times New Roman" w:eastAsia="宋体" w:cs="Times New Roman"/>
                      <w:bCs/>
                      <w:szCs w:val="21"/>
                      <w:lang w:val="en-US" w:eastAsia="zh-CN"/>
                    </w:rPr>
                    <w:t>5000吨</w:t>
                  </w:r>
                  <w:r>
                    <w:rPr>
                      <w:rFonts w:hint="eastAsia" w:ascii="Times New Roman" w:hAnsi="Times New Roman" w:eastAsia="宋体" w:cs="Times New Roman"/>
                      <w:bCs/>
                      <w:szCs w:val="21"/>
                    </w:rPr>
                    <w:t>硅胶干燥剂、</w:t>
                  </w:r>
                  <w:r>
                    <w:rPr>
                      <w:rFonts w:hint="eastAsia" w:ascii="Times New Roman" w:hAnsi="Times New Roman" w:eastAsia="宋体" w:cs="Times New Roman"/>
                      <w:bCs/>
                      <w:szCs w:val="21"/>
                      <w:lang w:val="en-US" w:eastAsia="zh-CN"/>
                    </w:rPr>
                    <w:t>1000吨</w:t>
                  </w:r>
                  <w:r>
                    <w:rPr>
                      <w:rFonts w:hint="eastAsia" w:ascii="Times New Roman" w:hAnsi="Times New Roman" w:eastAsia="宋体" w:cs="Times New Roman"/>
                      <w:bCs/>
                      <w:szCs w:val="21"/>
                    </w:rPr>
                    <w:t>分子筛干燥剂、</w:t>
                  </w:r>
                  <w:r>
                    <w:rPr>
                      <w:rFonts w:hint="eastAsia" w:ascii="Times New Roman" w:hAnsi="Times New Roman" w:eastAsia="宋体" w:cs="Times New Roman"/>
                      <w:bCs/>
                      <w:szCs w:val="21"/>
                      <w:lang w:val="en-US" w:eastAsia="zh-CN"/>
                    </w:rPr>
                    <w:t>100吨</w:t>
                  </w:r>
                  <w:r>
                    <w:rPr>
                      <w:rFonts w:hint="eastAsia" w:ascii="Times New Roman" w:hAnsi="Times New Roman" w:eastAsia="宋体" w:cs="Times New Roman"/>
                      <w:bCs/>
                      <w:szCs w:val="21"/>
                    </w:rPr>
                    <w:t>活性炭干燥剂、</w:t>
                  </w:r>
                  <w:r>
                    <w:rPr>
                      <w:rFonts w:hint="eastAsia" w:ascii="Times New Roman" w:hAnsi="Times New Roman" w:eastAsia="宋体" w:cs="Times New Roman"/>
                      <w:bCs/>
                      <w:szCs w:val="21"/>
                      <w:lang w:val="en-US" w:eastAsia="zh-CN"/>
                    </w:rPr>
                    <w:t>100吨</w:t>
                  </w:r>
                  <w:r>
                    <w:rPr>
                      <w:rFonts w:hint="eastAsia" w:ascii="Times New Roman" w:hAnsi="Times New Roman" w:eastAsia="宋体" w:cs="Times New Roman"/>
                      <w:bCs/>
                      <w:szCs w:val="21"/>
                    </w:rPr>
                    <w:t>氧气指示剂、</w:t>
                  </w:r>
                  <w:r>
                    <w:rPr>
                      <w:rFonts w:hint="eastAsia" w:ascii="Times New Roman" w:hAnsi="Times New Roman" w:eastAsia="宋体" w:cs="Times New Roman"/>
                      <w:bCs/>
                      <w:szCs w:val="21"/>
                      <w:lang w:val="en-US" w:eastAsia="zh-CN"/>
                    </w:rPr>
                    <w:t>500吨</w:t>
                  </w:r>
                  <w:r>
                    <w:rPr>
                      <w:rFonts w:hint="eastAsia" w:ascii="Times New Roman" w:hAnsi="Times New Roman" w:eastAsia="宋体" w:cs="Times New Roman"/>
                      <w:bCs/>
                      <w:szCs w:val="21"/>
                    </w:rPr>
                    <w:t>二氧化碳指示剂、</w:t>
                  </w:r>
                  <w:r>
                    <w:rPr>
                      <w:rFonts w:hint="eastAsia" w:ascii="Times New Roman" w:hAnsi="Times New Roman" w:eastAsia="宋体" w:cs="Times New Roman"/>
                      <w:bCs/>
                      <w:szCs w:val="21"/>
                      <w:lang w:val="en-US" w:eastAsia="zh-CN"/>
                    </w:rPr>
                    <w:t>1000吨</w:t>
                  </w:r>
                  <w:r>
                    <w:rPr>
                      <w:rFonts w:hint="eastAsia" w:ascii="Times New Roman" w:hAnsi="Times New Roman" w:eastAsia="宋体" w:cs="Times New Roman"/>
                      <w:bCs/>
                      <w:szCs w:val="21"/>
                    </w:rPr>
                    <w:t>脱氧剂</w:t>
                  </w:r>
                </w:p>
              </w:tc>
              <w:tc>
                <w:tcPr>
                  <w:tcW w:w="535" w:type="dxa"/>
                  <w:vMerge w:val="restart"/>
                  <w:vAlign w:val="center"/>
                </w:tcPr>
                <w:p w14:paraId="1348DA6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 w:val="24"/>
                    </w:rPr>
                  </w:pPr>
                  <w:r>
                    <w:rPr>
                      <w:rFonts w:hint="eastAsia" w:eastAsia="宋体"/>
                    </w:rPr>
                    <w:t>依托</w:t>
                  </w:r>
                </w:p>
              </w:tc>
            </w:tr>
            <w:tr w14:paraId="3D6477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1AA13C1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tcBorders>
                    <w:top w:val="single" w:color="auto" w:sz="4" w:space="0"/>
                    <w:bottom w:val="single" w:color="auto" w:sz="4" w:space="0"/>
                  </w:tcBorders>
                  <w:vAlign w:val="center"/>
                </w:tcPr>
                <w:p w14:paraId="1EBFE45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脱氧剂车间2</w:t>
                  </w:r>
                </w:p>
              </w:tc>
              <w:tc>
                <w:tcPr>
                  <w:tcW w:w="4550" w:type="dxa"/>
                  <w:tcBorders>
                    <w:top w:val="single" w:color="auto" w:sz="4" w:space="0"/>
                    <w:bottom w:val="single" w:color="auto" w:sz="4" w:space="0"/>
                  </w:tcBorders>
                  <w:vAlign w:val="center"/>
                </w:tcPr>
                <w:p w14:paraId="7F40F6FD">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位于5号楼1层，主要</w:t>
                  </w:r>
                  <w:r>
                    <w:rPr>
                      <w:rFonts w:hint="default" w:ascii="Times New Roman" w:hAnsi="Times New Roman" w:eastAsia="宋体" w:cs="Times New Roman"/>
                      <w:bCs/>
                      <w:szCs w:val="21"/>
                    </w:rPr>
                    <w:t>用于脱氧剂称重、干燥</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建筑面积为42.24</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188" w:type="dxa"/>
                  <w:vMerge w:val="continue"/>
                  <w:vAlign w:val="center"/>
                </w:tcPr>
                <w:p w14:paraId="17A0AC3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535" w:type="dxa"/>
                  <w:vMerge w:val="continue"/>
                  <w:vAlign w:val="center"/>
                </w:tcPr>
                <w:p w14:paraId="460C8A1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 w:val="24"/>
                    </w:rPr>
                  </w:pPr>
                </w:p>
              </w:tc>
            </w:tr>
            <w:tr w14:paraId="0C1299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51E9173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tcBorders>
                    <w:top w:val="single" w:color="auto" w:sz="4" w:space="0"/>
                    <w:bottom w:val="single" w:color="auto" w:sz="4" w:space="0"/>
                  </w:tcBorders>
                  <w:vAlign w:val="center"/>
                </w:tcPr>
                <w:p w14:paraId="30BDA10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二氧化碳指示剂车间</w:t>
                  </w:r>
                </w:p>
              </w:tc>
              <w:tc>
                <w:tcPr>
                  <w:tcW w:w="4550" w:type="dxa"/>
                  <w:tcBorders>
                    <w:top w:val="single" w:color="auto" w:sz="4" w:space="0"/>
                    <w:bottom w:val="single" w:color="auto" w:sz="4" w:space="0"/>
                  </w:tcBorders>
                  <w:vAlign w:val="center"/>
                </w:tcPr>
                <w:p w14:paraId="62A3E6FC">
                  <w:pPr>
                    <w:keepNext w:val="0"/>
                    <w:keepLines w:val="0"/>
                    <w:suppressLineNumbers w:val="0"/>
                    <w:spacing w:before="0" w:beforeAutospacing="0" w:after="0" w:afterAutospacing="0"/>
                    <w:ind w:left="0" w:right="0"/>
                    <w:jc w:val="center"/>
                    <w:rPr>
                      <w:rFonts w:hint="default"/>
                    </w:rPr>
                  </w:pPr>
                  <w:r>
                    <w:rPr>
                      <w:rFonts w:hint="eastAsia" w:ascii="Times New Roman" w:hAnsi="Times New Roman" w:eastAsia="宋体" w:cs="Times New Roman"/>
                      <w:bCs/>
                      <w:szCs w:val="21"/>
                    </w:rPr>
                    <w:t>位于5号楼1层，主要</w:t>
                  </w:r>
                  <w:r>
                    <w:rPr>
                      <w:rFonts w:hint="default" w:ascii="Times New Roman" w:hAnsi="Times New Roman" w:eastAsia="宋体" w:cs="Times New Roman"/>
                      <w:bCs/>
                      <w:szCs w:val="21"/>
                    </w:rPr>
                    <w:t>用于</w:t>
                  </w:r>
                  <w:r>
                    <w:rPr>
                      <w:rFonts w:hint="eastAsia" w:ascii="Times New Roman" w:hAnsi="Times New Roman" w:eastAsia="宋体" w:cs="Times New Roman"/>
                      <w:bCs/>
                      <w:szCs w:val="21"/>
                    </w:rPr>
                    <w:t>二氧化碳指示剂</w:t>
                  </w:r>
                  <w:r>
                    <w:rPr>
                      <w:rFonts w:hint="default" w:ascii="Times New Roman" w:hAnsi="Times New Roman" w:eastAsia="宋体" w:cs="Times New Roman"/>
                      <w:bCs/>
                      <w:szCs w:val="21"/>
                    </w:rPr>
                    <w:t>称重、干燥</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建筑面积为47.8</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188" w:type="dxa"/>
                  <w:vMerge w:val="continue"/>
                  <w:vAlign w:val="center"/>
                </w:tcPr>
                <w:p w14:paraId="0A5FEC4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535" w:type="dxa"/>
                  <w:vMerge w:val="continue"/>
                  <w:vAlign w:val="center"/>
                </w:tcPr>
                <w:p w14:paraId="17DDE9D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 w:val="24"/>
                    </w:rPr>
                  </w:pPr>
                </w:p>
              </w:tc>
            </w:tr>
            <w:tr w14:paraId="770670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3563897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tcBorders>
                    <w:top w:val="single" w:color="auto" w:sz="4" w:space="0"/>
                    <w:bottom w:val="single" w:color="auto" w:sz="4" w:space="0"/>
                  </w:tcBorders>
                  <w:vAlign w:val="center"/>
                </w:tcPr>
                <w:p w14:paraId="209C6D5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活性炭干燥剂车间</w:t>
                  </w:r>
                </w:p>
              </w:tc>
              <w:tc>
                <w:tcPr>
                  <w:tcW w:w="4550" w:type="dxa"/>
                  <w:tcBorders>
                    <w:top w:val="single" w:color="auto" w:sz="4" w:space="0"/>
                    <w:bottom w:val="single" w:color="auto" w:sz="4" w:space="0"/>
                  </w:tcBorders>
                  <w:vAlign w:val="center"/>
                </w:tcPr>
                <w:p w14:paraId="5DC16966">
                  <w:pPr>
                    <w:keepNext w:val="0"/>
                    <w:keepLines w:val="0"/>
                    <w:suppressLineNumbers w:val="0"/>
                    <w:spacing w:before="0" w:beforeAutospacing="0" w:after="0" w:afterAutospacing="0"/>
                    <w:ind w:left="0" w:right="0"/>
                    <w:jc w:val="center"/>
                    <w:rPr>
                      <w:rFonts w:hint="default"/>
                    </w:rPr>
                  </w:pPr>
                  <w:r>
                    <w:rPr>
                      <w:rFonts w:hint="eastAsia" w:ascii="Times New Roman" w:hAnsi="Times New Roman" w:eastAsia="宋体" w:cs="Times New Roman"/>
                      <w:bCs/>
                      <w:szCs w:val="21"/>
                    </w:rPr>
                    <w:t>位于5号楼1层，主要</w:t>
                  </w:r>
                  <w:r>
                    <w:rPr>
                      <w:rFonts w:hint="default" w:ascii="Times New Roman" w:hAnsi="Times New Roman" w:eastAsia="宋体" w:cs="Times New Roman"/>
                      <w:bCs/>
                      <w:szCs w:val="21"/>
                    </w:rPr>
                    <w:t>用于</w:t>
                  </w:r>
                  <w:r>
                    <w:rPr>
                      <w:rFonts w:hint="eastAsia" w:ascii="Times New Roman" w:hAnsi="Times New Roman" w:eastAsia="宋体" w:cs="Times New Roman"/>
                      <w:bCs/>
                      <w:szCs w:val="21"/>
                    </w:rPr>
                    <w:t>活性炭干燥剂</w:t>
                  </w:r>
                  <w:r>
                    <w:rPr>
                      <w:rFonts w:hint="default" w:ascii="Times New Roman" w:hAnsi="Times New Roman" w:eastAsia="宋体" w:cs="Times New Roman"/>
                      <w:bCs/>
                      <w:szCs w:val="21"/>
                    </w:rPr>
                    <w:t>称重、干燥</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建筑面积为42.1</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188" w:type="dxa"/>
                  <w:vMerge w:val="continue"/>
                  <w:vAlign w:val="center"/>
                </w:tcPr>
                <w:p w14:paraId="3D553DB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535" w:type="dxa"/>
                  <w:vMerge w:val="continue"/>
                  <w:vAlign w:val="center"/>
                </w:tcPr>
                <w:p w14:paraId="12FE8BC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 w:val="24"/>
                    </w:rPr>
                  </w:pPr>
                </w:p>
              </w:tc>
            </w:tr>
            <w:tr w14:paraId="68F474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52212C6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tcBorders>
                    <w:top w:val="single" w:color="auto" w:sz="4" w:space="0"/>
                    <w:bottom w:val="single" w:color="auto" w:sz="4" w:space="0"/>
                  </w:tcBorders>
                  <w:vAlign w:val="center"/>
                </w:tcPr>
                <w:p w14:paraId="144D2A1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硅胶干燥剂车间</w:t>
                  </w:r>
                </w:p>
              </w:tc>
              <w:tc>
                <w:tcPr>
                  <w:tcW w:w="4550" w:type="dxa"/>
                  <w:tcBorders>
                    <w:top w:val="single" w:color="auto" w:sz="4" w:space="0"/>
                    <w:bottom w:val="single" w:color="auto" w:sz="4" w:space="0"/>
                  </w:tcBorders>
                  <w:vAlign w:val="center"/>
                </w:tcPr>
                <w:p w14:paraId="24A487A2">
                  <w:pPr>
                    <w:keepNext w:val="0"/>
                    <w:keepLines w:val="0"/>
                    <w:suppressLineNumbers w:val="0"/>
                    <w:spacing w:before="0" w:beforeAutospacing="0" w:after="0" w:afterAutospacing="0"/>
                    <w:ind w:left="0" w:right="0"/>
                    <w:jc w:val="center"/>
                    <w:rPr>
                      <w:rFonts w:hint="default"/>
                    </w:rPr>
                  </w:pPr>
                  <w:r>
                    <w:rPr>
                      <w:rFonts w:hint="eastAsia" w:ascii="Times New Roman" w:hAnsi="Times New Roman" w:eastAsia="宋体" w:cs="Times New Roman"/>
                      <w:bCs/>
                      <w:szCs w:val="21"/>
                    </w:rPr>
                    <w:t>位于5号楼1层，主要</w:t>
                  </w:r>
                  <w:r>
                    <w:rPr>
                      <w:rFonts w:hint="default" w:ascii="Times New Roman" w:hAnsi="Times New Roman" w:eastAsia="宋体" w:cs="Times New Roman"/>
                      <w:bCs/>
                      <w:szCs w:val="21"/>
                    </w:rPr>
                    <w:t>用于</w:t>
                  </w:r>
                  <w:r>
                    <w:rPr>
                      <w:rFonts w:hint="eastAsia" w:ascii="Times New Roman" w:hAnsi="Times New Roman" w:eastAsia="宋体" w:cs="Times New Roman"/>
                      <w:bCs/>
                      <w:szCs w:val="21"/>
                    </w:rPr>
                    <w:t>硅胶干燥剂</w:t>
                  </w:r>
                  <w:r>
                    <w:rPr>
                      <w:rFonts w:hint="default" w:ascii="Times New Roman" w:hAnsi="Times New Roman" w:eastAsia="宋体" w:cs="Times New Roman"/>
                      <w:bCs/>
                      <w:szCs w:val="21"/>
                    </w:rPr>
                    <w:t>称重、干燥</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建筑面积为37.9</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188" w:type="dxa"/>
                  <w:vMerge w:val="continue"/>
                  <w:vAlign w:val="center"/>
                </w:tcPr>
                <w:p w14:paraId="719B266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535" w:type="dxa"/>
                  <w:vMerge w:val="continue"/>
                  <w:vAlign w:val="center"/>
                </w:tcPr>
                <w:p w14:paraId="6420574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 w:val="24"/>
                    </w:rPr>
                  </w:pPr>
                </w:p>
              </w:tc>
            </w:tr>
            <w:tr w14:paraId="6DEDBC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76" w:type="dxa"/>
                  <w:vMerge w:val="continue"/>
                  <w:vAlign w:val="center"/>
                </w:tcPr>
                <w:p w14:paraId="1B87152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tcBorders>
                    <w:top w:val="single" w:color="auto" w:sz="4" w:space="0"/>
                    <w:bottom w:val="single" w:color="auto" w:sz="4" w:space="0"/>
                  </w:tcBorders>
                  <w:vAlign w:val="center"/>
                </w:tcPr>
                <w:p w14:paraId="04B384A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分子筛干燥剂车间</w:t>
                  </w:r>
                </w:p>
              </w:tc>
              <w:tc>
                <w:tcPr>
                  <w:tcW w:w="4550" w:type="dxa"/>
                  <w:tcBorders>
                    <w:top w:val="single" w:color="auto" w:sz="4" w:space="0"/>
                    <w:bottom w:val="single" w:color="auto" w:sz="4" w:space="0"/>
                  </w:tcBorders>
                  <w:vAlign w:val="center"/>
                </w:tcPr>
                <w:p w14:paraId="6413EF4F">
                  <w:pPr>
                    <w:keepNext w:val="0"/>
                    <w:keepLines w:val="0"/>
                    <w:suppressLineNumbers w:val="0"/>
                    <w:spacing w:before="0" w:beforeAutospacing="0" w:after="0" w:afterAutospacing="0"/>
                    <w:ind w:left="0" w:right="0"/>
                    <w:jc w:val="center"/>
                    <w:rPr>
                      <w:rFonts w:hint="default"/>
                    </w:rPr>
                  </w:pPr>
                  <w:r>
                    <w:rPr>
                      <w:rFonts w:hint="eastAsia" w:ascii="Times New Roman" w:hAnsi="Times New Roman" w:eastAsia="宋体" w:cs="Times New Roman"/>
                      <w:bCs/>
                      <w:szCs w:val="21"/>
                    </w:rPr>
                    <w:t>位于5号楼1层，主要</w:t>
                  </w:r>
                  <w:r>
                    <w:rPr>
                      <w:rFonts w:hint="default" w:ascii="Times New Roman" w:hAnsi="Times New Roman" w:eastAsia="宋体" w:cs="Times New Roman"/>
                      <w:bCs/>
                      <w:szCs w:val="21"/>
                    </w:rPr>
                    <w:t>用于</w:t>
                  </w:r>
                  <w:r>
                    <w:rPr>
                      <w:rFonts w:hint="eastAsia" w:ascii="Times New Roman" w:hAnsi="Times New Roman" w:eastAsia="宋体" w:cs="Times New Roman"/>
                      <w:bCs/>
                      <w:szCs w:val="21"/>
                    </w:rPr>
                    <w:t>分子筛干燥剂</w:t>
                  </w:r>
                  <w:r>
                    <w:rPr>
                      <w:rFonts w:hint="default" w:ascii="Times New Roman" w:hAnsi="Times New Roman" w:eastAsia="宋体" w:cs="Times New Roman"/>
                      <w:bCs/>
                      <w:szCs w:val="21"/>
                    </w:rPr>
                    <w:t>称重、干燥</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建筑面积为18.4</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188" w:type="dxa"/>
                  <w:vMerge w:val="continue"/>
                  <w:vAlign w:val="center"/>
                </w:tcPr>
                <w:p w14:paraId="18E33C5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535" w:type="dxa"/>
                  <w:vMerge w:val="continue"/>
                  <w:vAlign w:val="center"/>
                </w:tcPr>
                <w:p w14:paraId="52D0506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 w:val="24"/>
                    </w:rPr>
                  </w:pPr>
                </w:p>
              </w:tc>
            </w:tr>
            <w:tr w14:paraId="30207C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76" w:type="dxa"/>
                  <w:vMerge w:val="continue"/>
                  <w:vAlign w:val="center"/>
                </w:tcPr>
                <w:p w14:paraId="57E3500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tcBorders>
                    <w:top w:val="single" w:color="auto" w:sz="4" w:space="0"/>
                    <w:bottom w:val="single" w:color="auto" w:sz="4" w:space="0"/>
                  </w:tcBorders>
                  <w:shd w:val="clear" w:color="auto" w:fill="auto"/>
                  <w:vAlign w:val="center"/>
                </w:tcPr>
                <w:p w14:paraId="728466B9">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rPr>
                    <w:t>氧气指示剂车间</w:t>
                  </w:r>
                </w:p>
              </w:tc>
              <w:tc>
                <w:tcPr>
                  <w:tcW w:w="4550" w:type="dxa"/>
                  <w:tcBorders>
                    <w:top w:val="single" w:color="auto" w:sz="4" w:space="0"/>
                    <w:bottom w:val="single" w:color="auto" w:sz="4" w:space="0"/>
                  </w:tcBorders>
                  <w:shd w:val="clear" w:color="auto" w:fill="auto"/>
                  <w:vAlign w:val="center"/>
                </w:tcPr>
                <w:p w14:paraId="1A995A97">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kern w:val="2"/>
                      <w:sz w:val="21"/>
                      <w:szCs w:val="22"/>
                      <w:lang w:val="en-US" w:eastAsia="zh-CN" w:bidi="ar-SA"/>
                    </w:rPr>
                  </w:pPr>
                  <w:r>
                    <w:rPr>
                      <w:rFonts w:hint="eastAsia" w:ascii="Times New Roman" w:hAnsi="Times New Roman" w:eastAsia="宋体" w:cs="Times New Roman"/>
                      <w:bCs/>
                      <w:szCs w:val="21"/>
                    </w:rPr>
                    <w:t>位于5号楼1层，主要</w:t>
                  </w:r>
                  <w:r>
                    <w:rPr>
                      <w:rFonts w:hint="default" w:ascii="Times New Roman" w:hAnsi="Times New Roman" w:eastAsia="宋体" w:cs="Times New Roman"/>
                      <w:bCs/>
                      <w:szCs w:val="21"/>
                    </w:rPr>
                    <w:t>用于</w:t>
                  </w:r>
                  <w:r>
                    <w:rPr>
                      <w:rFonts w:hint="eastAsia" w:ascii="Times New Roman" w:hAnsi="Times New Roman" w:eastAsia="宋体" w:cs="Times New Roman"/>
                      <w:bCs/>
                      <w:szCs w:val="21"/>
                    </w:rPr>
                    <w:t>氧气指示剂</w:t>
                  </w:r>
                  <w:r>
                    <w:rPr>
                      <w:rFonts w:hint="default" w:ascii="Times New Roman" w:hAnsi="Times New Roman" w:eastAsia="宋体" w:cs="Times New Roman"/>
                      <w:bCs/>
                      <w:szCs w:val="21"/>
                    </w:rPr>
                    <w:t>称重、干燥</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建筑面积为44.4</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188" w:type="dxa"/>
                  <w:vMerge w:val="continue"/>
                  <w:vAlign w:val="center"/>
                </w:tcPr>
                <w:p w14:paraId="268EE34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535" w:type="dxa"/>
                  <w:vMerge w:val="continue"/>
                  <w:vAlign w:val="center"/>
                </w:tcPr>
                <w:p w14:paraId="0BB7074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 w:val="24"/>
                    </w:rPr>
                  </w:pPr>
                </w:p>
              </w:tc>
            </w:tr>
            <w:tr w14:paraId="525205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76" w:type="dxa"/>
                  <w:vMerge w:val="continue"/>
                  <w:vAlign w:val="center"/>
                </w:tcPr>
                <w:p w14:paraId="3B7DEE1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tcBorders>
                    <w:top w:val="single" w:color="auto" w:sz="4" w:space="0"/>
                    <w:bottom w:val="single" w:color="auto" w:sz="4" w:space="0"/>
                  </w:tcBorders>
                  <w:shd w:val="clear" w:color="auto" w:fill="auto"/>
                  <w:vAlign w:val="center"/>
                </w:tcPr>
                <w:p w14:paraId="116E191D">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内包装车间</w:t>
                  </w:r>
                </w:p>
              </w:tc>
              <w:tc>
                <w:tcPr>
                  <w:tcW w:w="4550" w:type="dxa"/>
                  <w:tcBorders>
                    <w:top w:val="single" w:color="auto" w:sz="4" w:space="0"/>
                    <w:bottom w:val="single" w:color="auto" w:sz="4" w:space="0"/>
                  </w:tcBorders>
                  <w:shd w:val="clear" w:color="auto" w:fill="auto"/>
                  <w:vAlign w:val="center"/>
                </w:tcPr>
                <w:p w14:paraId="47C9D94E">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kern w:val="2"/>
                      <w:sz w:val="21"/>
                      <w:szCs w:val="22"/>
                      <w:lang w:val="en-US" w:eastAsia="zh-CN" w:bidi="ar-SA"/>
                    </w:rPr>
                  </w:pPr>
                  <w:r>
                    <w:rPr>
                      <w:rFonts w:hint="eastAsia" w:ascii="Times New Roman" w:hAnsi="Times New Roman" w:eastAsia="宋体" w:cs="Times New Roman"/>
                      <w:bCs/>
                      <w:szCs w:val="21"/>
                    </w:rPr>
                    <w:t>位于5号楼</w:t>
                  </w:r>
                  <w:r>
                    <w:rPr>
                      <w:rFonts w:hint="eastAsia" w:ascii="Times New Roman" w:hAnsi="Times New Roman" w:eastAsia="宋体" w:cs="Times New Roman"/>
                      <w:bCs/>
                      <w:szCs w:val="21"/>
                      <w:lang w:val="en-US" w:eastAsia="zh-CN"/>
                    </w:rPr>
                    <w:t>2</w:t>
                  </w:r>
                  <w:r>
                    <w:rPr>
                      <w:rFonts w:hint="eastAsia" w:ascii="Times New Roman" w:hAnsi="Times New Roman" w:eastAsia="宋体" w:cs="Times New Roman"/>
                      <w:bCs/>
                      <w:szCs w:val="21"/>
                    </w:rPr>
                    <w:t>层，主要</w:t>
                  </w:r>
                  <w:r>
                    <w:rPr>
                      <w:rFonts w:hint="default" w:ascii="Times New Roman" w:hAnsi="Times New Roman" w:eastAsia="宋体" w:cs="Times New Roman"/>
                      <w:bCs/>
                      <w:szCs w:val="21"/>
                    </w:rPr>
                    <w:t>用于</w:t>
                  </w:r>
                  <w:r>
                    <w:rPr>
                      <w:rFonts w:hint="eastAsia" w:ascii="Times New Roman" w:hAnsi="Times New Roman" w:eastAsia="宋体" w:cs="Times New Roman"/>
                      <w:bCs/>
                      <w:szCs w:val="21"/>
                      <w:lang w:val="en-US" w:eastAsia="zh-CN"/>
                    </w:rPr>
                    <w:t>产品的内包装</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建筑面积为719</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188" w:type="dxa"/>
                  <w:vMerge w:val="continue"/>
                  <w:vAlign w:val="center"/>
                </w:tcPr>
                <w:p w14:paraId="120F366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535" w:type="dxa"/>
                  <w:vMerge w:val="continue"/>
                  <w:vAlign w:val="center"/>
                </w:tcPr>
                <w:p w14:paraId="3271B99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 w:val="24"/>
                    </w:rPr>
                  </w:pPr>
                </w:p>
              </w:tc>
            </w:tr>
            <w:tr w14:paraId="4C0AE3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676" w:type="dxa"/>
                  <w:vMerge w:val="continue"/>
                  <w:vAlign w:val="center"/>
                </w:tcPr>
                <w:p w14:paraId="3C40A56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tcBorders>
                    <w:top w:val="single" w:color="auto" w:sz="4" w:space="0"/>
                    <w:bottom w:val="single" w:color="auto" w:sz="4" w:space="0"/>
                  </w:tcBorders>
                  <w:vAlign w:val="center"/>
                </w:tcPr>
                <w:p w14:paraId="1597FD1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外包装车间</w:t>
                  </w:r>
                </w:p>
              </w:tc>
              <w:tc>
                <w:tcPr>
                  <w:tcW w:w="4550" w:type="dxa"/>
                  <w:tcBorders>
                    <w:top w:val="single" w:color="auto" w:sz="4" w:space="0"/>
                    <w:bottom w:val="single" w:color="auto" w:sz="4" w:space="0"/>
                  </w:tcBorders>
                  <w:vAlign w:val="center"/>
                </w:tcPr>
                <w:p w14:paraId="179F0DC3">
                  <w:pPr>
                    <w:keepNext w:val="0"/>
                    <w:keepLines w:val="0"/>
                    <w:suppressLineNumbers w:val="0"/>
                    <w:spacing w:before="0" w:beforeAutospacing="0" w:after="0" w:afterAutospacing="0"/>
                    <w:ind w:left="0" w:right="0"/>
                    <w:jc w:val="center"/>
                    <w:rPr>
                      <w:rFonts w:hint="default"/>
                    </w:rPr>
                  </w:pPr>
                  <w:r>
                    <w:rPr>
                      <w:rFonts w:hint="eastAsia" w:ascii="Times New Roman" w:hAnsi="Times New Roman" w:eastAsia="宋体" w:cs="Times New Roman"/>
                      <w:bCs/>
                      <w:szCs w:val="21"/>
                    </w:rPr>
                    <w:t>位于5号楼</w:t>
                  </w:r>
                  <w:r>
                    <w:rPr>
                      <w:rFonts w:hint="eastAsia" w:ascii="Times New Roman" w:hAnsi="Times New Roman" w:eastAsia="宋体" w:cs="Times New Roman"/>
                      <w:bCs/>
                      <w:szCs w:val="21"/>
                      <w:lang w:val="en-US" w:eastAsia="zh-CN"/>
                    </w:rPr>
                    <w:t>2</w:t>
                  </w:r>
                  <w:r>
                    <w:rPr>
                      <w:rFonts w:hint="eastAsia" w:ascii="Times New Roman" w:hAnsi="Times New Roman" w:eastAsia="宋体" w:cs="Times New Roman"/>
                      <w:bCs/>
                      <w:szCs w:val="21"/>
                    </w:rPr>
                    <w:t>层，主要</w:t>
                  </w:r>
                  <w:r>
                    <w:rPr>
                      <w:rFonts w:hint="default" w:ascii="Times New Roman" w:hAnsi="Times New Roman" w:eastAsia="宋体" w:cs="Times New Roman"/>
                      <w:bCs/>
                      <w:szCs w:val="21"/>
                    </w:rPr>
                    <w:t>用于</w:t>
                  </w:r>
                  <w:r>
                    <w:rPr>
                      <w:rFonts w:hint="eastAsia" w:ascii="Times New Roman" w:hAnsi="Times New Roman" w:eastAsia="宋体" w:cs="Times New Roman"/>
                      <w:bCs/>
                      <w:szCs w:val="21"/>
                      <w:lang w:val="en-US" w:eastAsia="zh-CN"/>
                    </w:rPr>
                    <w:t>产品的外包装</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建筑面积为780</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188" w:type="dxa"/>
                  <w:vMerge w:val="continue"/>
                  <w:vAlign w:val="center"/>
                </w:tcPr>
                <w:p w14:paraId="3848025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535" w:type="dxa"/>
                  <w:vMerge w:val="continue"/>
                  <w:vAlign w:val="center"/>
                </w:tcPr>
                <w:p w14:paraId="5D515F2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 w:val="24"/>
                    </w:rPr>
                  </w:pPr>
                </w:p>
              </w:tc>
            </w:tr>
            <w:tr w14:paraId="6455AE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restart"/>
                  <w:vAlign w:val="center"/>
                </w:tcPr>
                <w:p w14:paraId="555C1B7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辅助工程</w:t>
                  </w:r>
                </w:p>
              </w:tc>
              <w:tc>
                <w:tcPr>
                  <w:tcW w:w="1442" w:type="dxa"/>
                  <w:vAlign w:val="center"/>
                </w:tcPr>
                <w:p w14:paraId="0779BB4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办公区</w:t>
                  </w:r>
                </w:p>
              </w:tc>
              <w:tc>
                <w:tcPr>
                  <w:tcW w:w="4550" w:type="dxa"/>
                  <w:vAlign w:val="center"/>
                </w:tcPr>
                <w:p w14:paraId="157768F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位于5号楼6层，</w:t>
                  </w:r>
                  <w:r>
                    <w:rPr>
                      <w:rFonts w:hint="default" w:ascii="Times New Roman" w:hAnsi="Times New Roman" w:eastAsia="宋体" w:cs="Times New Roman"/>
                      <w:bCs/>
                      <w:szCs w:val="21"/>
                    </w:rPr>
                    <w:t>主要用于员工日常办公</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建筑面积为745</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723" w:type="dxa"/>
                  <w:gridSpan w:val="2"/>
                  <w:vMerge w:val="restart"/>
                  <w:vAlign w:val="center"/>
                </w:tcPr>
                <w:p w14:paraId="4DED6FD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eastAsia="宋体"/>
                    </w:rPr>
                    <w:t>依托</w:t>
                  </w:r>
                </w:p>
              </w:tc>
            </w:tr>
            <w:tr w14:paraId="34175A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196D9DE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Align w:val="center"/>
                </w:tcPr>
                <w:p w14:paraId="6E334D7F">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eastAsia="zh-CN"/>
                    </w:rPr>
                    <w:t>质检室</w:t>
                  </w:r>
                </w:p>
              </w:tc>
              <w:tc>
                <w:tcPr>
                  <w:tcW w:w="4550" w:type="dxa"/>
                  <w:vAlign w:val="center"/>
                </w:tcPr>
                <w:p w14:paraId="35B24AA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位于5号楼2层，主要用于产品</w:t>
                  </w:r>
                  <w:r>
                    <w:rPr>
                      <w:rFonts w:hint="eastAsia" w:ascii="Times New Roman" w:hAnsi="Times New Roman" w:eastAsia="宋体" w:cs="Times New Roman"/>
                      <w:bCs/>
                      <w:szCs w:val="21"/>
                      <w:lang w:eastAsia="zh-CN"/>
                    </w:rPr>
                    <w:t>（硅胶干燥剂、分子筛干燥剂、活性炭干燥剂、氧气指示剂、二氧化碳指示剂、脱氧剂）</w:t>
                  </w:r>
                  <w:r>
                    <w:rPr>
                      <w:rFonts w:hint="eastAsia" w:ascii="Times New Roman" w:hAnsi="Times New Roman" w:eastAsia="宋体" w:cs="Times New Roman"/>
                      <w:bCs/>
                      <w:szCs w:val="21"/>
                    </w:rPr>
                    <w:t>的检验</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建筑面积为620</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723" w:type="dxa"/>
                  <w:gridSpan w:val="2"/>
                  <w:vMerge w:val="continue"/>
                  <w:vAlign w:val="center"/>
                </w:tcPr>
                <w:p w14:paraId="75004A61">
                  <w:pPr>
                    <w:keepNext w:val="0"/>
                    <w:keepLines w:val="0"/>
                    <w:suppressLineNumbers w:val="0"/>
                    <w:spacing w:before="0" w:beforeAutospacing="0" w:after="0" w:afterAutospacing="0" w:line="276" w:lineRule="auto"/>
                    <w:ind w:left="0" w:right="0"/>
                    <w:jc w:val="center"/>
                    <w:rPr>
                      <w:rFonts w:hint="default" w:eastAsia="宋体"/>
                    </w:rPr>
                  </w:pPr>
                </w:p>
              </w:tc>
            </w:tr>
            <w:tr w14:paraId="4EF97B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restart"/>
                  <w:vAlign w:val="center"/>
                </w:tcPr>
                <w:p w14:paraId="651929F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储运工程</w:t>
                  </w:r>
                </w:p>
              </w:tc>
              <w:tc>
                <w:tcPr>
                  <w:tcW w:w="1442" w:type="dxa"/>
                  <w:vAlign w:val="center"/>
                </w:tcPr>
                <w:p w14:paraId="241997F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原料仓库</w:t>
                  </w:r>
                </w:p>
              </w:tc>
              <w:tc>
                <w:tcPr>
                  <w:tcW w:w="4550" w:type="dxa"/>
                  <w:vAlign w:val="center"/>
                </w:tcPr>
                <w:p w14:paraId="7D852DE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位于5号楼3层，主要用于储存原材料</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建筑面积为2169</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723" w:type="dxa"/>
                  <w:gridSpan w:val="2"/>
                  <w:vMerge w:val="restart"/>
                  <w:vAlign w:val="center"/>
                </w:tcPr>
                <w:p w14:paraId="38F3A894">
                  <w:pPr>
                    <w:keepNext w:val="0"/>
                    <w:keepLines w:val="0"/>
                    <w:suppressLineNumbers w:val="0"/>
                    <w:spacing w:before="0" w:beforeAutospacing="0" w:after="0" w:afterAutospacing="0" w:line="276" w:lineRule="auto"/>
                    <w:ind w:left="0" w:right="0"/>
                    <w:jc w:val="center"/>
                    <w:rPr>
                      <w:rFonts w:hint="default" w:eastAsia="宋体"/>
                    </w:rPr>
                  </w:pPr>
                  <w:r>
                    <w:rPr>
                      <w:rFonts w:hint="eastAsia" w:eastAsia="宋体"/>
                    </w:rPr>
                    <w:t>依托</w:t>
                  </w:r>
                </w:p>
              </w:tc>
            </w:tr>
            <w:tr w14:paraId="517122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6CB6A74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Align w:val="center"/>
                </w:tcPr>
                <w:p w14:paraId="71F594E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物料暂存间</w:t>
                  </w:r>
                </w:p>
              </w:tc>
              <w:tc>
                <w:tcPr>
                  <w:tcW w:w="4550" w:type="dxa"/>
                  <w:vAlign w:val="center"/>
                </w:tcPr>
                <w:p w14:paraId="2D8AEF4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位于5号楼1层，主要用于储存将生产的原材料，建筑面积为56.89m</w:t>
                  </w:r>
                  <w:r>
                    <w:rPr>
                      <w:rFonts w:hint="eastAsia" w:ascii="Times New Roman" w:hAnsi="Times New Roman" w:eastAsia="宋体" w:cs="Times New Roman"/>
                      <w:bCs/>
                      <w:szCs w:val="21"/>
                      <w:vertAlign w:val="superscript"/>
                    </w:rPr>
                    <w:t>2</w:t>
                  </w:r>
                </w:p>
              </w:tc>
              <w:tc>
                <w:tcPr>
                  <w:tcW w:w="1723" w:type="dxa"/>
                  <w:gridSpan w:val="2"/>
                  <w:vMerge w:val="continue"/>
                  <w:vAlign w:val="center"/>
                </w:tcPr>
                <w:p w14:paraId="4C72D561">
                  <w:pPr>
                    <w:keepNext w:val="0"/>
                    <w:keepLines w:val="0"/>
                    <w:suppressLineNumbers w:val="0"/>
                    <w:spacing w:before="0" w:beforeAutospacing="0" w:after="0" w:afterAutospacing="0" w:line="276" w:lineRule="auto"/>
                    <w:ind w:left="0" w:right="0"/>
                    <w:jc w:val="center"/>
                    <w:rPr>
                      <w:rFonts w:hint="default" w:eastAsia="宋体"/>
                    </w:rPr>
                  </w:pPr>
                </w:p>
              </w:tc>
            </w:tr>
            <w:tr w14:paraId="1CDE91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29DF8A4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Align w:val="center"/>
                </w:tcPr>
                <w:p w14:paraId="19E24F8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成品仓库</w:t>
                  </w:r>
                </w:p>
              </w:tc>
              <w:tc>
                <w:tcPr>
                  <w:tcW w:w="4550" w:type="dxa"/>
                  <w:vAlign w:val="center"/>
                </w:tcPr>
                <w:p w14:paraId="53CF1A3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位于5号楼7层，用于储存成品</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建筑面积为623</w:t>
                  </w:r>
                  <w:r>
                    <w:rPr>
                      <w:rFonts w:hint="eastAsia" w:ascii="Times New Roman" w:hAnsi="Times New Roman" w:eastAsia="宋体" w:cs="Times New Roman"/>
                      <w:bCs/>
                      <w:szCs w:val="21"/>
                    </w:rPr>
                    <w:t>m</w:t>
                  </w:r>
                  <w:r>
                    <w:rPr>
                      <w:rFonts w:hint="eastAsia" w:ascii="Times New Roman" w:hAnsi="Times New Roman" w:eastAsia="宋体" w:cs="Times New Roman"/>
                      <w:bCs/>
                      <w:szCs w:val="21"/>
                      <w:vertAlign w:val="superscript"/>
                    </w:rPr>
                    <w:t>2</w:t>
                  </w:r>
                </w:p>
              </w:tc>
              <w:tc>
                <w:tcPr>
                  <w:tcW w:w="1723" w:type="dxa"/>
                  <w:gridSpan w:val="2"/>
                  <w:vMerge w:val="continue"/>
                  <w:vAlign w:val="center"/>
                </w:tcPr>
                <w:p w14:paraId="2A3600C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r>
            <w:tr w14:paraId="1895ED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restart"/>
                  <w:vAlign w:val="center"/>
                </w:tcPr>
                <w:p w14:paraId="425327B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公用工程</w:t>
                  </w:r>
                </w:p>
              </w:tc>
              <w:tc>
                <w:tcPr>
                  <w:tcW w:w="1442" w:type="dxa"/>
                  <w:vAlign w:val="center"/>
                </w:tcPr>
                <w:p w14:paraId="60329D7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供电</w:t>
                  </w:r>
                </w:p>
              </w:tc>
              <w:tc>
                <w:tcPr>
                  <w:tcW w:w="4550" w:type="dxa"/>
                  <w:vAlign w:val="center"/>
                </w:tcPr>
                <w:p w14:paraId="48030FA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cs="Times New Roman"/>
                    </w:rPr>
                    <w:t>市政电网供电</w:t>
                  </w:r>
                  <w:r>
                    <w:rPr>
                      <w:rFonts w:hint="eastAsia" w:ascii="Times New Roman" w:hAnsi="Times New Roman" w:cs="Times New Roman"/>
                    </w:rPr>
                    <w:t>，</w:t>
                  </w:r>
                  <w:r>
                    <w:rPr>
                      <w:rFonts w:hint="default" w:ascii="Times New Roman" w:hAnsi="Times New Roman" w:eastAsia="宋体" w:cs="Times New Roman"/>
                      <w:bCs/>
                      <w:szCs w:val="21"/>
                    </w:rPr>
                    <w:t>用电量</w:t>
                  </w:r>
                  <w:r>
                    <w:rPr>
                      <w:rFonts w:hint="eastAsia" w:ascii="Times New Roman" w:hAnsi="Times New Roman" w:eastAsia="宋体" w:cs="Times New Roman"/>
                      <w:bCs/>
                      <w:szCs w:val="21"/>
                    </w:rPr>
                    <w:t>50万kW·h/a</w:t>
                  </w:r>
                </w:p>
              </w:tc>
              <w:tc>
                <w:tcPr>
                  <w:tcW w:w="1723" w:type="dxa"/>
                  <w:gridSpan w:val="2"/>
                  <w:vAlign w:val="center"/>
                </w:tcPr>
                <w:p w14:paraId="7E17D39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eastAsia="宋体"/>
                    </w:rPr>
                    <w:t>依托</w:t>
                  </w:r>
                </w:p>
              </w:tc>
            </w:tr>
            <w:tr w14:paraId="0F7C2F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4DD8C7E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Align w:val="center"/>
                </w:tcPr>
                <w:p w14:paraId="6F05605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给水</w:t>
                  </w:r>
                </w:p>
              </w:tc>
              <w:tc>
                <w:tcPr>
                  <w:tcW w:w="4550" w:type="dxa"/>
                  <w:vAlign w:val="center"/>
                </w:tcPr>
                <w:p w14:paraId="698FF55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cs="Times New Roman"/>
                    </w:rPr>
                    <w:t>市政管网供给</w:t>
                  </w:r>
                  <w:r>
                    <w:rPr>
                      <w:rFonts w:hint="eastAsia" w:ascii="Times New Roman" w:hAnsi="Times New Roman" w:cs="Times New Roman"/>
                    </w:rPr>
                    <w:t>，</w:t>
                  </w:r>
                  <w:r>
                    <w:rPr>
                      <w:rFonts w:hint="default" w:ascii="Times New Roman" w:hAnsi="Times New Roman" w:eastAsia="宋体" w:cs="Times New Roman"/>
                      <w:bCs/>
                      <w:szCs w:val="21"/>
                    </w:rPr>
                    <w:t>用水量</w:t>
                  </w:r>
                  <w:r>
                    <w:rPr>
                      <w:rFonts w:hint="eastAsia" w:ascii="Times New Roman" w:hAnsi="Times New Roman" w:eastAsia="宋体" w:cs="Times New Roman"/>
                      <w:bCs/>
                      <w:szCs w:val="21"/>
                    </w:rPr>
                    <w:t>2346m</w:t>
                  </w:r>
                  <w:r>
                    <w:rPr>
                      <w:rFonts w:hint="eastAsia" w:ascii="Times New Roman" w:hAnsi="Times New Roman" w:eastAsia="宋体" w:cs="Times New Roman"/>
                      <w:bCs/>
                      <w:szCs w:val="21"/>
                      <w:vertAlign w:val="superscript"/>
                    </w:rPr>
                    <w:t>3</w:t>
                  </w:r>
                  <w:r>
                    <w:rPr>
                      <w:rFonts w:hint="eastAsia" w:ascii="Times New Roman" w:hAnsi="Times New Roman" w:eastAsia="宋体" w:cs="Times New Roman"/>
                      <w:bCs/>
                      <w:szCs w:val="21"/>
                    </w:rPr>
                    <w:t>/a</w:t>
                  </w:r>
                </w:p>
              </w:tc>
              <w:tc>
                <w:tcPr>
                  <w:tcW w:w="1723" w:type="dxa"/>
                  <w:gridSpan w:val="2"/>
                  <w:vAlign w:val="center"/>
                </w:tcPr>
                <w:p w14:paraId="52614E8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eastAsia="宋体"/>
                    </w:rPr>
                    <w:t>依托园区给水管网</w:t>
                  </w:r>
                </w:p>
              </w:tc>
            </w:tr>
            <w:tr w14:paraId="24AA42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3F99473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Align w:val="center"/>
                </w:tcPr>
                <w:p w14:paraId="74EEDEA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排水</w:t>
                  </w:r>
                </w:p>
              </w:tc>
              <w:tc>
                <w:tcPr>
                  <w:tcW w:w="4550" w:type="dxa"/>
                  <w:vAlign w:val="center"/>
                </w:tcPr>
                <w:p w14:paraId="1AE985F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雨污分流。雨水排入市政雨水管网；</w:t>
                  </w:r>
                  <w:r>
                    <w:rPr>
                      <w:rFonts w:hint="eastAsia" w:ascii="Times New Roman" w:hAnsi="Times New Roman" w:eastAsia="宋体" w:cs="Times New Roman"/>
                      <w:bCs/>
                      <w:szCs w:val="21"/>
                      <w:highlight w:val="none"/>
                    </w:rPr>
                    <w:t>后段清洗废水和保洁废水经pH调节后与经化粪池处理后的生活污水一起排入山南新区污水处理厂</w:t>
                  </w:r>
                  <w:r>
                    <w:rPr>
                      <w:rFonts w:hint="default" w:ascii="Times New Roman" w:hAnsi="Times New Roman"/>
                      <w:highlight w:val="none"/>
                    </w:rPr>
                    <w:t>，</w:t>
                  </w:r>
                  <w:r>
                    <w:rPr>
                      <w:rFonts w:hint="default" w:ascii="Times New Roman" w:hAnsi="Times New Roman" w:eastAsia="宋体" w:cs="Times New Roman"/>
                      <w:bCs/>
                      <w:szCs w:val="21"/>
                      <w:highlight w:val="none"/>
                    </w:rPr>
                    <w:t>排水量</w:t>
                  </w:r>
                  <w:r>
                    <w:rPr>
                      <w:rFonts w:hint="eastAsia" w:ascii="Times New Roman" w:hAnsi="Times New Roman" w:eastAsia="宋体" w:cs="Times New Roman"/>
                      <w:bCs/>
                      <w:szCs w:val="21"/>
                      <w:highlight w:val="none"/>
                    </w:rPr>
                    <w:t>1989.9m</w:t>
                  </w:r>
                  <w:r>
                    <w:rPr>
                      <w:rFonts w:hint="eastAsia" w:ascii="Times New Roman" w:hAnsi="Times New Roman" w:eastAsia="宋体" w:cs="Times New Roman"/>
                      <w:bCs/>
                      <w:szCs w:val="21"/>
                      <w:highlight w:val="none"/>
                      <w:vertAlign w:val="superscript"/>
                    </w:rPr>
                    <w:t>3</w:t>
                  </w:r>
                  <w:r>
                    <w:rPr>
                      <w:rFonts w:hint="eastAsia" w:ascii="Times New Roman" w:hAnsi="Times New Roman" w:eastAsia="宋体" w:cs="Times New Roman"/>
                      <w:bCs/>
                      <w:szCs w:val="21"/>
                      <w:highlight w:val="none"/>
                    </w:rPr>
                    <w:t>/a</w:t>
                  </w:r>
                </w:p>
              </w:tc>
              <w:tc>
                <w:tcPr>
                  <w:tcW w:w="1723" w:type="dxa"/>
                  <w:gridSpan w:val="2"/>
                  <w:vAlign w:val="center"/>
                </w:tcPr>
                <w:p w14:paraId="09EF2CB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highlight w:val="none"/>
                    </w:rPr>
                  </w:pPr>
                  <w:r>
                    <w:rPr>
                      <w:rFonts w:hint="eastAsia" w:eastAsia="宋体"/>
                      <w:highlight w:val="none"/>
                    </w:rPr>
                    <w:t>依托园区污水管网</w:t>
                  </w:r>
                </w:p>
              </w:tc>
            </w:tr>
            <w:tr w14:paraId="6E58FC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restart"/>
                  <w:vAlign w:val="center"/>
                </w:tcPr>
                <w:p w14:paraId="6D7C1BB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环保工程</w:t>
                  </w:r>
                </w:p>
              </w:tc>
              <w:tc>
                <w:tcPr>
                  <w:tcW w:w="1442" w:type="dxa"/>
                  <w:vAlign w:val="center"/>
                </w:tcPr>
                <w:p w14:paraId="4A5D8A3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废气</w:t>
                  </w:r>
                </w:p>
              </w:tc>
              <w:tc>
                <w:tcPr>
                  <w:tcW w:w="4550" w:type="dxa"/>
                  <w:vAlign w:val="center"/>
                </w:tcPr>
                <w:p w14:paraId="2DCF364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擦拭废气（G</w:t>
                  </w:r>
                  <w:r>
                    <w:rPr>
                      <w:rFonts w:hint="eastAsia" w:ascii="Times New Roman" w:hAnsi="Times New Roman" w:eastAsia="宋体" w:cs="Times New Roman"/>
                      <w:bCs/>
                      <w:szCs w:val="21"/>
                      <w:highlight w:val="none"/>
                      <w:vertAlign w:val="subscript"/>
                    </w:rPr>
                    <w:t>1</w:t>
                  </w:r>
                  <w:r>
                    <w:rPr>
                      <w:rFonts w:hint="eastAsia" w:ascii="Times New Roman" w:hAnsi="Times New Roman" w:eastAsia="宋体" w:cs="Times New Roman"/>
                      <w:bCs/>
                      <w:szCs w:val="21"/>
                      <w:highlight w:val="none"/>
                    </w:rPr>
                    <w:t>）</w:t>
                  </w:r>
                  <w:r>
                    <w:rPr>
                      <w:rFonts w:hint="eastAsia" w:ascii="Times New Roman" w:hAnsi="Times New Roman" w:eastAsia="宋体" w:cs="Times New Roman"/>
                      <w:bCs/>
                      <w:szCs w:val="21"/>
                      <w:highlight w:val="none"/>
                      <w:lang w:eastAsia="zh-CN"/>
                    </w:rPr>
                    <w:t>、</w:t>
                  </w:r>
                  <w:r>
                    <w:rPr>
                      <w:rFonts w:hint="eastAsia" w:ascii="Times New Roman" w:hAnsi="Times New Roman" w:eastAsia="宋体" w:cs="Times New Roman"/>
                      <w:bCs/>
                      <w:szCs w:val="21"/>
                      <w:highlight w:val="none"/>
                      <w:lang w:val="en-US" w:eastAsia="zh-CN"/>
                    </w:rPr>
                    <w:t>拆包废气</w:t>
                  </w:r>
                  <w:r>
                    <w:rPr>
                      <w:rFonts w:hint="eastAsia" w:ascii="Times New Roman" w:hAnsi="Times New Roman" w:eastAsia="宋体" w:cs="Times New Roman"/>
                      <w:bCs/>
                      <w:szCs w:val="21"/>
                      <w:highlight w:val="none"/>
                    </w:rPr>
                    <w:t>（G</w:t>
                  </w:r>
                  <w:r>
                    <w:rPr>
                      <w:rFonts w:hint="eastAsia" w:ascii="Times New Roman" w:hAnsi="Times New Roman" w:eastAsia="宋体" w:cs="Times New Roman"/>
                      <w:bCs/>
                      <w:szCs w:val="21"/>
                      <w:highlight w:val="none"/>
                      <w:vertAlign w:val="subscript"/>
                      <w:lang w:eastAsia="zh-CN"/>
                    </w:rPr>
                    <w:t>2</w:t>
                  </w:r>
                  <w:r>
                    <w:rPr>
                      <w:rFonts w:hint="eastAsia" w:ascii="Times New Roman" w:hAnsi="Times New Roman" w:eastAsia="宋体" w:cs="Times New Roman"/>
                      <w:bCs/>
                      <w:szCs w:val="21"/>
                      <w:highlight w:val="none"/>
                    </w:rPr>
                    <w:t>）</w:t>
                  </w:r>
                  <w:r>
                    <w:rPr>
                      <w:rFonts w:hint="eastAsia" w:ascii="Times New Roman" w:hAnsi="Times New Roman" w:eastAsia="宋体" w:cs="Times New Roman"/>
                      <w:bCs/>
                      <w:szCs w:val="21"/>
                      <w:highlight w:val="none"/>
                      <w:lang w:eastAsia="zh-CN"/>
                    </w:rPr>
                    <w:t>、</w:t>
                  </w:r>
                  <w:r>
                    <w:rPr>
                      <w:rFonts w:hint="eastAsia" w:ascii="Times New Roman" w:hAnsi="Times New Roman" w:eastAsia="宋体" w:cs="Times New Roman"/>
                      <w:bCs/>
                      <w:szCs w:val="21"/>
                      <w:highlight w:val="none"/>
                      <w:lang w:val="en-US" w:eastAsia="zh-CN"/>
                    </w:rPr>
                    <w:t>包装废气</w:t>
                  </w:r>
                  <w:r>
                    <w:rPr>
                      <w:rFonts w:hint="eastAsia" w:ascii="Times New Roman" w:hAnsi="Times New Roman" w:eastAsia="宋体" w:cs="Times New Roman"/>
                      <w:bCs/>
                      <w:szCs w:val="21"/>
                      <w:highlight w:val="none"/>
                    </w:rPr>
                    <w:t>（G</w:t>
                  </w:r>
                  <w:r>
                    <w:rPr>
                      <w:rFonts w:hint="eastAsia" w:ascii="Times New Roman" w:hAnsi="Times New Roman" w:eastAsia="宋体" w:cs="Times New Roman"/>
                      <w:bCs/>
                      <w:szCs w:val="21"/>
                      <w:highlight w:val="none"/>
                      <w:vertAlign w:val="subscript"/>
                      <w:lang w:eastAsia="zh-CN"/>
                    </w:rPr>
                    <w:t>3</w:t>
                  </w:r>
                  <w:r>
                    <w:rPr>
                      <w:rFonts w:hint="eastAsia" w:ascii="Times New Roman" w:hAnsi="Times New Roman" w:eastAsia="宋体" w:cs="Times New Roman"/>
                      <w:bCs/>
                      <w:szCs w:val="21"/>
                      <w:highlight w:val="none"/>
                    </w:rPr>
                    <w:t>）：厂区内无组织排放</w:t>
                  </w:r>
                </w:p>
              </w:tc>
              <w:tc>
                <w:tcPr>
                  <w:tcW w:w="1723" w:type="dxa"/>
                  <w:gridSpan w:val="2"/>
                  <w:vAlign w:val="center"/>
                </w:tcPr>
                <w:p w14:paraId="6293FD3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新建</w:t>
                  </w:r>
                </w:p>
              </w:tc>
            </w:tr>
            <w:tr w14:paraId="2A36B3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40572D8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Align w:val="center"/>
                </w:tcPr>
                <w:p w14:paraId="517C33C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废水</w:t>
                  </w:r>
                </w:p>
              </w:tc>
              <w:tc>
                <w:tcPr>
                  <w:tcW w:w="4550" w:type="dxa"/>
                  <w:tcBorders>
                    <w:right w:val="single" w:color="auto" w:sz="4" w:space="0"/>
                  </w:tcBorders>
                  <w:vAlign w:val="center"/>
                </w:tcPr>
                <w:p w14:paraId="391FDE6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雨污分流。雨水排入市政雨水管网；</w:t>
                  </w:r>
                  <w:r>
                    <w:rPr>
                      <w:rFonts w:hint="eastAsia" w:ascii="Times New Roman" w:hAnsi="Times New Roman" w:eastAsia="宋体" w:cs="Times New Roman"/>
                      <w:bCs/>
                      <w:szCs w:val="21"/>
                      <w:highlight w:val="none"/>
                    </w:rPr>
                    <w:t>后段清洗废水和保洁废水经pH调节后与经化粪池处理后的生活污水一起排入山南新区污水处理厂</w:t>
                  </w:r>
                </w:p>
              </w:tc>
              <w:tc>
                <w:tcPr>
                  <w:tcW w:w="1723" w:type="dxa"/>
                  <w:gridSpan w:val="2"/>
                  <w:tcBorders>
                    <w:left w:val="single" w:color="auto" w:sz="4" w:space="0"/>
                  </w:tcBorders>
                  <w:vAlign w:val="center"/>
                </w:tcPr>
                <w:p w14:paraId="34E5E06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依托</w:t>
                  </w:r>
                </w:p>
              </w:tc>
            </w:tr>
            <w:tr w14:paraId="1BBC3B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770FA6C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Align w:val="center"/>
                </w:tcPr>
                <w:p w14:paraId="0C33EC9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噪声</w:t>
                  </w:r>
                </w:p>
              </w:tc>
              <w:tc>
                <w:tcPr>
                  <w:tcW w:w="4550" w:type="dxa"/>
                  <w:tcBorders>
                    <w:right w:val="single" w:color="auto" w:sz="4" w:space="0"/>
                  </w:tcBorders>
                  <w:vAlign w:val="center"/>
                </w:tcPr>
                <w:p w14:paraId="2A21F2B2">
                  <w:pPr>
                    <w:keepNext w:val="0"/>
                    <w:keepLines w:val="0"/>
                    <w:suppressLineNumbers w:val="0"/>
                    <w:spacing w:before="0" w:beforeAutospacing="0" w:after="0" w:afterAutospacing="0" w:line="276" w:lineRule="auto"/>
                    <w:ind w:left="0" w:right="0"/>
                    <w:jc w:val="center"/>
                    <w:rPr>
                      <w:rFonts w:hint="default"/>
                    </w:rPr>
                  </w:pPr>
                  <w:r>
                    <w:rPr>
                      <w:rFonts w:hint="eastAsia"/>
                    </w:rPr>
                    <w:t>选用低噪声设备，通过合理布局、基础</w:t>
                  </w:r>
                  <w:r>
                    <w:rPr>
                      <w:rFonts w:hint="eastAsia"/>
                      <w:lang w:val="en-US" w:eastAsia="zh-CN"/>
                    </w:rPr>
                    <w:t>减振</w:t>
                  </w:r>
                  <w:r>
                    <w:rPr>
                      <w:rFonts w:hint="eastAsia"/>
                    </w:rPr>
                    <w:t>、隔声、消声等措施来降低噪声</w:t>
                  </w:r>
                </w:p>
              </w:tc>
              <w:tc>
                <w:tcPr>
                  <w:tcW w:w="1723" w:type="dxa"/>
                  <w:gridSpan w:val="2"/>
                  <w:tcBorders>
                    <w:left w:val="single" w:color="auto" w:sz="4" w:space="0"/>
                  </w:tcBorders>
                  <w:vAlign w:val="center"/>
                </w:tcPr>
                <w:p w14:paraId="784CDECD">
                  <w:pPr>
                    <w:keepNext w:val="0"/>
                    <w:keepLines w:val="0"/>
                    <w:suppressLineNumbers w:val="0"/>
                    <w:spacing w:before="0" w:beforeAutospacing="0" w:after="0" w:afterAutospacing="0" w:line="276" w:lineRule="auto"/>
                    <w:ind w:left="0" w:right="0"/>
                    <w:jc w:val="center"/>
                    <w:rPr>
                      <w:rFonts w:hint="default"/>
                    </w:rPr>
                  </w:pPr>
                  <w:r>
                    <w:rPr>
                      <w:rFonts w:hint="default"/>
                    </w:rPr>
                    <w:t>新建</w:t>
                  </w:r>
                </w:p>
              </w:tc>
            </w:tr>
            <w:tr w14:paraId="555DB5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21387D3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Merge w:val="restart"/>
                  <w:vAlign w:val="center"/>
                </w:tcPr>
                <w:p w14:paraId="02880B9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固废</w:t>
                  </w:r>
                </w:p>
              </w:tc>
              <w:tc>
                <w:tcPr>
                  <w:tcW w:w="4550" w:type="dxa"/>
                  <w:tcBorders>
                    <w:right w:val="single" w:color="auto" w:sz="4" w:space="0"/>
                  </w:tcBorders>
                  <w:vAlign w:val="center"/>
                </w:tcPr>
                <w:p w14:paraId="74A8091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生活垃圾：由环卫部门清运</w:t>
                  </w:r>
                </w:p>
              </w:tc>
              <w:tc>
                <w:tcPr>
                  <w:tcW w:w="1723" w:type="dxa"/>
                  <w:gridSpan w:val="2"/>
                  <w:tcBorders>
                    <w:left w:val="single" w:color="auto" w:sz="4" w:space="0"/>
                  </w:tcBorders>
                  <w:vAlign w:val="center"/>
                </w:tcPr>
                <w:p w14:paraId="7511F27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w:t>
                  </w:r>
                </w:p>
              </w:tc>
            </w:tr>
            <w:tr w14:paraId="07E468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56D5E03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Merge w:val="continue"/>
                  <w:vAlign w:val="center"/>
                </w:tcPr>
                <w:p w14:paraId="081C059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4550" w:type="dxa"/>
                  <w:tcBorders>
                    <w:right w:val="single" w:color="auto" w:sz="4" w:space="0"/>
                  </w:tcBorders>
                  <w:vAlign w:val="center"/>
                </w:tcPr>
                <w:p w14:paraId="54555B7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危险废物：位于</w:t>
                  </w:r>
                  <w:r>
                    <w:rPr>
                      <w:rFonts w:hint="eastAsia" w:ascii="Times New Roman" w:hAnsi="Times New Roman" w:eastAsia="宋体" w:cs="Times New Roman"/>
                      <w:bCs/>
                      <w:szCs w:val="21"/>
                    </w:rPr>
                    <w:t>厂区1层西北部</w:t>
                  </w:r>
                  <w:r>
                    <w:rPr>
                      <w:rFonts w:hint="default" w:ascii="Times New Roman" w:hAnsi="Times New Roman" w:eastAsia="宋体" w:cs="Times New Roman"/>
                      <w:bCs/>
                      <w:szCs w:val="21"/>
                    </w:rPr>
                    <w:t>，设一座</w:t>
                  </w:r>
                  <w:r>
                    <w:rPr>
                      <w:rFonts w:hint="eastAsia" w:ascii="Times New Roman" w:hAnsi="Times New Roman" w:eastAsia="宋体" w:cs="Times New Roman"/>
                      <w:bCs/>
                      <w:szCs w:val="21"/>
                    </w:rPr>
                    <w:t>10</w:t>
                  </w:r>
                  <w:r>
                    <w:rPr>
                      <w:rFonts w:hint="default" w:ascii="Times New Roman" w:hAnsi="Times New Roman" w:eastAsia="宋体" w:cs="Times New Roman"/>
                      <w:bCs/>
                      <w:szCs w:val="21"/>
                    </w:rPr>
                    <w:t>m</w:t>
                  </w:r>
                  <w:r>
                    <w:rPr>
                      <w:rFonts w:hint="default" w:ascii="Times New Roman" w:hAnsi="Times New Roman" w:eastAsia="宋体" w:cs="Times New Roman"/>
                      <w:bCs/>
                      <w:szCs w:val="21"/>
                      <w:vertAlign w:val="superscript"/>
                    </w:rPr>
                    <w:t>2</w:t>
                  </w:r>
                  <w:r>
                    <w:rPr>
                      <w:rFonts w:hint="eastAsia" w:ascii="Times New Roman" w:hAnsi="Times New Roman" w:eastAsia="宋体" w:cs="Times New Roman"/>
                      <w:bCs/>
                      <w:szCs w:val="21"/>
                    </w:rPr>
                    <w:t>危险废物暂存间</w:t>
                  </w:r>
                  <w:r>
                    <w:rPr>
                      <w:rFonts w:hint="default" w:ascii="Times New Roman" w:hAnsi="Times New Roman" w:eastAsia="宋体" w:cs="Times New Roman"/>
                      <w:bCs/>
                      <w:szCs w:val="21"/>
                    </w:rPr>
                    <w:t>，暂存</w:t>
                  </w:r>
                  <w:r>
                    <w:rPr>
                      <w:rFonts w:hint="eastAsia"/>
                      <w:szCs w:val="21"/>
                    </w:rPr>
                    <w:t>废无尘布、废弃样品</w:t>
                  </w:r>
                  <w:r>
                    <w:rPr>
                      <w:rFonts w:hint="eastAsia"/>
                      <w:szCs w:val="21"/>
                      <w:lang w:val="en-US" w:eastAsia="zh-CN"/>
                    </w:rPr>
                    <w:t>实验废液、废培养皿</w:t>
                  </w:r>
                  <w:r>
                    <w:rPr>
                      <w:rFonts w:hint="eastAsia"/>
                      <w:szCs w:val="21"/>
                    </w:rPr>
                    <w:t>和一次、二次清洗废液</w:t>
                  </w:r>
                  <w:r>
                    <w:rPr>
                      <w:rFonts w:hint="eastAsia"/>
                      <w:szCs w:val="21"/>
                      <w:lang w:val="en-US" w:eastAsia="zh-CN"/>
                    </w:rPr>
                    <w:t>等危险废物</w:t>
                  </w:r>
                  <w:r>
                    <w:rPr>
                      <w:rFonts w:hint="eastAsia" w:ascii="Times New Roman" w:hAnsi="Times New Roman" w:eastAsia="宋体" w:cs="Times New Roman"/>
                      <w:bCs/>
                      <w:szCs w:val="21"/>
                    </w:rPr>
                    <w:t>，</w:t>
                  </w:r>
                  <w:r>
                    <w:rPr>
                      <w:rFonts w:hint="default" w:ascii="Times New Roman" w:hAnsi="Times New Roman" w:eastAsia="宋体" w:cs="Times New Roman"/>
                      <w:bCs/>
                      <w:szCs w:val="21"/>
                    </w:rPr>
                    <w:t>委托有资质的单位定期处置</w:t>
                  </w:r>
                </w:p>
              </w:tc>
              <w:tc>
                <w:tcPr>
                  <w:tcW w:w="1723" w:type="dxa"/>
                  <w:gridSpan w:val="2"/>
                  <w:tcBorders>
                    <w:left w:val="single" w:color="auto" w:sz="4" w:space="0"/>
                  </w:tcBorders>
                  <w:vAlign w:val="center"/>
                </w:tcPr>
                <w:p w14:paraId="52A7424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rPr>
                    <w:t>新建</w:t>
                  </w:r>
                </w:p>
              </w:tc>
            </w:tr>
            <w:tr w14:paraId="2BE87C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4641BF8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Merge w:val="continue"/>
                  <w:vAlign w:val="center"/>
                </w:tcPr>
                <w:p w14:paraId="18D6010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4550" w:type="dxa"/>
                  <w:vAlign w:val="center"/>
                </w:tcPr>
                <w:p w14:paraId="0CF45B3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rPr>
                    <w:t>一般固体废物：位于厂区</w:t>
                  </w:r>
                  <w:r>
                    <w:rPr>
                      <w:rFonts w:hint="eastAsia" w:ascii="Times New Roman" w:hAnsi="Times New Roman" w:eastAsia="宋体" w:cs="Times New Roman"/>
                      <w:bCs/>
                      <w:szCs w:val="21"/>
                    </w:rPr>
                    <w:t>1层西北部，设一座15</w:t>
                  </w:r>
                  <w:r>
                    <w:rPr>
                      <w:rFonts w:hint="default" w:ascii="Times New Roman" w:hAnsi="Times New Roman" w:eastAsia="宋体" w:cs="Times New Roman"/>
                      <w:bCs/>
                      <w:szCs w:val="21"/>
                    </w:rPr>
                    <w:t>m</w:t>
                  </w:r>
                  <w:r>
                    <w:rPr>
                      <w:rFonts w:hint="default" w:ascii="Times New Roman" w:hAnsi="Times New Roman" w:eastAsia="宋体" w:cs="Times New Roman"/>
                      <w:bCs/>
                      <w:szCs w:val="21"/>
                      <w:vertAlign w:val="superscript"/>
                    </w:rPr>
                    <w:t>2</w:t>
                  </w:r>
                  <w:r>
                    <w:rPr>
                      <w:rFonts w:hint="default" w:ascii="Times New Roman" w:hAnsi="Times New Roman" w:eastAsia="宋体" w:cs="Times New Roman"/>
                      <w:bCs/>
                      <w:szCs w:val="21"/>
                    </w:rPr>
                    <w:t>一般固体废物</w:t>
                  </w:r>
                  <w:r>
                    <w:rPr>
                      <w:rFonts w:hint="eastAsia" w:ascii="Times New Roman" w:hAnsi="Times New Roman" w:eastAsia="宋体" w:cs="Times New Roman"/>
                      <w:bCs/>
                      <w:szCs w:val="21"/>
                    </w:rPr>
                    <w:t>暂存间，暂存</w:t>
                  </w:r>
                  <w:r>
                    <w:rPr>
                      <w:rFonts w:hint="eastAsia"/>
                      <w:szCs w:val="21"/>
                    </w:rPr>
                    <w:t>不合格品、废边角料、废包装材料、</w:t>
                  </w:r>
                  <w:r>
                    <w:rPr>
                      <w:rFonts w:hint="eastAsia"/>
                      <w:szCs w:val="21"/>
                      <w:lang w:val="en-US" w:eastAsia="zh-CN"/>
                    </w:rPr>
                    <w:t>废干燥剂</w:t>
                  </w:r>
                  <w:r>
                    <w:rPr>
                      <w:rFonts w:hint="eastAsia" w:ascii="Times New Roman" w:hAnsi="Times New Roman" w:eastAsia="宋体" w:cs="Times New Roman"/>
                      <w:bCs/>
                      <w:szCs w:val="21"/>
                    </w:rPr>
                    <w:t>，外售综合利用</w:t>
                  </w:r>
                  <w:r>
                    <w:rPr>
                      <w:rFonts w:hint="eastAsia" w:ascii="Times New Roman" w:hAnsi="Times New Roman" w:eastAsia="宋体" w:cs="Times New Roman"/>
                      <w:bCs/>
                      <w:szCs w:val="21"/>
                      <w:lang w:val="en-US" w:eastAsia="zh-CN"/>
                    </w:rPr>
                    <w:t>或由厂家回收</w:t>
                  </w:r>
                </w:p>
              </w:tc>
              <w:tc>
                <w:tcPr>
                  <w:tcW w:w="1723" w:type="dxa"/>
                  <w:gridSpan w:val="2"/>
                  <w:vAlign w:val="center"/>
                </w:tcPr>
                <w:p w14:paraId="487251F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rPr>
                    <w:t>新建</w:t>
                  </w:r>
                </w:p>
              </w:tc>
            </w:tr>
            <w:tr w14:paraId="2A7A61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0A80363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Align w:val="center"/>
                </w:tcPr>
                <w:p w14:paraId="299DC26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土壤、地下水防治</w:t>
                  </w:r>
                </w:p>
              </w:tc>
              <w:tc>
                <w:tcPr>
                  <w:tcW w:w="4550" w:type="dxa"/>
                  <w:tcBorders>
                    <w:right w:val="single" w:color="auto" w:sz="4" w:space="0"/>
                  </w:tcBorders>
                  <w:vAlign w:val="center"/>
                </w:tcPr>
                <w:p w14:paraId="4C85865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项目危废暂存间</w:t>
                  </w:r>
                  <w:r>
                    <w:rPr>
                      <w:rFonts w:hint="eastAsia" w:ascii="Times New Roman" w:hAnsi="Times New Roman" w:eastAsia="宋体" w:cs="Times New Roman"/>
                      <w:bCs/>
                      <w:szCs w:val="21"/>
                      <w:highlight w:val="none"/>
                    </w:rPr>
                    <w:t>、</w:t>
                  </w:r>
                  <w:r>
                    <w:rPr>
                      <w:rFonts w:hint="eastAsia" w:ascii="Times New Roman" w:hAnsi="Times New Roman" w:eastAsia="宋体" w:cs="Times New Roman"/>
                      <w:bCs/>
                      <w:szCs w:val="21"/>
                      <w:highlight w:val="none"/>
                      <w:lang w:eastAsia="zh-CN"/>
                    </w:rPr>
                    <w:t>质检室、</w:t>
                  </w:r>
                  <w:r>
                    <w:rPr>
                      <w:rFonts w:hint="eastAsia" w:ascii="Times New Roman" w:hAnsi="Times New Roman" w:eastAsia="宋体" w:cs="Times New Roman"/>
                      <w:bCs/>
                      <w:szCs w:val="21"/>
                      <w:highlight w:val="none"/>
                      <w:lang w:val="en-US" w:eastAsia="zh-CN"/>
                    </w:rPr>
                    <w:t>pH调节池</w:t>
                  </w:r>
                  <w:r>
                    <w:rPr>
                      <w:rFonts w:hint="eastAsia" w:ascii="Times New Roman" w:hAnsi="Times New Roman" w:eastAsia="宋体" w:cs="Times New Roman"/>
                      <w:bCs/>
                      <w:szCs w:val="21"/>
                    </w:rPr>
                    <w:t>采取重点防渗，采取15cm抗渗混凝土+2mmHDPE膜，其他区域厂房一般防渗，采取15cm抗渗混凝土</w:t>
                  </w:r>
                </w:p>
              </w:tc>
              <w:tc>
                <w:tcPr>
                  <w:tcW w:w="1723" w:type="dxa"/>
                  <w:gridSpan w:val="2"/>
                  <w:tcBorders>
                    <w:left w:val="single" w:color="auto" w:sz="4" w:space="0"/>
                  </w:tcBorders>
                  <w:vAlign w:val="center"/>
                </w:tcPr>
                <w:p w14:paraId="4FA06EE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rPr>
                    <w:t>新建</w:t>
                  </w:r>
                </w:p>
              </w:tc>
            </w:tr>
            <w:tr w14:paraId="0B647A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vMerge w:val="continue"/>
                  <w:vAlign w:val="center"/>
                </w:tcPr>
                <w:p w14:paraId="42586F2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p>
              </w:tc>
              <w:tc>
                <w:tcPr>
                  <w:tcW w:w="1442" w:type="dxa"/>
                  <w:vAlign w:val="center"/>
                </w:tcPr>
                <w:p w14:paraId="241CC6B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环境风险防范措施</w:t>
                  </w:r>
                </w:p>
              </w:tc>
              <w:tc>
                <w:tcPr>
                  <w:tcW w:w="4550" w:type="dxa"/>
                  <w:tcBorders>
                    <w:right w:val="single" w:color="auto" w:sz="4" w:space="0"/>
                  </w:tcBorders>
                  <w:vAlign w:val="center"/>
                </w:tcPr>
                <w:p w14:paraId="72ACF6C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（1）项目危废暂存间设置导流沟、集液池，并配置消防沙、干粉灭火器等消防设施</w:t>
                  </w:r>
                </w:p>
                <w:p w14:paraId="47B8662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（2）编制突发环境事件应急预案并到生态环境主管部门备案</w:t>
                  </w:r>
                </w:p>
              </w:tc>
              <w:tc>
                <w:tcPr>
                  <w:tcW w:w="1723" w:type="dxa"/>
                  <w:gridSpan w:val="2"/>
                  <w:tcBorders>
                    <w:left w:val="single" w:color="auto" w:sz="4" w:space="0"/>
                  </w:tcBorders>
                  <w:vAlign w:val="center"/>
                </w:tcPr>
                <w:p w14:paraId="388F0E0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rPr>
                    <w:t>新建</w:t>
                  </w:r>
                </w:p>
              </w:tc>
            </w:tr>
          </w:tbl>
          <w:p w14:paraId="7BB29EA0">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hint="default" w:ascii="Times New Roman" w:hAnsi="Times New Roman" w:eastAsia="宋体" w:cs="Times New Roman"/>
                <w:b/>
                <w:bCs/>
                <w:sz w:val="24"/>
                <w:szCs w:val="24"/>
              </w:rPr>
              <w:t>、</w:t>
            </w:r>
            <w:r>
              <w:rPr>
                <w:rFonts w:hint="eastAsia" w:ascii="Times New Roman" w:hAnsi="Times New Roman" w:eastAsia="宋体" w:cs="Times New Roman"/>
                <w:b/>
                <w:bCs/>
                <w:sz w:val="24"/>
                <w:szCs w:val="24"/>
              </w:rPr>
              <w:t>产品方案</w:t>
            </w:r>
          </w:p>
          <w:p w14:paraId="2554FED4">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宋体"/>
                <w:bCs/>
                <w:sz w:val="24"/>
                <w:szCs w:val="24"/>
                <w:lang w:val="en-US" w:eastAsia="zh-CN"/>
              </w:rPr>
            </w:pPr>
            <w:r>
              <w:rPr>
                <w:rFonts w:hint="eastAsia" w:ascii="Times New Roman" w:hAnsi="Times New Roman" w:eastAsia="宋体" w:cs="宋体"/>
                <w:bCs/>
                <w:sz w:val="24"/>
                <w:szCs w:val="24"/>
                <w:lang w:eastAsia="zh-CN"/>
              </w:rPr>
              <w:t>（</w:t>
            </w:r>
            <w:r>
              <w:rPr>
                <w:rFonts w:hint="eastAsia" w:ascii="Times New Roman" w:hAnsi="Times New Roman" w:eastAsia="宋体" w:cs="宋体"/>
                <w:bCs/>
                <w:sz w:val="24"/>
                <w:szCs w:val="24"/>
                <w:lang w:val="en-US" w:eastAsia="zh-CN"/>
              </w:rPr>
              <w:t>1</w:t>
            </w:r>
            <w:r>
              <w:rPr>
                <w:rFonts w:hint="eastAsia" w:ascii="Times New Roman" w:hAnsi="Times New Roman" w:eastAsia="宋体" w:cs="宋体"/>
                <w:bCs/>
                <w:sz w:val="24"/>
                <w:szCs w:val="24"/>
                <w:lang w:eastAsia="zh-CN"/>
              </w:rPr>
              <w:t>）</w:t>
            </w:r>
            <w:r>
              <w:rPr>
                <w:rFonts w:hint="eastAsia" w:ascii="Times New Roman" w:hAnsi="Times New Roman" w:eastAsia="宋体" w:cs="宋体"/>
                <w:bCs/>
                <w:sz w:val="24"/>
                <w:szCs w:val="24"/>
                <w:lang w:val="en-US" w:eastAsia="zh-CN"/>
              </w:rPr>
              <w:t>产品方案</w:t>
            </w:r>
          </w:p>
          <w:p w14:paraId="5A21F39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宋体"/>
                <w:bCs/>
                <w:sz w:val="24"/>
                <w:szCs w:val="24"/>
              </w:rPr>
            </w:pPr>
            <w:r>
              <w:rPr>
                <w:rFonts w:hint="eastAsia" w:ascii="Times New Roman" w:hAnsi="Times New Roman" w:eastAsia="宋体" w:cs="宋体"/>
                <w:bCs/>
                <w:sz w:val="24"/>
                <w:szCs w:val="24"/>
              </w:rPr>
              <w:t>本项目产品主要为硅胶干燥剂、分子筛干燥剂、活性炭干燥剂、氧气指示剂、二氧化碳指示剂、脱氧剂，项目产品方案见下表。</w:t>
            </w:r>
          </w:p>
          <w:p w14:paraId="6883C187">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3B0AA6F6">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700A7C86">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7C000FDA">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eastAsia" w:ascii="Times New Roman" w:hAnsi="Times New Roman" w:eastAsia="黑体" w:cs="Times New Roman"/>
                <w:bCs/>
                <w:sz w:val="24"/>
                <w:szCs w:val="24"/>
              </w:rPr>
              <w:t>2-4  项目产品方案</w:t>
            </w:r>
            <w:r>
              <w:rPr>
                <w:rFonts w:hint="default" w:ascii="Times New Roman" w:hAnsi="Times New Roman" w:eastAsia="黑体" w:cs="Times New Roman"/>
                <w:bCs/>
                <w:sz w:val="24"/>
                <w:szCs w:val="24"/>
              </w:rPr>
              <w:t>一览表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840"/>
              <w:gridCol w:w="1300"/>
              <w:gridCol w:w="2962"/>
              <w:gridCol w:w="1244"/>
            </w:tblGrid>
            <w:tr w14:paraId="21494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vAlign w:val="center"/>
                </w:tcPr>
                <w:p w14:paraId="15CAEBC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1097" w:type="pct"/>
                  <w:vAlign w:val="center"/>
                </w:tcPr>
                <w:p w14:paraId="338BE45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default" w:ascii="Times New Roman" w:hAnsi="Times New Roman" w:cs="Times New Roman"/>
                      <w:b/>
                      <w:szCs w:val="21"/>
                    </w:rPr>
                    <w:t>产品名称</w:t>
                  </w:r>
                </w:p>
              </w:tc>
              <w:tc>
                <w:tcPr>
                  <w:tcW w:w="775" w:type="pct"/>
                  <w:shd w:val="clear" w:color="auto" w:fill="auto"/>
                  <w:vAlign w:val="center"/>
                </w:tcPr>
                <w:p w14:paraId="51F8A19E">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eastAsiaTheme="minorEastAsia"/>
                      <w:b/>
                      <w:bCs/>
                      <w:kern w:val="2"/>
                      <w:sz w:val="48"/>
                      <w:szCs w:val="21"/>
                      <w:lang w:val="en-US" w:eastAsia="zh-CN" w:bidi="ar-SA"/>
                    </w:rPr>
                  </w:pPr>
                  <w:r>
                    <w:rPr>
                      <w:rFonts w:hint="default" w:ascii="Times New Roman" w:hAnsi="Times New Roman" w:cs="Times New Roman"/>
                      <w:b/>
                      <w:szCs w:val="21"/>
                    </w:rPr>
                    <w:t>产量</w:t>
                  </w:r>
                </w:p>
              </w:tc>
              <w:tc>
                <w:tcPr>
                  <w:tcW w:w="1766" w:type="pct"/>
                  <w:vAlign w:val="center"/>
                </w:tcPr>
                <w:p w14:paraId="1A051AE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
                      <w:szCs w:val="21"/>
                      <w:lang w:val="en-US" w:eastAsia="zh-CN"/>
                    </w:rPr>
                  </w:pPr>
                  <w:r>
                    <w:rPr>
                      <w:rFonts w:hint="eastAsia" w:ascii="Times New Roman" w:hAnsi="Times New Roman" w:cs="Times New Roman"/>
                      <w:b/>
                      <w:szCs w:val="21"/>
                      <w:lang w:val="en-US" w:eastAsia="zh-CN"/>
                    </w:rPr>
                    <w:t>粒径</w:t>
                  </w:r>
                </w:p>
              </w:tc>
              <w:tc>
                <w:tcPr>
                  <w:tcW w:w="741" w:type="pct"/>
                  <w:vAlign w:val="center"/>
                </w:tcPr>
                <w:p w14:paraId="1E307D4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
                      <w:szCs w:val="21"/>
                      <w:lang w:val="en-US" w:eastAsia="zh-CN"/>
                    </w:rPr>
                  </w:pPr>
                  <w:r>
                    <w:rPr>
                      <w:rFonts w:hint="eastAsia" w:ascii="Times New Roman" w:hAnsi="Times New Roman" w:cs="Times New Roman"/>
                      <w:b/>
                      <w:szCs w:val="21"/>
                      <w:lang w:val="en-US" w:eastAsia="zh-CN"/>
                    </w:rPr>
                    <w:t>规格</w:t>
                  </w:r>
                </w:p>
              </w:tc>
            </w:tr>
            <w:tr w14:paraId="3F9CB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vAlign w:val="center"/>
                </w:tcPr>
                <w:p w14:paraId="4B6E850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1</w:t>
                  </w:r>
                </w:p>
              </w:tc>
              <w:tc>
                <w:tcPr>
                  <w:tcW w:w="1097" w:type="pct"/>
                  <w:vAlign w:val="center"/>
                </w:tcPr>
                <w:p w14:paraId="344696F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硅胶干燥剂</w:t>
                  </w:r>
                </w:p>
              </w:tc>
              <w:tc>
                <w:tcPr>
                  <w:tcW w:w="775" w:type="pct"/>
                  <w:shd w:val="clear" w:color="auto" w:fill="auto"/>
                  <w:vAlign w:val="center"/>
                </w:tcPr>
                <w:p w14:paraId="6C8C3B8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5000</w:t>
                  </w:r>
                  <w:r>
                    <w:rPr>
                      <w:rFonts w:hint="eastAsia" w:ascii="Times New Roman" w:hAnsi="Times New Roman" w:cs="Times New Roman"/>
                      <w:szCs w:val="21"/>
                    </w:rPr>
                    <w:t>吨</w:t>
                  </w:r>
                </w:p>
              </w:tc>
              <w:tc>
                <w:tcPr>
                  <w:tcW w:w="1766" w:type="pct"/>
                  <w:vAlign w:val="center"/>
                </w:tcPr>
                <w:p w14:paraId="6C32E65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1-2mm、3-4mm</w:t>
                  </w:r>
                </w:p>
              </w:tc>
              <w:tc>
                <w:tcPr>
                  <w:tcW w:w="741" w:type="pct"/>
                  <w:vAlign w:val="center"/>
                </w:tcPr>
                <w:p w14:paraId="59F0E00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5g/袋</w:t>
                  </w:r>
                </w:p>
              </w:tc>
            </w:tr>
            <w:tr w14:paraId="3296C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vAlign w:val="center"/>
                </w:tcPr>
                <w:p w14:paraId="5F115CB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2</w:t>
                  </w:r>
                </w:p>
              </w:tc>
              <w:tc>
                <w:tcPr>
                  <w:tcW w:w="1097" w:type="pct"/>
                  <w:vAlign w:val="center"/>
                </w:tcPr>
                <w:p w14:paraId="0A5BCDA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分子筛干燥剂</w:t>
                  </w:r>
                </w:p>
              </w:tc>
              <w:tc>
                <w:tcPr>
                  <w:tcW w:w="775" w:type="pct"/>
                  <w:shd w:val="clear" w:color="auto" w:fill="auto"/>
                  <w:vAlign w:val="center"/>
                </w:tcPr>
                <w:p w14:paraId="6CE77695">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1</w:t>
                  </w:r>
                  <w:r>
                    <w:rPr>
                      <w:rFonts w:hint="default" w:ascii="Times New Roman" w:hAnsi="Times New Roman" w:cs="Times New Roman"/>
                      <w:szCs w:val="21"/>
                    </w:rPr>
                    <w:t>000</w:t>
                  </w:r>
                  <w:r>
                    <w:rPr>
                      <w:rFonts w:hint="eastAsia" w:ascii="Times New Roman" w:hAnsi="Times New Roman" w:cs="Times New Roman"/>
                      <w:szCs w:val="21"/>
                    </w:rPr>
                    <w:t>吨</w:t>
                  </w:r>
                </w:p>
              </w:tc>
              <w:tc>
                <w:tcPr>
                  <w:tcW w:w="1766" w:type="pct"/>
                  <w:vAlign w:val="center"/>
                </w:tcPr>
                <w:p w14:paraId="49A38905">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r>
                    <w:rPr>
                      <w:rFonts w:hint="eastAsia" w:ascii="Times New Roman" w:hAnsi="Times New Roman" w:cs="Times New Roman"/>
                      <w:szCs w:val="21"/>
                      <w:lang w:val="en-US" w:eastAsia="zh-CN"/>
                    </w:rPr>
                    <w:t>1-2mm、3-4mm</w:t>
                  </w:r>
                </w:p>
              </w:tc>
              <w:tc>
                <w:tcPr>
                  <w:tcW w:w="741" w:type="pct"/>
                  <w:vAlign w:val="center"/>
                </w:tcPr>
                <w:p w14:paraId="4552C3DD">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r>
                    <w:rPr>
                      <w:rFonts w:hint="eastAsia" w:ascii="Times New Roman" w:hAnsi="Times New Roman" w:cs="Times New Roman"/>
                      <w:szCs w:val="21"/>
                      <w:lang w:val="en-US" w:eastAsia="zh-CN"/>
                    </w:rPr>
                    <w:t>5g/袋</w:t>
                  </w:r>
                </w:p>
              </w:tc>
            </w:tr>
            <w:tr w14:paraId="53002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vAlign w:val="center"/>
                </w:tcPr>
                <w:p w14:paraId="3AA3598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3</w:t>
                  </w:r>
                </w:p>
              </w:tc>
              <w:tc>
                <w:tcPr>
                  <w:tcW w:w="1097" w:type="pct"/>
                  <w:vAlign w:val="center"/>
                </w:tcPr>
                <w:p w14:paraId="49853F2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活性炭干燥剂</w:t>
                  </w:r>
                </w:p>
              </w:tc>
              <w:tc>
                <w:tcPr>
                  <w:tcW w:w="775" w:type="pct"/>
                  <w:shd w:val="clear" w:color="auto" w:fill="auto"/>
                  <w:vAlign w:val="center"/>
                </w:tcPr>
                <w:p w14:paraId="07E31DC0">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1</w:t>
                  </w:r>
                  <w:r>
                    <w:rPr>
                      <w:rFonts w:hint="default" w:ascii="Times New Roman" w:hAnsi="Times New Roman" w:cs="Times New Roman"/>
                      <w:szCs w:val="21"/>
                    </w:rPr>
                    <w:t>00</w:t>
                  </w:r>
                  <w:r>
                    <w:rPr>
                      <w:rFonts w:hint="eastAsia" w:ascii="Times New Roman" w:hAnsi="Times New Roman" w:cs="Times New Roman"/>
                      <w:szCs w:val="21"/>
                    </w:rPr>
                    <w:t>吨</w:t>
                  </w:r>
                </w:p>
              </w:tc>
              <w:tc>
                <w:tcPr>
                  <w:tcW w:w="1766" w:type="pct"/>
                  <w:vAlign w:val="center"/>
                </w:tcPr>
                <w:p w14:paraId="459853C1">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szCs w:val="21"/>
                    </w:rPr>
                  </w:pPr>
                  <w:r>
                    <w:rPr>
                      <w:rFonts w:hint="eastAsia" w:ascii="Times New Roman" w:hAnsi="Times New Roman" w:cs="Times New Roman"/>
                      <w:szCs w:val="21"/>
                      <w:lang w:val="en-US" w:eastAsia="zh-CN"/>
                    </w:rPr>
                    <w:t>1-2mm、3-4mm</w:t>
                  </w:r>
                </w:p>
              </w:tc>
              <w:tc>
                <w:tcPr>
                  <w:tcW w:w="741" w:type="pct"/>
                  <w:vAlign w:val="center"/>
                </w:tcPr>
                <w:p w14:paraId="1078452F">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r>
                    <w:rPr>
                      <w:rFonts w:hint="eastAsia" w:ascii="Times New Roman" w:hAnsi="Times New Roman" w:cs="Times New Roman"/>
                      <w:szCs w:val="21"/>
                      <w:lang w:val="en-US" w:eastAsia="zh-CN"/>
                    </w:rPr>
                    <w:t>5g/袋</w:t>
                  </w:r>
                </w:p>
              </w:tc>
            </w:tr>
            <w:tr w14:paraId="0CE8F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vAlign w:val="center"/>
                </w:tcPr>
                <w:p w14:paraId="1D4C75E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4</w:t>
                  </w:r>
                </w:p>
              </w:tc>
              <w:tc>
                <w:tcPr>
                  <w:tcW w:w="1097" w:type="pct"/>
                  <w:vAlign w:val="center"/>
                </w:tcPr>
                <w:p w14:paraId="7CEE290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r>
                    <w:rPr>
                      <w:rFonts w:hint="eastAsia" w:ascii="Times New Roman" w:hAnsi="Times New Roman" w:cs="Times New Roman"/>
                      <w:szCs w:val="21"/>
                      <w:highlight w:val="none"/>
                    </w:rPr>
                    <w:t>氧气指示剂</w:t>
                  </w:r>
                </w:p>
              </w:tc>
              <w:tc>
                <w:tcPr>
                  <w:tcW w:w="775" w:type="pct"/>
                  <w:shd w:val="clear" w:color="auto" w:fill="auto"/>
                  <w:vAlign w:val="center"/>
                </w:tcPr>
                <w:p w14:paraId="5D3295E7">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rPr>
                    <w:t>1</w:t>
                  </w:r>
                  <w:r>
                    <w:rPr>
                      <w:rFonts w:hint="default" w:ascii="Times New Roman" w:hAnsi="Times New Roman" w:cs="Times New Roman"/>
                      <w:szCs w:val="21"/>
                      <w:highlight w:val="none"/>
                    </w:rPr>
                    <w:t>00</w:t>
                  </w:r>
                  <w:r>
                    <w:rPr>
                      <w:rFonts w:hint="eastAsia" w:ascii="Times New Roman" w:hAnsi="Times New Roman" w:cs="Times New Roman"/>
                      <w:szCs w:val="21"/>
                      <w:highlight w:val="none"/>
                    </w:rPr>
                    <w:t>吨</w:t>
                  </w:r>
                </w:p>
              </w:tc>
              <w:tc>
                <w:tcPr>
                  <w:tcW w:w="1766" w:type="pct"/>
                  <w:vAlign w:val="center"/>
                </w:tcPr>
                <w:p w14:paraId="45B345A2">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szCs w:val="21"/>
                      <w:highlight w:val="red"/>
                    </w:rPr>
                  </w:pPr>
                  <w:r>
                    <w:rPr>
                      <w:rFonts w:hint="eastAsia" w:ascii="Times New Roman" w:hAnsi="Times New Roman" w:cs="Times New Roman"/>
                      <w:szCs w:val="21"/>
                      <w:lang w:val="en-US" w:eastAsia="zh-CN"/>
                    </w:rPr>
                    <w:t>1-2mm、3-4mm</w:t>
                  </w:r>
                </w:p>
              </w:tc>
              <w:tc>
                <w:tcPr>
                  <w:tcW w:w="741" w:type="pct"/>
                  <w:vAlign w:val="center"/>
                </w:tcPr>
                <w:p w14:paraId="4AD89688">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red"/>
                    </w:rPr>
                  </w:pPr>
                  <w:r>
                    <w:rPr>
                      <w:rFonts w:hint="eastAsia" w:ascii="Times New Roman" w:hAnsi="Times New Roman" w:cs="Times New Roman"/>
                      <w:szCs w:val="21"/>
                      <w:lang w:val="en-US" w:eastAsia="zh-CN"/>
                    </w:rPr>
                    <w:t>5g/袋</w:t>
                  </w:r>
                </w:p>
              </w:tc>
            </w:tr>
            <w:tr w14:paraId="35483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9" w:type="pct"/>
                  <w:vAlign w:val="center"/>
                </w:tcPr>
                <w:p w14:paraId="0DACE82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5</w:t>
                  </w:r>
                </w:p>
              </w:tc>
              <w:tc>
                <w:tcPr>
                  <w:tcW w:w="1097" w:type="pct"/>
                  <w:vAlign w:val="center"/>
                </w:tcPr>
                <w:p w14:paraId="3563B39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r>
                    <w:rPr>
                      <w:rFonts w:hint="eastAsia" w:ascii="Times New Roman" w:hAnsi="Times New Roman" w:cs="Times New Roman"/>
                      <w:szCs w:val="21"/>
                      <w:highlight w:val="none"/>
                    </w:rPr>
                    <w:t>二氧化碳指示剂</w:t>
                  </w:r>
                </w:p>
              </w:tc>
              <w:tc>
                <w:tcPr>
                  <w:tcW w:w="775" w:type="pct"/>
                  <w:shd w:val="clear" w:color="auto" w:fill="auto"/>
                  <w:vAlign w:val="center"/>
                </w:tcPr>
                <w:p w14:paraId="2EBCF7C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rPr>
                    <w:t>5</w:t>
                  </w:r>
                  <w:r>
                    <w:rPr>
                      <w:rFonts w:hint="default" w:ascii="Times New Roman" w:hAnsi="Times New Roman" w:cs="Times New Roman"/>
                      <w:szCs w:val="21"/>
                      <w:highlight w:val="none"/>
                    </w:rPr>
                    <w:t>00</w:t>
                  </w:r>
                  <w:r>
                    <w:rPr>
                      <w:rFonts w:hint="eastAsia" w:ascii="Times New Roman" w:hAnsi="Times New Roman" w:cs="Times New Roman"/>
                      <w:szCs w:val="21"/>
                      <w:highlight w:val="none"/>
                    </w:rPr>
                    <w:t>吨</w:t>
                  </w:r>
                </w:p>
              </w:tc>
              <w:tc>
                <w:tcPr>
                  <w:tcW w:w="1766" w:type="pct"/>
                  <w:vAlign w:val="center"/>
                </w:tcPr>
                <w:p w14:paraId="6EA8003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szCs w:val="21"/>
                      <w:highlight w:val="red"/>
                    </w:rPr>
                  </w:pPr>
                  <w:r>
                    <w:rPr>
                      <w:rFonts w:hint="eastAsia" w:ascii="Times New Roman" w:hAnsi="Times New Roman" w:cs="Times New Roman"/>
                      <w:szCs w:val="21"/>
                      <w:lang w:val="en-US" w:eastAsia="zh-CN"/>
                    </w:rPr>
                    <w:t>1-2mm、3-4mm</w:t>
                  </w:r>
                </w:p>
              </w:tc>
              <w:tc>
                <w:tcPr>
                  <w:tcW w:w="741" w:type="pct"/>
                  <w:vAlign w:val="center"/>
                </w:tcPr>
                <w:p w14:paraId="6E980C2F">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red"/>
                    </w:rPr>
                  </w:pPr>
                  <w:r>
                    <w:rPr>
                      <w:rFonts w:hint="eastAsia" w:ascii="Times New Roman" w:hAnsi="Times New Roman" w:cs="Times New Roman"/>
                      <w:szCs w:val="21"/>
                      <w:lang w:val="en-US" w:eastAsia="zh-CN"/>
                    </w:rPr>
                    <w:t>5g/袋</w:t>
                  </w:r>
                </w:p>
              </w:tc>
            </w:tr>
            <w:tr w14:paraId="50C8F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vAlign w:val="center"/>
                </w:tcPr>
                <w:p w14:paraId="3DA93D2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6</w:t>
                  </w:r>
                </w:p>
              </w:tc>
              <w:tc>
                <w:tcPr>
                  <w:tcW w:w="1097" w:type="pct"/>
                  <w:vAlign w:val="center"/>
                </w:tcPr>
                <w:p w14:paraId="63EEB51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r>
                    <w:rPr>
                      <w:rFonts w:hint="eastAsia" w:ascii="Times New Roman" w:hAnsi="Times New Roman" w:cs="Times New Roman"/>
                      <w:szCs w:val="21"/>
                      <w:highlight w:val="none"/>
                    </w:rPr>
                    <w:t>脱氧剂</w:t>
                  </w:r>
                </w:p>
              </w:tc>
              <w:tc>
                <w:tcPr>
                  <w:tcW w:w="775" w:type="pct"/>
                  <w:shd w:val="clear" w:color="auto" w:fill="auto"/>
                  <w:vAlign w:val="center"/>
                </w:tcPr>
                <w:p w14:paraId="57D8A44E">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rPr>
                    <w:t>1</w:t>
                  </w:r>
                  <w:r>
                    <w:rPr>
                      <w:rFonts w:hint="default" w:ascii="Times New Roman" w:hAnsi="Times New Roman" w:cs="Times New Roman"/>
                      <w:szCs w:val="21"/>
                      <w:highlight w:val="none"/>
                    </w:rPr>
                    <w:t>000</w:t>
                  </w:r>
                  <w:r>
                    <w:rPr>
                      <w:rFonts w:hint="eastAsia" w:ascii="Times New Roman" w:hAnsi="Times New Roman" w:cs="Times New Roman"/>
                      <w:szCs w:val="21"/>
                      <w:highlight w:val="none"/>
                    </w:rPr>
                    <w:t>吨</w:t>
                  </w:r>
                </w:p>
              </w:tc>
              <w:tc>
                <w:tcPr>
                  <w:tcW w:w="1766" w:type="pct"/>
                  <w:vAlign w:val="center"/>
                </w:tcPr>
                <w:p w14:paraId="395AB47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szCs w:val="21"/>
                      <w:highlight w:val="red"/>
                    </w:rPr>
                  </w:pPr>
                  <w:r>
                    <w:rPr>
                      <w:rFonts w:hint="eastAsia" w:ascii="Times New Roman" w:hAnsi="Times New Roman" w:cs="Times New Roman"/>
                      <w:szCs w:val="21"/>
                      <w:lang w:val="en-US" w:eastAsia="zh-CN"/>
                    </w:rPr>
                    <w:t>1-2mm、3-4mm</w:t>
                  </w:r>
                </w:p>
              </w:tc>
              <w:tc>
                <w:tcPr>
                  <w:tcW w:w="741" w:type="pct"/>
                  <w:vAlign w:val="center"/>
                </w:tcPr>
                <w:p w14:paraId="77628074">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red"/>
                    </w:rPr>
                  </w:pPr>
                  <w:r>
                    <w:rPr>
                      <w:rFonts w:hint="eastAsia" w:ascii="Times New Roman" w:hAnsi="Times New Roman" w:cs="Times New Roman"/>
                      <w:szCs w:val="21"/>
                      <w:lang w:val="en-US" w:eastAsia="zh-CN"/>
                    </w:rPr>
                    <w:t>250g/袋</w:t>
                  </w:r>
                </w:p>
              </w:tc>
            </w:tr>
          </w:tbl>
          <w:p w14:paraId="175CF362">
            <w:pPr>
              <w:keepNext w:val="0"/>
              <w:keepLines w:val="0"/>
              <w:suppressLineNumbers w:val="0"/>
              <w:spacing w:before="0" w:beforeAutospacing="0" w:after="0" w:afterAutospacing="0" w:line="276" w:lineRule="auto"/>
              <w:ind w:left="0" w:right="0" w:firstLine="422" w:firstLineChars="200"/>
              <w:jc w:val="left"/>
              <w:rPr>
                <w:rFonts w:hint="default"/>
              </w:rPr>
            </w:pPr>
            <w:r>
              <w:rPr>
                <w:rFonts w:hint="eastAsia" w:ascii="Times New Roman" w:hAnsi="Times New Roman" w:eastAsia="宋体" w:cs="Times New Roman"/>
                <w:b/>
                <w:bCs/>
                <w:szCs w:val="21"/>
              </w:rPr>
              <w:t>注：产品包装方式为聚乙烯瓶装或袋装</w:t>
            </w: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lang w:val="en-US" w:eastAsia="zh-CN"/>
              </w:rPr>
              <w:t>最终运输出厂由纸箱包装</w:t>
            </w:r>
            <w:r>
              <w:rPr>
                <w:rFonts w:hint="eastAsia" w:ascii="Times New Roman" w:hAnsi="Times New Roman" w:eastAsia="宋体" w:cs="Times New Roman"/>
                <w:b/>
                <w:bCs/>
                <w:szCs w:val="21"/>
              </w:rPr>
              <w:t>。</w:t>
            </w:r>
          </w:p>
          <w:p w14:paraId="400B01D1">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宋体"/>
                <w:bCs/>
                <w:sz w:val="24"/>
                <w:szCs w:val="24"/>
                <w:lang w:val="en-US" w:eastAsia="zh-CN"/>
              </w:rPr>
            </w:pPr>
            <w:r>
              <w:rPr>
                <w:rFonts w:hint="eastAsia" w:ascii="Times New Roman" w:hAnsi="Times New Roman" w:eastAsia="宋体" w:cs="宋体"/>
                <w:bCs/>
                <w:sz w:val="24"/>
                <w:szCs w:val="24"/>
                <w:lang w:eastAsia="zh-CN"/>
              </w:rPr>
              <w:t>（</w:t>
            </w:r>
            <w:r>
              <w:rPr>
                <w:rFonts w:hint="eastAsia" w:ascii="Times New Roman" w:hAnsi="Times New Roman" w:eastAsia="宋体" w:cs="宋体"/>
                <w:bCs/>
                <w:sz w:val="24"/>
                <w:szCs w:val="24"/>
                <w:lang w:val="en-US" w:eastAsia="zh-CN"/>
              </w:rPr>
              <w:t>2</w:t>
            </w:r>
            <w:r>
              <w:rPr>
                <w:rFonts w:hint="eastAsia" w:ascii="Times New Roman" w:hAnsi="Times New Roman" w:eastAsia="宋体" w:cs="宋体"/>
                <w:bCs/>
                <w:sz w:val="24"/>
                <w:szCs w:val="24"/>
                <w:lang w:eastAsia="zh-CN"/>
              </w:rPr>
              <w:t>）</w:t>
            </w:r>
            <w:r>
              <w:rPr>
                <w:rFonts w:hint="eastAsia" w:ascii="Times New Roman" w:hAnsi="Times New Roman" w:eastAsia="宋体" w:cs="宋体"/>
                <w:bCs/>
                <w:sz w:val="24"/>
                <w:szCs w:val="24"/>
                <w:lang w:val="en-US" w:eastAsia="zh-CN"/>
              </w:rPr>
              <w:t>产品质量标准</w:t>
            </w:r>
          </w:p>
          <w:p w14:paraId="55C75A7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宋体"/>
                <w:bCs/>
                <w:sz w:val="24"/>
                <w:szCs w:val="24"/>
                <w:lang w:val="en-US" w:eastAsia="zh-CN"/>
              </w:rPr>
            </w:pPr>
            <w:r>
              <w:rPr>
                <w:rFonts w:hint="eastAsia" w:ascii="Times New Roman" w:hAnsi="Times New Roman" w:eastAsia="宋体" w:cs="宋体"/>
                <w:bCs/>
                <w:sz w:val="24"/>
                <w:szCs w:val="24"/>
                <w:lang w:val="en-US" w:eastAsia="zh-CN"/>
              </w:rPr>
              <w:t>本项目</w:t>
            </w:r>
            <w:r>
              <w:rPr>
                <w:rFonts w:hint="eastAsia" w:ascii="Times New Roman" w:hAnsi="Times New Roman" w:cs="Times New Roman"/>
                <w:bCs/>
                <w:sz w:val="24"/>
                <w:szCs w:val="24"/>
                <w:lang w:val="en-US" w:eastAsia="zh-CN"/>
              </w:rPr>
              <w:t>硅胶干燥剂、分子筛干燥剂、活性炭干燥剂、氧气指示剂、二氧化碳指示剂、脱氧剂</w:t>
            </w:r>
            <w:r>
              <w:rPr>
                <w:rFonts w:hint="eastAsia" w:ascii="Times New Roman" w:hAnsi="Times New Roman" w:eastAsia="宋体" w:cs="宋体"/>
                <w:bCs/>
                <w:sz w:val="24"/>
                <w:szCs w:val="24"/>
                <w:lang w:val="en-US" w:eastAsia="zh-CN"/>
              </w:rPr>
              <w:t>产品质量标准应符合上海樱琦干燥剂有限公司指标限值要求。</w:t>
            </w:r>
          </w:p>
          <w:p w14:paraId="3321F3EF">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eastAsia" w:ascii="Times New Roman" w:hAnsi="Times New Roman" w:eastAsia="黑体" w:cs="Times New Roman"/>
                <w:bCs/>
                <w:sz w:val="24"/>
                <w:szCs w:val="24"/>
              </w:rPr>
              <w:t>2-</w:t>
            </w:r>
            <w:r>
              <w:rPr>
                <w:rFonts w:hint="eastAsia" w:ascii="Times New Roman" w:hAnsi="Times New Roman" w:eastAsia="黑体" w:cs="Times New Roman"/>
                <w:bCs/>
                <w:sz w:val="24"/>
                <w:szCs w:val="24"/>
                <w:lang w:val="en-US" w:eastAsia="zh-CN"/>
              </w:rPr>
              <w:t>5</w:t>
            </w:r>
            <w:r>
              <w:rPr>
                <w:rFonts w:hint="eastAsia" w:ascii="Times New Roman" w:hAnsi="Times New Roman" w:eastAsia="黑体" w:cs="Times New Roman"/>
                <w:bCs/>
                <w:sz w:val="24"/>
                <w:szCs w:val="24"/>
              </w:rPr>
              <w:t xml:space="preserve">  项目</w:t>
            </w:r>
            <w:r>
              <w:rPr>
                <w:rFonts w:hint="eastAsia" w:ascii="Times New Roman" w:hAnsi="Times New Roman" w:eastAsia="黑体" w:cs="Times New Roman"/>
                <w:bCs/>
                <w:sz w:val="24"/>
                <w:szCs w:val="24"/>
                <w:lang w:val="en-US" w:eastAsia="zh-CN"/>
              </w:rPr>
              <w:t>产品质量标准</w:t>
            </w:r>
            <w:r>
              <w:rPr>
                <w:rFonts w:hint="default" w:ascii="Times New Roman" w:hAnsi="Times New Roman" w:eastAsia="黑体" w:cs="Times New Roman"/>
                <w:bCs/>
                <w:sz w:val="24"/>
                <w:szCs w:val="24"/>
              </w:rPr>
              <w:t>一览表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200"/>
              <w:gridCol w:w="925"/>
              <w:gridCol w:w="2438"/>
              <w:gridCol w:w="1275"/>
              <w:gridCol w:w="1856"/>
            </w:tblGrid>
            <w:tr w14:paraId="30A6F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3D02848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715" w:type="pct"/>
                  <w:vAlign w:val="center"/>
                </w:tcPr>
                <w:p w14:paraId="74D0C55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
                      <w:szCs w:val="21"/>
                      <w:lang w:val="en-US" w:eastAsia="zh-CN"/>
                    </w:rPr>
                  </w:pPr>
                  <w:r>
                    <w:rPr>
                      <w:rFonts w:hint="default" w:ascii="Times New Roman" w:hAnsi="Times New Roman" w:cs="Times New Roman"/>
                      <w:b/>
                      <w:szCs w:val="21"/>
                      <w:lang w:val="en-US" w:eastAsia="zh-CN"/>
                    </w:rPr>
                    <w:t>产品名称</w:t>
                  </w:r>
                </w:p>
              </w:tc>
              <w:tc>
                <w:tcPr>
                  <w:tcW w:w="2765" w:type="pct"/>
                  <w:gridSpan w:val="3"/>
                  <w:vAlign w:val="center"/>
                </w:tcPr>
                <w:p w14:paraId="0A788462">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lang w:val="en-US" w:eastAsia="zh-CN"/>
                    </w:rPr>
                  </w:pPr>
                  <w:r>
                    <w:rPr>
                      <w:rFonts w:hint="eastAsia" w:ascii="Times New Roman" w:hAnsi="Times New Roman" w:cs="Times New Roman"/>
                      <w:b/>
                      <w:szCs w:val="21"/>
                      <w:lang w:val="en-US" w:eastAsia="zh-CN"/>
                    </w:rPr>
                    <w:t>指标/要求</w:t>
                  </w:r>
                </w:p>
              </w:tc>
              <w:tc>
                <w:tcPr>
                  <w:tcW w:w="1106" w:type="pct"/>
                  <w:vAlign w:val="center"/>
                </w:tcPr>
                <w:p w14:paraId="5106D5E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
                      <w:bCs w:val="0"/>
                      <w:sz w:val="21"/>
                      <w:szCs w:val="21"/>
                      <w:lang w:val="en-US" w:eastAsia="zh-CN"/>
                    </w:rPr>
                  </w:pPr>
                  <w:r>
                    <w:rPr>
                      <w:rFonts w:hint="default" w:ascii="Times New Roman" w:hAnsi="Times New Roman" w:cs="Times New Roman"/>
                      <w:b/>
                      <w:bCs w:val="0"/>
                      <w:sz w:val="21"/>
                      <w:szCs w:val="21"/>
                      <w:lang w:val="en-US" w:eastAsia="zh-CN"/>
                    </w:rPr>
                    <w:t>质量标准</w:t>
                  </w:r>
                </w:p>
              </w:tc>
            </w:tr>
            <w:tr w14:paraId="46A79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11" w:type="pct"/>
                  <w:vMerge w:val="restart"/>
                  <w:vAlign w:val="center"/>
                </w:tcPr>
                <w:p w14:paraId="008643E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1</w:t>
                  </w:r>
                </w:p>
              </w:tc>
              <w:tc>
                <w:tcPr>
                  <w:tcW w:w="715" w:type="pct"/>
                  <w:vMerge w:val="restart"/>
                  <w:vAlign w:val="center"/>
                </w:tcPr>
                <w:p w14:paraId="0DB403A0">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rPr>
                    <w:t>硅胶干燥剂</w:t>
                  </w:r>
                </w:p>
              </w:tc>
              <w:tc>
                <w:tcPr>
                  <w:tcW w:w="551" w:type="pct"/>
                  <w:vMerge w:val="restart"/>
                  <w:vAlign w:val="center"/>
                </w:tcPr>
                <w:p w14:paraId="3AD9401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微生物限度指标</w:t>
                  </w:r>
                </w:p>
              </w:tc>
              <w:tc>
                <w:tcPr>
                  <w:tcW w:w="1453" w:type="pct"/>
                  <w:vAlign w:val="center"/>
                </w:tcPr>
                <w:p w14:paraId="37A12C2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需氧菌总数（cfu/袋、克）</w:t>
                  </w:r>
                </w:p>
              </w:tc>
              <w:tc>
                <w:tcPr>
                  <w:tcW w:w="760" w:type="pct"/>
                  <w:vAlign w:val="center"/>
                </w:tcPr>
                <w:p w14:paraId="2CDBAC5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≤1000</w:t>
                  </w:r>
                </w:p>
              </w:tc>
              <w:tc>
                <w:tcPr>
                  <w:tcW w:w="1106" w:type="pct"/>
                  <w:vMerge w:val="restart"/>
                  <w:vAlign w:val="center"/>
                </w:tcPr>
                <w:p w14:paraId="737272D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szCs w:val="21"/>
                    </w:rPr>
                    <w:t>《药用固体纸袋装硅胶干燥剂》（BZH-F-01-202502）</w:t>
                  </w:r>
                </w:p>
              </w:tc>
            </w:tr>
            <w:tr w14:paraId="2851F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11" w:type="pct"/>
                  <w:vMerge w:val="continue"/>
                  <w:vAlign w:val="center"/>
                </w:tcPr>
                <w:p w14:paraId="2C0196FF">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1FB18F0D">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szCs w:val="21"/>
                    </w:rPr>
                  </w:pPr>
                </w:p>
              </w:tc>
              <w:tc>
                <w:tcPr>
                  <w:tcW w:w="551" w:type="pct"/>
                  <w:vMerge w:val="continue"/>
                  <w:vAlign w:val="center"/>
                </w:tcPr>
                <w:p w14:paraId="20899EEB">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lang w:val="en-US" w:eastAsia="zh-CN"/>
                    </w:rPr>
                  </w:pPr>
                </w:p>
              </w:tc>
              <w:tc>
                <w:tcPr>
                  <w:tcW w:w="1453" w:type="pct"/>
                  <w:vAlign w:val="center"/>
                </w:tcPr>
                <w:p w14:paraId="5B2BE56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霉菌、酵母菌总数（cfu/袋、克）</w:t>
                  </w:r>
                </w:p>
              </w:tc>
              <w:tc>
                <w:tcPr>
                  <w:tcW w:w="760" w:type="pct"/>
                  <w:vAlign w:val="center"/>
                </w:tcPr>
                <w:p w14:paraId="4CA91A2E">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≤100</w:t>
                  </w:r>
                </w:p>
              </w:tc>
              <w:tc>
                <w:tcPr>
                  <w:tcW w:w="1106" w:type="pct"/>
                  <w:vMerge w:val="continue"/>
                  <w:vAlign w:val="center"/>
                </w:tcPr>
                <w:p w14:paraId="4B2FFD5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p>
              </w:tc>
            </w:tr>
            <w:tr w14:paraId="48B5C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11" w:type="pct"/>
                  <w:vMerge w:val="continue"/>
                  <w:vAlign w:val="center"/>
                </w:tcPr>
                <w:p w14:paraId="45A6D9B1">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3F2204D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szCs w:val="21"/>
                    </w:rPr>
                  </w:pPr>
                </w:p>
              </w:tc>
              <w:tc>
                <w:tcPr>
                  <w:tcW w:w="551" w:type="pct"/>
                  <w:vMerge w:val="continue"/>
                  <w:vAlign w:val="center"/>
                </w:tcPr>
                <w:p w14:paraId="28630220">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lang w:val="en-US" w:eastAsia="zh-CN"/>
                    </w:rPr>
                  </w:pPr>
                </w:p>
              </w:tc>
              <w:tc>
                <w:tcPr>
                  <w:tcW w:w="1453" w:type="pct"/>
                  <w:vAlign w:val="center"/>
                </w:tcPr>
                <w:p w14:paraId="43E2937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大肠埃希菌（袋、克）</w:t>
                  </w:r>
                </w:p>
              </w:tc>
              <w:tc>
                <w:tcPr>
                  <w:tcW w:w="760" w:type="pct"/>
                  <w:vAlign w:val="center"/>
                </w:tcPr>
                <w:p w14:paraId="15AD3662">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不得检出</w:t>
                  </w:r>
                </w:p>
              </w:tc>
              <w:tc>
                <w:tcPr>
                  <w:tcW w:w="1106" w:type="pct"/>
                  <w:vMerge w:val="continue"/>
                  <w:vAlign w:val="center"/>
                </w:tcPr>
                <w:p w14:paraId="16C3C62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p>
              </w:tc>
            </w:tr>
            <w:tr w14:paraId="5DB4D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11" w:type="pct"/>
                  <w:vMerge w:val="restart"/>
                  <w:vAlign w:val="center"/>
                </w:tcPr>
                <w:p w14:paraId="753752B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2</w:t>
                  </w:r>
                </w:p>
              </w:tc>
              <w:tc>
                <w:tcPr>
                  <w:tcW w:w="715" w:type="pct"/>
                  <w:vMerge w:val="restart"/>
                  <w:vAlign w:val="center"/>
                </w:tcPr>
                <w:p w14:paraId="70740157">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rPr>
                    <w:t>分子筛干燥剂</w:t>
                  </w:r>
                </w:p>
              </w:tc>
              <w:tc>
                <w:tcPr>
                  <w:tcW w:w="551" w:type="pct"/>
                  <w:vMerge w:val="restart"/>
                  <w:vAlign w:val="center"/>
                </w:tcPr>
                <w:p w14:paraId="0109F43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lang w:val="en-US" w:eastAsia="zh-CN"/>
                    </w:rPr>
                    <w:t>微生物限度指标</w:t>
                  </w:r>
                </w:p>
              </w:tc>
              <w:tc>
                <w:tcPr>
                  <w:tcW w:w="1453" w:type="pct"/>
                  <w:vAlign w:val="center"/>
                </w:tcPr>
                <w:p w14:paraId="56246483">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需氧菌总数（cfu/袋、克）</w:t>
                  </w:r>
                </w:p>
              </w:tc>
              <w:tc>
                <w:tcPr>
                  <w:tcW w:w="760" w:type="pct"/>
                  <w:vAlign w:val="center"/>
                </w:tcPr>
                <w:p w14:paraId="431BD0C4">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≤1000</w:t>
                  </w:r>
                </w:p>
              </w:tc>
              <w:tc>
                <w:tcPr>
                  <w:tcW w:w="1106" w:type="pct"/>
                  <w:vMerge w:val="restart"/>
                  <w:vAlign w:val="center"/>
                </w:tcPr>
                <w:p w14:paraId="18FE021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szCs w:val="21"/>
                    </w:rPr>
                    <w:t>《</w:t>
                  </w:r>
                  <w:r>
                    <w:rPr>
                      <w:rFonts w:hint="eastAsia" w:ascii="Times New Roman" w:hAnsi="Times New Roman" w:cs="Times New Roman"/>
                      <w:szCs w:val="21"/>
                      <w:lang w:val="en-US" w:eastAsia="zh-CN"/>
                    </w:rPr>
                    <w:t>固体药用袋装分子筛干燥剂</w:t>
                  </w:r>
                  <w:r>
                    <w:rPr>
                      <w:rFonts w:hint="default" w:ascii="Times New Roman" w:hAnsi="Times New Roman" w:cs="Times New Roman"/>
                      <w:szCs w:val="21"/>
                    </w:rPr>
                    <w:t>》（BZH-F-0</w:t>
                  </w:r>
                  <w:r>
                    <w:rPr>
                      <w:rFonts w:hint="eastAsia" w:ascii="Times New Roman" w:hAnsi="Times New Roman" w:cs="Times New Roman"/>
                      <w:szCs w:val="21"/>
                      <w:lang w:val="en-US" w:eastAsia="zh-CN"/>
                    </w:rPr>
                    <w:t>5</w:t>
                  </w:r>
                  <w:r>
                    <w:rPr>
                      <w:rFonts w:hint="default" w:ascii="Times New Roman" w:hAnsi="Times New Roman" w:cs="Times New Roman"/>
                      <w:szCs w:val="21"/>
                    </w:rPr>
                    <w:t>-202502）</w:t>
                  </w:r>
                </w:p>
              </w:tc>
            </w:tr>
            <w:tr w14:paraId="270F7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11" w:type="pct"/>
                  <w:vMerge w:val="continue"/>
                  <w:vAlign w:val="center"/>
                </w:tcPr>
                <w:p w14:paraId="540D6E13">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65DBCBF9">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szCs w:val="21"/>
                    </w:rPr>
                  </w:pPr>
                </w:p>
              </w:tc>
              <w:tc>
                <w:tcPr>
                  <w:tcW w:w="551" w:type="pct"/>
                  <w:vMerge w:val="continue"/>
                  <w:vAlign w:val="center"/>
                </w:tcPr>
                <w:p w14:paraId="12C8FDB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p>
              </w:tc>
              <w:tc>
                <w:tcPr>
                  <w:tcW w:w="1453" w:type="pct"/>
                  <w:vAlign w:val="center"/>
                </w:tcPr>
                <w:p w14:paraId="7AC94A31">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霉菌、酵母菌总数（cfu/袋、克）</w:t>
                  </w:r>
                </w:p>
              </w:tc>
              <w:tc>
                <w:tcPr>
                  <w:tcW w:w="760" w:type="pct"/>
                  <w:vAlign w:val="center"/>
                </w:tcPr>
                <w:p w14:paraId="7C2BD3D2">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≤100</w:t>
                  </w:r>
                </w:p>
              </w:tc>
              <w:tc>
                <w:tcPr>
                  <w:tcW w:w="1106" w:type="pct"/>
                  <w:vMerge w:val="continue"/>
                  <w:vAlign w:val="center"/>
                </w:tcPr>
                <w:p w14:paraId="4131C7F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p>
              </w:tc>
            </w:tr>
            <w:tr w14:paraId="5D1BA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11" w:type="pct"/>
                  <w:vMerge w:val="continue"/>
                  <w:vAlign w:val="center"/>
                </w:tcPr>
                <w:p w14:paraId="4B6D3371">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479D8D6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szCs w:val="21"/>
                    </w:rPr>
                  </w:pPr>
                </w:p>
              </w:tc>
              <w:tc>
                <w:tcPr>
                  <w:tcW w:w="551" w:type="pct"/>
                  <w:vMerge w:val="continue"/>
                  <w:vAlign w:val="center"/>
                </w:tcPr>
                <w:p w14:paraId="5A13A4B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p>
              </w:tc>
              <w:tc>
                <w:tcPr>
                  <w:tcW w:w="1453" w:type="pct"/>
                  <w:vAlign w:val="center"/>
                </w:tcPr>
                <w:p w14:paraId="34F78ED5">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大肠埃希菌（袋、克）</w:t>
                  </w:r>
                </w:p>
              </w:tc>
              <w:tc>
                <w:tcPr>
                  <w:tcW w:w="760" w:type="pct"/>
                  <w:vAlign w:val="center"/>
                </w:tcPr>
                <w:p w14:paraId="14EBFDD3">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不得检出</w:t>
                  </w:r>
                </w:p>
              </w:tc>
              <w:tc>
                <w:tcPr>
                  <w:tcW w:w="1106" w:type="pct"/>
                  <w:vMerge w:val="continue"/>
                  <w:vAlign w:val="center"/>
                </w:tcPr>
                <w:p w14:paraId="75BAD28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p>
              </w:tc>
            </w:tr>
            <w:tr w14:paraId="349F8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11" w:type="pct"/>
                  <w:vMerge w:val="restart"/>
                  <w:vAlign w:val="center"/>
                </w:tcPr>
                <w:p w14:paraId="6BA8BED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3</w:t>
                  </w:r>
                </w:p>
              </w:tc>
              <w:tc>
                <w:tcPr>
                  <w:tcW w:w="715" w:type="pct"/>
                  <w:vMerge w:val="restart"/>
                  <w:vAlign w:val="center"/>
                </w:tcPr>
                <w:p w14:paraId="41636FB4">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rPr>
                    <w:t>活性炭干燥剂</w:t>
                  </w:r>
                </w:p>
              </w:tc>
              <w:tc>
                <w:tcPr>
                  <w:tcW w:w="551" w:type="pct"/>
                  <w:vMerge w:val="restart"/>
                  <w:vAlign w:val="center"/>
                </w:tcPr>
                <w:p w14:paraId="27CB83F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lang w:val="en-US" w:eastAsia="zh-CN"/>
                    </w:rPr>
                    <w:t>微生物限度指标</w:t>
                  </w:r>
                </w:p>
              </w:tc>
              <w:tc>
                <w:tcPr>
                  <w:tcW w:w="1453" w:type="pct"/>
                  <w:vAlign w:val="center"/>
                </w:tcPr>
                <w:p w14:paraId="2348BD5A">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需氧菌总数（cfu/袋、克）</w:t>
                  </w:r>
                </w:p>
              </w:tc>
              <w:tc>
                <w:tcPr>
                  <w:tcW w:w="760" w:type="pct"/>
                  <w:vAlign w:val="center"/>
                </w:tcPr>
                <w:p w14:paraId="53DC82ED">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≤1000</w:t>
                  </w:r>
                </w:p>
              </w:tc>
              <w:tc>
                <w:tcPr>
                  <w:tcW w:w="1106" w:type="pct"/>
                  <w:vMerge w:val="restart"/>
                  <w:vAlign w:val="center"/>
                </w:tcPr>
                <w:p w14:paraId="1CEA3CB4">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r>
            <w:tr w14:paraId="497BB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11" w:type="pct"/>
                  <w:vMerge w:val="continue"/>
                  <w:vAlign w:val="center"/>
                </w:tcPr>
                <w:p w14:paraId="528EC469">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403C2F61">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szCs w:val="21"/>
                    </w:rPr>
                  </w:pPr>
                </w:p>
              </w:tc>
              <w:tc>
                <w:tcPr>
                  <w:tcW w:w="551" w:type="pct"/>
                  <w:vMerge w:val="continue"/>
                  <w:vAlign w:val="center"/>
                </w:tcPr>
                <w:p w14:paraId="1EC6003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p>
              </w:tc>
              <w:tc>
                <w:tcPr>
                  <w:tcW w:w="1453" w:type="pct"/>
                  <w:vAlign w:val="center"/>
                </w:tcPr>
                <w:p w14:paraId="5500264B">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霉菌、酵母菌总数（cfu/袋、克）</w:t>
                  </w:r>
                </w:p>
              </w:tc>
              <w:tc>
                <w:tcPr>
                  <w:tcW w:w="760" w:type="pct"/>
                  <w:vAlign w:val="center"/>
                </w:tcPr>
                <w:p w14:paraId="155277B3">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≤100</w:t>
                  </w:r>
                </w:p>
              </w:tc>
              <w:tc>
                <w:tcPr>
                  <w:tcW w:w="1106" w:type="pct"/>
                  <w:vMerge w:val="continue"/>
                  <w:vAlign w:val="center"/>
                </w:tcPr>
                <w:p w14:paraId="11A8E83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p>
              </w:tc>
            </w:tr>
            <w:tr w14:paraId="0E3FB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11" w:type="pct"/>
                  <w:vMerge w:val="continue"/>
                  <w:vAlign w:val="center"/>
                </w:tcPr>
                <w:p w14:paraId="57B1FFA2">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6A9DA8A6">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szCs w:val="21"/>
                    </w:rPr>
                  </w:pPr>
                </w:p>
              </w:tc>
              <w:tc>
                <w:tcPr>
                  <w:tcW w:w="551" w:type="pct"/>
                  <w:vMerge w:val="continue"/>
                  <w:vAlign w:val="center"/>
                </w:tcPr>
                <w:p w14:paraId="15AAF95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p>
              </w:tc>
              <w:tc>
                <w:tcPr>
                  <w:tcW w:w="1453" w:type="pct"/>
                  <w:vAlign w:val="center"/>
                </w:tcPr>
                <w:p w14:paraId="618AA547">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大肠埃希菌（袋、克）</w:t>
                  </w:r>
                </w:p>
              </w:tc>
              <w:tc>
                <w:tcPr>
                  <w:tcW w:w="760" w:type="pct"/>
                  <w:vAlign w:val="center"/>
                </w:tcPr>
                <w:p w14:paraId="63C61DE2">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val="en-US" w:eastAsia="zh-CN"/>
                    </w:rPr>
                    <w:t>不得检出</w:t>
                  </w:r>
                </w:p>
              </w:tc>
              <w:tc>
                <w:tcPr>
                  <w:tcW w:w="1106" w:type="pct"/>
                  <w:vMerge w:val="continue"/>
                  <w:vAlign w:val="center"/>
                </w:tcPr>
                <w:p w14:paraId="441FCBA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p>
              </w:tc>
            </w:tr>
            <w:tr w14:paraId="6811F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11" w:type="pct"/>
                  <w:vMerge w:val="restart"/>
                  <w:vAlign w:val="center"/>
                </w:tcPr>
                <w:p w14:paraId="12D5864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4</w:t>
                  </w:r>
                </w:p>
              </w:tc>
              <w:tc>
                <w:tcPr>
                  <w:tcW w:w="715" w:type="pct"/>
                  <w:vMerge w:val="restart"/>
                  <w:vAlign w:val="center"/>
                </w:tcPr>
                <w:p w14:paraId="73228A47">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氧气指示剂</w:t>
                  </w:r>
                </w:p>
              </w:tc>
              <w:tc>
                <w:tcPr>
                  <w:tcW w:w="551" w:type="pct"/>
                  <w:vMerge w:val="restart"/>
                  <w:vAlign w:val="center"/>
                </w:tcPr>
                <w:p w14:paraId="56AF329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微生物限度指标</w:t>
                  </w:r>
                </w:p>
              </w:tc>
              <w:tc>
                <w:tcPr>
                  <w:tcW w:w="1453" w:type="pct"/>
                  <w:vAlign w:val="center"/>
                </w:tcPr>
                <w:p w14:paraId="645A2866">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需氧菌总数（cfu/袋）</w:t>
                  </w:r>
                </w:p>
              </w:tc>
              <w:tc>
                <w:tcPr>
                  <w:tcW w:w="760" w:type="pct"/>
                  <w:vAlign w:val="center"/>
                </w:tcPr>
                <w:p w14:paraId="427A71AB">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≤1000</w:t>
                  </w:r>
                </w:p>
              </w:tc>
              <w:tc>
                <w:tcPr>
                  <w:tcW w:w="1106" w:type="pct"/>
                  <w:vMerge w:val="restart"/>
                  <w:vAlign w:val="center"/>
                </w:tcPr>
                <w:p w14:paraId="55A3F61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r>
                    <w:rPr>
                      <w:rFonts w:hint="default" w:ascii="Times New Roman" w:hAnsi="Times New Roman" w:cs="Times New Roman"/>
                      <w:szCs w:val="21"/>
                    </w:rPr>
                    <w:t>《</w:t>
                  </w:r>
                  <w:r>
                    <w:rPr>
                      <w:rFonts w:hint="eastAsia" w:ascii="Times New Roman" w:hAnsi="Times New Roman" w:cs="Times New Roman"/>
                      <w:szCs w:val="21"/>
                      <w:lang w:val="en-US" w:eastAsia="zh-CN"/>
                    </w:rPr>
                    <w:t>氧浓度指示剂</w:t>
                  </w:r>
                  <w:r>
                    <w:rPr>
                      <w:rFonts w:hint="default" w:ascii="Times New Roman" w:hAnsi="Times New Roman" w:cs="Times New Roman"/>
                      <w:szCs w:val="21"/>
                    </w:rPr>
                    <w:t>》（BZH-F-</w:t>
                  </w:r>
                  <w:r>
                    <w:rPr>
                      <w:rFonts w:hint="eastAsia" w:ascii="Times New Roman" w:hAnsi="Times New Roman" w:cs="Times New Roman"/>
                      <w:szCs w:val="21"/>
                      <w:lang w:val="en-US" w:eastAsia="zh-CN"/>
                    </w:rPr>
                    <w:t>15</w:t>
                  </w:r>
                  <w:r>
                    <w:rPr>
                      <w:rFonts w:hint="default" w:ascii="Times New Roman" w:hAnsi="Times New Roman" w:cs="Times New Roman"/>
                      <w:szCs w:val="21"/>
                    </w:rPr>
                    <w:t>-202502）</w:t>
                  </w:r>
                </w:p>
              </w:tc>
            </w:tr>
            <w:tr w14:paraId="081D7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11" w:type="pct"/>
                  <w:vMerge w:val="continue"/>
                  <w:vAlign w:val="center"/>
                </w:tcPr>
                <w:p w14:paraId="1BE0DE29">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799C51EC">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none"/>
                      <w:lang w:val="en-US" w:eastAsia="zh-CN"/>
                    </w:rPr>
                  </w:pPr>
                </w:p>
              </w:tc>
              <w:tc>
                <w:tcPr>
                  <w:tcW w:w="551" w:type="pct"/>
                  <w:vMerge w:val="continue"/>
                  <w:vAlign w:val="center"/>
                </w:tcPr>
                <w:p w14:paraId="053BF92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p>
              </w:tc>
              <w:tc>
                <w:tcPr>
                  <w:tcW w:w="1453" w:type="pct"/>
                  <w:vAlign w:val="center"/>
                </w:tcPr>
                <w:p w14:paraId="54ED20E5">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霉菌、酵母菌总数（cfu/袋）</w:t>
                  </w:r>
                </w:p>
              </w:tc>
              <w:tc>
                <w:tcPr>
                  <w:tcW w:w="760" w:type="pct"/>
                  <w:vAlign w:val="center"/>
                </w:tcPr>
                <w:p w14:paraId="5C3E5DE0">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≤100</w:t>
                  </w:r>
                </w:p>
              </w:tc>
              <w:tc>
                <w:tcPr>
                  <w:tcW w:w="1106" w:type="pct"/>
                  <w:vMerge w:val="continue"/>
                  <w:vAlign w:val="center"/>
                </w:tcPr>
                <w:p w14:paraId="765E0C9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p>
              </w:tc>
            </w:tr>
            <w:tr w14:paraId="6B21F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11" w:type="pct"/>
                  <w:vMerge w:val="continue"/>
                  <w:vAlign w:val="center"/>
                </w:tcPr>
                <w:p w14:paraId="004A7094">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0AAC97E3">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none"/>
                      <w:lang w:val="en-US" w:eastAsia="zh-CN"/>
                    </w:rPr>
                  </w:pPr>
                </w:p>
              </w:tc>
              <w:tc>
                <w:tcPr>
                  <w:tcW w:w="551" w:type="pct"/>
                  <w:vMerge w:val="continue"/>
                  <w:vAlign w:val="center"/>
                </w:tcPr>
                <w:p w14:paraId="494A975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p>
              </w:tc>
              <w:tc>
                <w:tcPr>
                  <w:tcW w:w="1453" w:type="pct"/>
                  <w:vAlign w:val="center"/>
                </w:tcPr>
                <w:p w14:paraId="0A940F34">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大肠埃希菌（袋）</w:t>
                  </w:r>
                </w:p>
              </w:tc>
              <w:tc>
                <w:tcPr>
                  <w:tcW w:w="760" w:type="pct"/>
                  <w:vAlign w:val="center"/>
                </w:tcPr>
                <w:p w14:paraId="1CAE5DC6">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不得检出</w:t>
                  </w:r>
                </w:p>
              </w:tc>
              <w:tc>
                <w:tcPr>
                  <w:tcW w:w="1106" w:type="pct"/>
                  <w:vMerge w:val="continue"/>
                  <w:vAlign w:val="center"/>
                </w:tcPr>
                <w:p w14:paraId="5B0969A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p>
              </w:tc>
            </w:tr>
            <w:tr w14:paraId="69807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411" w:type="pct"/>
                  <w:vMerge w:val="restart"/>
                  <w:vAlign w:val="center"/>
                </w:tcPr>
                <w:p w14:paraId="5D45958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5</w:t>
                  </w:r>
                </w:p>
              </w:tc>
              <w:tc>
                <w:tcPr>
                  <w:tcW w:w="715" w:type="pct"/>
                  <w:vMerge w:val="restart"/>
                  <w:vAlign w:val="center"/>
                </w:tcPr>
                <w:p w14:paraId="170C23C8">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二氧化碳指示剂</w:t>
                  </w:r>
                </w:p>
              </w:tc>
              <w:tc>
                <w:tcPr>
                  <w:tcW w:w="551" w:type="pct"/>
                  <w:vMerge w:val="restart"/>
                  <w:vAlign w:val="center"/>
                </w:tcPr>
                <w:p w14:paraId="2381437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微生物限度指标</w:t>
                  </w:r>
                </w:p>
              </w:tc>
              <w:tc>
                <w:tcPr>
                  <w:tcW w:w="1453" w:type="pct"/>
                  <w:vAlign w:val="center"/>
                </w:tcPr>
                <w:p w14:paraId="65EA9C34">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需氧菌总数（cfu/袋、克）</w:t>
                  </w:r>
                </w:p>
              </w:tc>
              <w:tc>
                <w:tcPr>
                  <w:tcW w:w="760" w:type="pct"/>
                  <w:vAlign w:val="center"/>
                </w:tcPr>
                <w:p w14:paraId="4F3B3FF0">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≤1000</w:t>
                  </w:r>
                </w:p>
              </w:tc>
              <w:tc>
                <w:tcPr>
                  <w:tcW w:w="1106" w:type="pct"/>
                  <w:vMerge w:val="restart"/>
                  <w:vAlign w:val="center"/>
                </w:tcPr>
                <w:p w14:paraId="1D0D0D36">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w:t>
                  </w:r>
                </w:p>
              </w:tc>
            </w:tr>
            <w:tr w14:paraId="6A35A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11" w:type="pct"/>
                  <w:vMerge w:val="continue"/>
                  <w:vAlign w:val="center"/>
                </w:tcPr>
                <w:p w14:paraId="2E4892B5">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7B811158">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none"/>
                      <w:lang w:val="en-US" w:eastAsia="zh-CN"/>
                    </w:rPr>
                  </w:pPr>
                </w:p>
              </w:tc>
              <w:tc>
                <w:tcPr>
                  <w:tcW w:w="551" w:type="pct"/>
                  <w:vMerge w:val="continue"/>
                  <w:vAlign w:val="center"/>
                </w:tcPr>
                <w:p w14:paraId="529F832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p>
              </w:tc>
              <w:tc>
                <w:tcPr>
                  <w:tcW w:w="1453" w:type="pct"/>
                  <w:vAlign w:val="center"/>
                </w:tcPr>
                <w:p w14:paraId="1D7047BD">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霉菌、酵母菌总数（cfu/袋、克）</w:t>
                  </w:r>
                </w:p>
              </w:tc>
              <w:tc>
                <w:tcPr>
                  <w:tcW w:w="760" w:type="pct"/>
                  <w:vAlign w:val="center"/>
                </w:tcPr>
                <w:p w14:paraId="43910558">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≤100</w:t>
                  </w:r>
                </w:p>
              </w:tc>
              <w:tc>
                <w:tcPr>
                  <w:tcW w:w="1106" w:type="pct"/>
                  <w:vMerge w:val="continue"/>
                  <w:vAlign w:val="center"/>
                </w:tcPr>
                <w:p w14:paraId="22AE284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p>
              </w:tc>
            </w:tr>
            <w:tr w14:paraId="347F1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11" w:type="pct"/>
                  <w:vMerge w:val="continue"/>
                  <w:vAlign w:val="center"/>
                </w:tcPr>
                <w:p w14:paraId="5B706452">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1404DF7E">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none"/>
                      <w:lang w:val="en-US" w:eastAsia="zh-CN"/>
                    </w:rPr>
                  </w:pPr>
                </w:p>
              </w:tc>
              <w:tc>
                <w:tcPr>
                  <w:tcW w:w="551" w:type="pct"/>
                  <w:vMerge w:val="continue"/>
                  <w:vAlign w:val="center"/>
                </w:tcPr>
                <w:p w14:paraId="19041A3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p>
              </w:tc>
              <w:tc>
                <w:tcPr>
                  <w:tcW w:w="1453" w:type="pct"/>
                  <w:vAlign w:val="center"/>
                </w:tcPr>
                <w:p w14:paraId="609EEDE7">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大肠埃希菌（袋、克）</w:t>
                  </w:r>
                </w:p>
              </w:tc>
              <w:tc>
                <w:tcPr>
                  <w:tcW w:w="760" w:type="pct"/>
                  <w:vAlign w:val="center"/>
                </w:tcPr>
                <w:p w14:paraId="584C12DA">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Cs w:val="21"/>
                      <w:highlight w:val="none"/>
                    </w:rPr>
                  </w:pPr>
                  <w:r>
                    <w:rPr>
                      <w:rFonts w:hint="eastAsia" w:ascii="Times New Roman" w:hAnsi="Times New Roman" w:cs="Times New Roman"/>
                      <w:szCs w:val="21"/>
                      <w:lang w:val="en-US" w:eastAsia="zh-CN"/>
                    </w:rPr>
                    <w:t>不得检出</w:t>
                  </w:r>
                </w:p>
              </w:tc>
              <w:tc>
                <w:tcPr>
                  <w:tcW w:w="1106" w:type="pct"/>
                  <w:vMerge w:val="continue"/>
                  <w:vAlign w:val="center"/>
                </w:tcPr>
                <w:p w14:paraId="21049202">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p>
              </w:tc>
            </w:tr>
            <w:tr w14:paraId="233C2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11" w:type="pct"/>
                  <w:vMerge w:val="restart"/>
                  <w:vAlign w:val="center"/>
                </w:tcPr>
                <w:p w14:paraId="492C84E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6</w:t>
                  </w:r>
                </w:p>
              </w:tc>
              <w:tc>
                <w:tcPr>
                  <w:tcW w:w="715" w:type="pct"/>
                  <w:vMerge w:val="restart"/>
                  <w:vAlign w:val="center"/>
                </w:tcPr>
                <w:p w14:paraId="2813219D">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脱氧剂</w:t>
                  </w:r>
                </w:p>
              </w:tc>
              <w:tc>
                <w:tcPr>
                  <w:tcW w:w="2005" w:type="pct"/>
                  <w:gridSpan w:val="2"/>
                  <w:vAlign w:val="center"/>
                </w:tcPr>
                <w:p w14:paraId="03C7DFDD">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气味</w:t>
                  </w:r>
                </w:p>
              </w:tc>
              <w:tc>
                <w:tcPr>
                  <w:tcW w:w="760" w:type="pct"/>
                  <w:vAlign w:val="center"/>
                </w:tcPr>
                <w:p w14:paraId="4580E593">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无不良异味</w:t>
                  </w:r>
                </w:p>
              </w:tc>
              <w:tc>
                <w:tcPr>
                  <w:tcW w:w="1106" w:type="pct"/>
                  <w:vMerge w:val="restart"/>
                  <w:vAlign w:val="center"/>
                </w:tcPr>
                <w:p w14:paraId="03913F4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r>
                    <w:rPr>
                      <w:rFonts w:hint="default" w:ascii="Times New Roman" w:hAnsi="Times New Roman" w:cs="Times New Roman"/>
                      <w:szCs w:val="21"/>
                    </w:rPr>
                    <w:t>《</w:t>
                  </w:r>
                  <w:r>
                    <w:rPr>
                      <w:rFonts w:hint="eastAsia" w:ascii="Times New Roman" w:hAnsi="Times New Roman" w:cs="Times New Roman"/>
                      <w:szCs w:val="21"/>
                      <w:lang w:val="en-US" w:eastAsia="zh-CN"/>
                    </w:rPr>
                    <w:t>脱氧剂</w:t>
                  </w:r>
                  <w:r>
                    <w:rPr>
                      <w:rFonts w:hint="default" w:ascii="Times New Roman" w:hAnsi="Times New Roman" w:cs="Times New Roman"/>
                      <w:szCs w:val="21"/>
                    </w:rPr>
                    <w:t>》（BZH-F-</w:t>
                  </w:r>
                  <w:r>
                    <w:rPr>
                      <w:rFonts w:hint="eastAsia" w:ascii="Times New Roman" w:hAnsi="Times New Roman" w:cs="Times New Roman"/>
                      <w:szCs w:val="21"/>
                      <w:lang w:val="en-US" w:eastAsia="zh-CN"/>
                    </w:rPr>
                    <w:t>04</w:t>
                  </w:r>
                  <w:r>
                    <w:rPr>
                      <w:rFonts w:hint="default" w:ascii="Times New Roman" w:hAnsi="Times New Roman" w:cs="Times New Roman"/>
                      <w:szCs w:val="21"/>
                    </w:rPr>
                    <w:t>-202502）</w:t>
                  </w:r>
                </w:p>
              </w:tc>
            </w:tr>
            <w:tr w14:paraId="1F300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411" w:type="pct"/>
                  <w:vMerge w:val="continue"/>
                  <w:vAlign w:val="center"/>
                </w:tcPr>
                <w:p w14:paraId="5ABD1F95">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2B3F3CE2">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none"/>
                      <w:lang w:val="en-US" w:eastAsia="zh-CN"/>
                    </w:rPr>
                  </w:pPr>
                </w:p>
              </w:tc>
              <w:tc>
                <w:tcPr>
                  <w:tcW w:w="2005" w:type="pct"/>
                  <w:gridSpan w:val="2"/>
                  <w:vAlign w:val="center"/>
                </w:tcPr>
                <w:p w14:paraId="171B049A">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外观</w:t>
                  </w:r>
                </w:p>
              </w:tc>
              <w:tc>
                <w:tcPr>
                  <w:tcW w:w="760" w:type="pct"/>
                  <w:vAlign w:val="center"/>
                </w:tcPr>
                <w:p w14:paraId="5F03FEA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包装平整，热封严密，无撕裂</w:t>
                  </w:r>
                </w:p>
              </w:tc>
              <w:tc>
                <w:tcPr>
                  <w:tcW w:w="1106" w:type="pct"/>
                  <w:vMerge w:val="continue"/>
                  <w:vAlign w:val="center"/>
                </w:tcPr>
                <w:p w14:paraId="5686564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p>
              </w:tc>
            </w:tr>
            <w:tr w14:paraId="2B7E6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11" w:type="pct"/>
                  <w:vMerge w:val="continue"/>
                  <w:vAlign w:val="center"/>
                </w:tcPr>
                <w:p w14:paraId="3B348FC6">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715" w:type="pct"/>
                  <w:vMerge w:val="continue"/>
                  <w:vAlign w:val="center"/>
                </w:tcPr>
                <w:p w14:paraId="52D1028F">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highlight w:val="none"/>
                      <w:lang w:val="en-US" w:eastAsia="zh-CN"/>
                    </w:rPr>
                  </w:pPr>
                </w:p>
              </w:tc>
              <w:tc>
                <w:tcPr>
                  <w:tcW w:w="2005" w:type="pct"/>
                  <w:gridSpan w:val="2"/>
                  <w:vAlign w:val="center"/>
                </w:tcPr>
                <w:p w14:paraId="564F3DB5">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杂质</w:t>
                  </w:r>
                </w:p>
              </w:tc>
              <w:tc>
                <w:tcPr>
                  <w:tcW w:w="760" w:type="pct"/>
                  <w:vAlign w:val="center"/>
                </w:tcPr>
                <w:p w14:paraId="47FBB0E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包装表面无可见污染物</w:t>
                  </w:r>
                </w:p>
              </w:tc>
              <w:tc>
                <w:tcPr>
                  <w:tcW w:w="1106" w:type="pct"/>
                  <w:vMerge w:val="continue"/>
                  <w:vAlign w:val="center"/>
                </w:tcPr>
                <w:p w14:paraId="6BEC647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highlight w:val="none"/>
                    </w:rPr>
                  </w:pPr>
                </w:p>
              </w:tc>
            </w:tr>
          </w:tbl>
          <w:p w14:paraId="0E2D5515">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rPr>
              <w:t>4</w:t>
            </w:r>
            <w:r>
              <w:rPr>
                <w:rFonts w:hint="default" w:ascii="Times New Roman" w:hAnsi="Times New Roman" w:eastAsia="宋体" w:cs="Times New Roman"/>
                <w:b/>
                <w:bCs/>
                <w:sz w:val="24"/>
                <w:szCs w:val="24"/>
              </w:rPr>
              <w:t>、主要生产设备</w:t>
            </w:r>
          </w:p>
          <w:p w14:paraId="4DA8325D">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sz w:val="24"/>
              </w:rPr>
            </w:pPr>
            <w:r>
              <w:rPr>
                <w:rFonts w:hint="default" w:ascii="Times New Roman" w:hAnsi="Times New Roman" w:eastAsia="黑体" w:cs="Times New Roman"/>
                <w:sz w:val="24"/>
              </w:rPr>
              <w:t>表2</w:t>
            </w:r>
            <w:r>
              <w:rPr>
                <w:rFonts w:hint="eastAsia" w:ascii="Times New Roman" w:hAnsi="Times New Roman" w:eastAsia="黑体" w:cs="Times New Roman"/>
                <w:sz w:val="24"/>
              </w:rPr>
              <w:t>-</w:t>
            </w:r>
            <w:r>
              <w:rPr>
                <w:rFonts w:hint="eastAsia" w:ascii="Times New Roman" w:hAnsi="Times New Roman" w:eastAsia="黑体" w:cs="Times New Roman"/>
                <w:sz w:val="24"/>
                <w:lang w:val="en-US" w:eastAsia="zh-CN"/>
              </w:rPr>
              <w:t>6</w:t>
            </w:r>
            <w:r>
              <w:rPr>
                <w:rFonts w:hint="eastAsia" w:ascii="Times New Roman" w:hAnsi="Times New Roman" w:eastAsia="黑体" w:cs="Times New Roman"/>
                <w:sz w:val="24"/>
              </w:rPr>
              <w:t xml:space="preserve">  </w:t>
            </w:r>
            <w:r>
              <w:rPr>
                <w:rFonts w:hint="default" w:ascii="Times New Roman" w:hAnsi="Times New Roman" w:eastAsia="黑体" w:cs="Times New Roman"/>
                <w:sz w:val="24"/>
              </w:rPr>
              <w:t>项目主要设备清单列表</w:t>
            </w:r>
          </w:p>
          <w:tbl>
            <w:tblPr>
              <w:tblStyle w:val="1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57"/>
              <w:gridCol w:w="2804"/>
              <w:gridCol w:w="3356"/>
              <w:gridCol w:w="1470"/>
            </w:tblGrid>
            <w:tr w14:paraId="176588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4EE68AE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序号</w:t>
                  </w:r>
                </w:p>
              </w:tc>
              <w:tc>
                <w:tcPr>
                  <w:tcW w:w="1671" w:type="pct"/>
                  <w:vAlign w:val="center"/>
                </w:tcPr>
                <w:p w14:paraId="4FBAF34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设备名称</w:t>
                  </w:r>
                </w:p>
              </w:tc>
              <w:tc>
                <w:tcPr>
                  <w:tcW w:w="2000" w:type="pct"/>
                  <w:vAlign w:val="center"/>
                </w:tcPr>
                <w:p w14:paraId="5CCC8C5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规格型号</w:t>
                  </w:r>
                </w:p>
              </w:tc>
              <w:tc>
                <w:tcPr>
                  <w:tcW w:w="876" w:type="pct"/>
                  <w:vAlign w:val="center"/>
                </w:tcPr>
                <w:p w14:paraId="6FA0F0D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数量（台</w:t>
                  </w:r>
                  <w:r>
                    <w:rPr>
                      <w:rFonts w:hint="default" w:ascii="Times New Roman" w:hAnsi="Times New Roman" w:eastAsia="宋体" w:cs="Times New Roman"/>
                      <w:b/>
                      <w:szCs w:val="21"/>
                    </w:rPr>
                    <w:t>/</w:t>
                  </w:r>
                  <w:r>
                    <w:rPr>
                      <w:rFonts w:hint="default" w:ascii="Times New Roman" w:hAnsi="宋体" w:eastAsia="宋体" w:cs="Times New Roman"/>
                      <w:b/>
                      <w:szCs w:val="21"/>
                    </w:rPr>
                    <w:t>套）</w:t>
                  </w:r>
                </w:p>
              </w:tc>
            </w:tr>
            <w:tr w14:paraId="68AA7C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79B45FE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671" w:type="pct"/>
                  <w:vAlign w:val="center"/>
                </w:tcPr>
                <w:p w14:paraId="7CBB961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连续式全自动包装机</w:t>
                  </w:r>
                </w:p>
              </w:tc>
              <w:tc>
                <w:tcPr>
                  <w:tcW w:w="2000" w:type="pct"/>
                  <w:vAlign w:val="center"/>
                </w:tcPr>
                <w:p w14:paraId="01BE743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XJC</w:t>
                  </w:r>
                  <w:r>
                    <w:rPr>
                      <w:rFonts w:hint="default" w:ascii="Times New Roman" w:hAnsi="Times New Roman" w:eastAsia="宋体" w:cs="Times New Roman"/>
                      <w:szCs w:val="21"/>
                    </w:rPr>
                    <w:t>-30-KD</w:t>
                  </w:r>
                </w:p>
              </w:tc>
              <w:tc>
                <w:tcPr>
                  <w:tcW w:w="876" w:type="pct"/>
                  <w:vAlign w:val="center"/>
                </w:tcPr>
                <w:p w14:paraId="04A9CE8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110</w:t>
                  </w:r>
                </w:p>
              </w:tc>
            </w:tr>
            <w:tr w14:paraId="610B55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03462D6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671" w:type="pct"/>
                  <w:vAlign w:val="center"/>
                </w:tcPr>
                <w:p w14:paraId="6F06D7B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伺服夹拉式包装机</w:t>
                  </w:r>
                </w:p>
              </w:tc>
              <w:tc>
                <w:tcPr>
                  <w:tcW w:w="2000" w:type="pct"/>
                  <w:vAlign w:val="center"/>
                </w:tcPr>
                <w:p w14:paraId="64C6841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XJC-220-KS</w:t>
                  </w:r>
                </w:p>
              </w:tc>
              <w:tc>
                <w:tcPr>
                  <w:tcW w:w="876" w:type="pct"/>
                  <w:vAlign w:val="center"/>
                </w:tcPr>
                <w:p w14:paraId="613AF13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18</w:t>
                  </w:r>
                </w:p>
              </w:tc>
            </w:tr>
            <w:tr w14:paraId="75FE34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135D88E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3</w:t>
                  </w:r>
                </w:p>
              </w:tc>
              <w:tc>
                <w:tcPr>
                  <w:tcW w:w="1671" w:type="pct"/>
                  <w:vAlign w:val="center"/>
                </w:tcPr>
                <w:p w14:paraId="04E5FFF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除湿机</w:t>
                  </w:r>
                </w:p>
              </w:tc>
              <w:tc>
                <w:tcPr>
                  <w:tcW w:w="2000" w:type="pct"/>
                  <w:vAlign w:val="center"/>
                </w:tcPr>
                <w:p w14:paraId="262B8DE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DR-138 2L</w:t>
                  </w:r>
                  <w:r>
                    <w:rPr>
                      <w:rFonts w:hint="default" w:ascii="Times New Roman" w:hAnsi="宋体" w:eastAsia="宋体" w:cs="Times New Roman"/>
                      <w:szCs w:val="21"/>
                    </w:rPr>
                    <w:t>型</w:t>
                  </w:r>
                </w:p>
              </w:tc>
              <w:tc>
                <w:tcPr>
                  <w:tcW w:w="876" w:type="pct"/>
                  <w:vAlign w:val="center"/>
                </w:tcPr>
                <w:p w14:paraId="3085DF1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30</w:t>
                  </w:r>
                </w:p>
              </w:tc>
            </w:tr>
            <w:tr w14:paraId="6B47BA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19F6DD8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671" w:type="pct"/>
                  <w:vAlign w:val="center"/>
                </w:tcPr>
                <w:p w14:paraId="495EF13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抽真空封口机</w:t>
                  </w:r>
                </w:p>
              </w:tc>
              <w:tc>
                <w:tcPr>
                  <w:tcW w:w="2000" w:type="pct"/>
                  <w:vAlign w:val="center"/>
                </w:tcPr>
                <w:p w14:paraId="23063C2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800</w:t>
                  </w:r>
                  <w:r>
                    <w:rPr>
                      <w:rFonts w:hint="default" w:ascii="Times New Roman" w:hAnsi="宋体" w:eastAsia="宋体" w:cs="Times New Roman"/>
                      <w:szCs w:val="21"/>
                    </w:rPr>
                    <w:t>型</w:t>
                  </w:r>
                </w:p>
              </w:tc>
              <w:tc>
                <w:tcPr>
                  <w:tcW w:w="876" w:type="pct"/>
                  <w:vAlign w:val="center"/>
                </w:tcPr>
                <w:p w14:paraId="466F5B2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r>
            <w:tr w14:paraId="032065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1E541C6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671" w:type="pct"/>
                  <w:vAlign w:val="center"/>
                </w:tcPr>
                <w:p w14:paraId="4716CEA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脱氧剂包装机</w:t>
                  </w:r>
                </w:p>
              </w:tc>
              <w:tc>
                <w:tcPr>
                  <w:tcW w:w="2000" w:type="pct"/>
                  <w:vAlign w:val="center"/>
                </w:tcPr>
                <w:p w14:paraId="44B26C7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DF-23</w:t>
                  </w:r>
                </w:p>
              </w:tc>
              <w:tc>
                <w:tcPr>
                  <w:tcW w:w="876" w:type="pct"/>
                  <w:vAlign w:val="center"/>
                </w:tcPr>
                <w:p w14:paraId="2EE6E51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r>
            <w:tr w14:paraId="7F102C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37F22ED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671" w:type="pct"/>
                  <w:vAlign w:val="center"/>
                </w:tcPr>
                <w:p w14:paraId="7B1AC1A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自动颗粒包装机</w:t>
                  </w:r>
                </w:p>
              </w:tc>
              <w:tc>
                <w:tcPr>
                  <w:tcW w:w="2000" w:type="pct"/>
                  <w:vAlign w:val="center"/>
                </w:tcPr>
                <w:p w14:paraId="6C40952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DXDK40</w:t>
                  </w:r>
                </w:p>
              </w:tc>
              <w:tc>
                <w:tcPr>
                  <w:tcW w:w="876" w:type="pct"/>
                  <w:vAlign w:val="center"/>
                </w:tcPr>
                <w:p w14:paraId="69B8F40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r>
            <w:tr w14:paraId="3BCA17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45DB5FF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671" w:type="pct"/>
                  <w:vAlign w:val="center"/>
                </w:tcPr>
                <w:p w14:paraId="5825C00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高速立式包装机</w:t>
                  </w:r>
                </w:p>
              </w:tc>
              <w:tc>
                <w:tcPr>
                  <w:tcW w:w="2000" w:type="pct"/>
                  <w:vAlign w:val="center"/>
                </w:tcPr>
                <w:p w14:paraId="2B3A49B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GS BF</w:t>
                  </w:r>
                </w:p>
              </w:tc>
              <w:tc>
                <w:tcPr>
                  <w:tcW w:w="876" w:type="pct"/>
                  <w:vAlign w:val="center"/>
                </w:tcPr>
                <w:p w14:paraId="339E6D7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30</w:t>
                  </w:r>
                </w:p>
              </w:tc>
            </w:tr>
            <w:tr w14:paraId="2FAF51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53F1367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671" w:type="pct"/>
                  <w:vAlign w:val="center"/>
                </w:tcPr>
                <w:p w14:paraId="6308151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脚踏式封口机</w:t>
                  </w:r>
                </w:p>
              </w:tc>
              <w:tc>
                <w:tcPr>
                  <w:tcW w:w="2000" w:type="pct"/>
                  <w:vAlign w:val="center"/>
                </w:tcPr>
                <w:p w14:paraId="611C461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PSF-650X2</w:t>
                  </w:r>
                </w:p>
              </w:tc>
              <w:tc>
                <w:tcPr>
                  <w:tcW w:w="876" w:type="pct"/>
                  <w:vAlign w:val="center"/>
                </w:tcPr>
                <w:p w14:paraId="63B76BF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r>
            <w:tr w14:paraId="377ECF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2F7EB1A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1671" w:type="pct"/>
                  <w:vAlign w:val="center"/>
                </w:tcPr>
                <w:p w14:paraId="345A407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螺杆式空压机</w:t>
                  </w:r>
                </w:p>
              </w:tc>
              <w:tc>
                <w:tcPr>
                  <w:tcW w:w="2000" w:type="pct"/>
                  <w:vAlign w:val="center"/>
                </w:tcPr>
                <w:p w14:paraId="2286006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ERC-60SA</w:t>
                  </w:r>
                </w:p>
              </w:tc>
              <w:tc>
                <w:tcPr>
                  <w:tcW w:w="876" w:type="pct"/>
                  <w:vAlign w:val="center"/>
                </w:tcPr>
                <w:p w14:paraId="4563C28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83300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751F21A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1671" w:type="pct"/>
                  <w:vAlign w:val="center"/>
                </w:tcPr>
                <w:p w14:paraId="1BD9FC4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冷冻式干燥机</w:t>
                  </w:r>
                </w:p>
              </w:tc>
              <w:tc>
                <w:tcPr>
                  <w:tcW w:w="2000" w:type="pct"/>
                  <w:vAlign w:val="center"/>
                </w:tcPr>
                <w:p w14:paraId="3949FA1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HRD-8F</w:t>
                  </w:r>
                </w:p>
              </w:tc>
              <w:tc>
                <w:tcPr>
                  <w:tcW w:w="876" w:type="pct"/>
                  <w:vAlign w:val="center"/>
                </w:tcPr>
                <w:p w14:paraId="79C3D37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8F7D1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31E7081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1671" w:type="pct"/>
                  <w:vAlign w:val="center"/>
                </w:tcPr>
                <w:p w14:paraId="385F008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制氮机</w:t>
                  </w:r>
                </w:p>
              </w:tc>
              <w:tc>
                <w:tcPr>
                  <w:tcW w:w="2000" w:type="pct"/>
                  <w:vAlign w:val="center"/>
                </w:tcPr>
                <w:p w14:paraId="2E79E74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rPr>
                    <w:t>QXPN49-10</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49m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vertAlign w:val="baseline"/>
                      <w:lang w:val="en-US" w:eastAsia="zh-CN"/>
                    </w:rPr>
                    <w:t>/h，</w:t>
                  </w:r>
                  <w:r>
                    <w:rPr>
                      <w:rFonts w:hint="eastAsia" w:ascii="Times New Roman" w:hAnsi="Times New Roman" w:eastAsia="宋体" w:cs="Times New Roman"/>
                      <w:color w:val="000000"/>
                      <w:kern w:val="2"/>
                      <w:sz w:val="21"/>
                      <w:szCs w:val="21"/>
                      <w:lang w:val="en-US" w:eastAsia="zh-CN" w:bidi="ar"/>
                    </w:rPr>
                    <w:t>制备工艺：过滤</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Times New Roman"/>
                      <w:color w:val="000000"/>
                      <w:kern w:val="2"/>
                      <w:sz w:val="21"/>
                      <w:szCs w:val="21"/>
                      <w:lang w:val="en-US" w:eastAsia="zh-CN" w:bidi="ar"/>
                    </w:rPr>
                    <w:t>压缩</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Times New Roman"/>
                      <w:color w:val="000000"/>
                      <w:kern w:val="2"/>
                      <w:sz w:val="21"/>
                      <w:szCs w:val="21"/>
                      <w:lang w:val="en-US" w:eastAsia="zh-CN" w:bidi="ar"/>
                    </w:rPr>
                    <w:t>预冷</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Times New Roman"/>
                      <w:color w:val="000000"/>
                      <w:kern w:val="2"/>
                      <w:sz w:val="21"/>
                      <w:szCs w:val="21"/>
                      <w:lang w:val="en-US" w:eastAsia="zh-CN" w:bidi="ar"/>
                    </w:rPr>
                    <w:t>纯化</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Times New Roman"/>
                      <w:color w:val="000000"/>
                      <w:kern w:val="2"/>
                      <w:sz w:val="21"/>
                      <w:szCs w:val="21"/>
                      <w:lang w:val="en-US" w:eastAsia="zh-CN" w:bidi="ar"/>
                    </w:rPr>
                    <w:t>液化</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Times New Roman"/>
                      <w:color w:val="000000"/>
                      <w:kern w:val="2"/>
                      <w:sz w:val="21"/>
                      <w:szCs w:val="21"/>
                      <w:lang w:val="en-US" w:eastAsia="zh-CN" w:bidi="ar"/>
                    </w:rPr>
                    <w:t>膨胀</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Times New Roman"/>
                      <w:color w:val="000000"/>
                      <w:kern w:val="2"/>
                      <w:sz w:val="21"/>
                      <w:szCs w:val="21"/>
                      <w:lang w:val="en-US" w:eastAsia="zh-CN" w:bidi="ar"/>
                    </w:rPr>
                    <w:t>精馏</w:t>
                  </w:r>
                </w:p>
              </w:tc>
              <w:tc>
                <w:tcPr>
                  <w:tcW w:w="876" w:type="pct"/>
                  <w:vAlign w:val="center"/>
                </w:tcPr>
                <w:p w14:paraId="59DBFDA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F77E1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04CAE05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1671" w:type="pct"/>
                  <w:vAlign w:val="center"/>
                </w:tcPr>
                <w:p w14:paraId="1E14A54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吸附式干燥机</w:t>
                  </w:r>
                </w:p>
              </w:tc>
              <w:tc>
                <w:tcPr>
                  <w:tcW w:w="2000" w:type="pct"/>
                  <w:vAlign w:val="center"/>
                </w:tcPr>
                <w:p w14:paraId="15800EE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HRD-10MXF</w:t>
                  </w:r>
                </w:p>
              </w:tc>
              <w:tc>
                <w:tcPr>
                  <w:tcW w:w="876" w:type="pct"/>
                  <w:vAlign w:val="center"/>
                </w:tcPr>
                <w:p w14:paraId="3834BA0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DB01E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2418CD4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13</w:t>
                  </w:r>
                </w:p>
              </w:tc>
              <w:tc>
                <w:tcPr>
                  <w:tcW w:w="1671" w:type="pct"/>
                  <w:vAlign w:val="center"/>
                </w:tcPr>
                <w:p w14:paraId="14A945E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金属检测机</w:t>
                  </w:r>
                </w:p>
              </w:tc>
              <w:tc>
                <w:tcPr>
                  <w:tcW w:w="2000" w:type="pct"/>
                  <w:vAlign w:val="center"/>
                </w:tcPr>
                <w:p w14:paraId="2A9BFA5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LD-603</w:t>
                  </w:r>
                </w:p>
              </w:tc>
              <w:tc>
                <w:tcPr>
                  <w:tcW w:w="876" w:type="pct"/>
                  <w:vAlign w:val="center"/>
                </w:tcPr>
                <w:p w14:paraId="09F494D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r>
            <w:tr w14:paraId="6E618E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73291832">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default" w:ascii="Times New Roman" w:hAnsi="Times New Roman" w:eastAsia="宋体" w:cs="Times New Roman"/>
                      <w:szCs w:val="21"/>
                    </w:rPr>
                    <w:t>14</w:t>
                  </w:r>
                </w:p>
              </w:tc>
              <w:tc>
                <w:tcPr>
                  <w:tcW w:w="1671" w:type="pct"/>
                  <w:vAlign w:val="center"/>
                </w:tcPr>
                <w:p w14:paraId="7C7519EC">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电冰箱</w:t>
                  </w:r>
                </w:p>
              </w:tc>
              <w:tc>
                <w:tcPr>
                  <w:tcW w:w="2000" w:type="pct"/>
                  <w:vAlign w:val="center"/>
                </w:tcPr>
                <w:p w14:paraId="566AFEF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w:t>
                  </w:r>
                </w:p>
              </w:tc>
              <w:tc>
                <w:tcPr>
                  <w:tcW w:w="876" w:type="pct"/>
                  <w:vAlign w:val="center"/>
                </w:tcPr>
                <w:p w14:paraId="01C97E51">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434145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1E24B664">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15</w:t>
                  </w:r>
                </w:p>
              </w:tc>
              <w:tc>
                <w:tcPr>
                  <w:tcW w:w="1671" w:type="pct"/>
                  <w:vAlign w:val="center"/>
                </w:tcPr>
                <w:p w14:paraId="1F374ACA">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电热恒温鼓风干燥箱</w:t>
                  </w:r>
                </w:p>
              </w:tc>
              <w:tc>
                <w:tcPr>
                  <w:tcW w:w="2000" w:type="pct"/>
                  <w:vAlign w:val="center"/>
                </w:tcPr>
                <w:p w14:paraId="339E3D72">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DHG-9035A</w:t>
                  </w:r>
                </w:p>
              </w:tc>
              <w:tc>
                <w:tcPr>
                  <w:tcW w:w="876" w:type="pct"/>
                  <w:vAlign w:val="center"/>
                </w:tcPr>
                <w:p w14:paraId="5F5DF3C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2</w:t>
                  </w:r>
                </w:p>
              </w:tc>
            </w:tr>
            <w:tr w14:paraId="08156C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11BD6C36">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16</w:t>
                  </w:r>
                </w:p>
              </w:tc>
              <w:tc>
                <w:tcPr>
                  <w:tcW w:w="1671" w:type="pct"/>
                  <w:vAlign w:val="center"/>
                </w:tcPr>
                <w:p w14:paraId="7B4C1B64">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电子天平</w:t>
                  </w:r>
                </w:p>
              </w:tc>
              <w:tc>
                <w:tcPr>
                  <w:tcW w:w="2000" w:type="pct"/>
                  <w:vAlign w:val="center"/>
                </w:tcPr>
                <w:p w14:paraId="1AECB600">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AL104</w:t>
                  </w:r>
                </w:p>
              </w:tc>
              <w:tc>
                <w:tcPr>
                  <w:tcW w:w="876" w:type="pct"/>
                  <w:vAlign w:val="center"/>
                </w:tcPr>
                <w:p w14:paraId="65A3B081">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75D421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3FD67C40">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17</w:t>
                  </w:r>
                </w:p>
              </w:tc>
              <w:tc>
                <w:tcPr>
                  <w:tcW w:w="1671" w:type="pct"/>
                  <w:vAlign w:val="center"/>
                </w:tcPr>
                <w:p w14:paraId="2EF11C68">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电子天平</w:t>
                  </w:r>
                </w:p>
              </w:tc>
              <w:tc>
                <w:tcPr>
                  <w:tcW w:w="2000" w:type="pct"/>
                  <w:vAlign w:val="center"/>
                </w:tcPr>
                <w:p w14:paraId="62981959">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HC311</w:t>
                  </w:r>
                </w:p>
              </w:tc>
              <w:tc>
                <w:tcPr>
                  <w:tcW w:w="876" w:type="pct"/>
                  <w:vAlign w:val="center"/>
                </w:tcPr>
                <w:p w14:paraId="62A2497E">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1F180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451" w:type="pct"/>
                  <w:vAlign w:val="center"/>
                </w:tcPr>
                <w:p w14:paraId="4CD8A3E8">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18</w:t>
                  </w:r>
                </w:p>
              </w:tc>
              <w:tc>
                <w:tcPr>
                  <w:tcW w:w="1671" w:type="pct"/>
                  <w:vAlign w:val="center"/>
                </w:tcPr>
                <w:p w14:paraId="74B061DE">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风量罩</w:t>
                  </w:r>
                </w:p>
              </w:tc>
              <w:tc>
                <w:tcPr>
                  <w:tcW w:w="2000" w:type="pct"/>
                  <w:vAlign w:val="center"/>
                </w:tcPr>
                <w:p w14:paraId="0D16B318">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FM01</w:t>
                  </w:r>
                </w:p>
              </w:tc>
              <w:tc>
                <w:tcPr>
                  <w:tcW w:w="876" w:type="pct"/>
                  <w:vAlign w:val="center"/>
                </w:tcPr>
                <w:p w14:paraId="7310E7C6">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322EB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577C3EA4">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19</w:t>
                  </w:r>
                </w:p>
              </w:tc>
              <w:tc>
                <w:tcPr>
                  <w:tcW w:w="1671" w:type="pct"/>
                  <w:vAlign w:val="center"/>
                </w:tcPr>
                <w:p w14:paraId="2526AA8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浮游菌采样器</w:t>
                  </w:r>
                </w:p>
              </w:tc>
              <w:tc>
                <w:tcPr>
                  <w:tcW w:w="2000" w:type="pct"/>
                  <w:vAlign w:val="center"/>
                </w:tcPr>
                <w:p w14:paraId="0286467F">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FKC-I</w:t>
                  </w:r>
                </w:p>
              </w:tc>
              <w:tc>
                <w:tcPr>
                  <w:tcW w:w="876" w:type="pct"/>
                  <w:vAlign w:val="center"/>
                </w:tcPr>
                <w:p w14:paraId="57FED4FA">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241D3B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69BC9C77">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20</w:t>
                  </w:r>
                </w:p>
              </w:tc>
              <w:tc>
                <w:tcPr>
                  <w:tcW w:w="1671" w:type="pct"/>
                  <w:vAlign w:val="center"/>
                </w:tcPr>
                <w:p w14:paraId="6F6FF7BF">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尘埃粒子计数器</w:t>
                  </w:r>
                </w:p>
              </w:tc>
              <w:tc>
                <w:tcPr>
                  <w:tcW w:w="2000" w:type="pct"/>
                  <w:vAlign w:val="center"/>
                </w:tcPr>
                <w:p w14:paraId="75491C83">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APC-2013</w:t>
                  </w:r>
                </w:p>
              </w:tc>
              <w:tc>
                <w:tcPr>
                  <w:tcW w:w="876" w:type="pct"/>
                  <w:vAlign w:val="center"/>
                </w:tcPr>
                <w:p w14:paraId="271D50D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21D700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27321612">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21</w:t>
                  </w:r>
                </w:p>
              </w:tc>
              <w:tc>
                <w:tcPr>
                  <w:tcW w:w="1671" w:type="pct"/>
                  <w:vAlign w:val="center"/>
                </w:tcPr>
                <w:p w14:paraId="2F26DEBF">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复合气体检测仪（二氧化碳）</w:t>
                  </w:r>
                </w:p>
              </w:tc>
              <w:tc>
                <w:tcPr>
                  <w:tcW w:w="2000" w:type="pct"/>
                  <w:vAlign w:val="center"/>
                </w:tcPr>
                <w:p w14:paraId="0892D281">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SKY-6000</w:t>
                  </w:r>
                </w:p>
              </w:tc>
              <w:tc>
                <w:tcPr>
                  <w:tcW w:w="876" w:type="pct"/>
                  <w:vAlign w:val="center"/>
                </w:tcPr>
                <w:p w14:paraId="52BA9C9A">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698B78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6E0A853A">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22</w:t>
                  </w:r>
                </w:p>
              </w:tc>
              <w:tc>
                <w:tcPr>
                  <w:tcW w:w="1671" w:type="pct"/>
                  <w:vAlign w:val="center"/>
                </w:tcPr>
                <w:p w14:paraId="4CEF56F1">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复合气体检测仪（臭氧）</w:t>
                  </w:r>
                </w:p>
              </w:tc>
              <w:tc>
                <w:tcPr>
                  <w:tcW w:w="2000" w:type="pct"/>
                  <w:vAlign w:val="center"/>
                </w:tcPr>
                <w:p w14:paraId="78A986C1">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w:t>
                  </w:r>
                </w:p>
              </w:tc>
              <w:tc>
                <w:tcPr>
                  <w:tcW w:w="876" w:type="pct"/>
                  <w:vAlign w:val="center"/>
                </w:tcPr>
                <w:p w14:paraId="52BA8FBB">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35D88F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2BBF1A9E">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23</w:t>
                  </w:r>
                </w:p>
              </w:tc>
              <w:tc>
                <w:tcPr>
                  <w:tcW w:w="1671" w:type="pct"/>
                  <w:vAlign w:val="center"/>
                </w:tcPr>
                <w:p w14:paraId="3879625A">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恒温恒湿箱</w:t>
                  </w:r>
                </w:p>
              </w:tc>
              <w:tc>
                <w:tcPr>
                  <w:tcW w:w="2000" w:type="pct"/>
                  <w:vAlign w:val="center"/>
                </w:tcPr>
                <w:p w14:paraId="30B8E23D">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LHS-80HC</w:t>
                  </w:r>
                </w:p>
              </w:tc>
              <w:tc>
                <w:tcPr>
                  <w:tcW w:w="876" w:type="pct"/>
                  <w:vAlign w:val="center"/>
                </w:tcPr>
                <w:p w14:paraId="61B2D252">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5</w:t>
                  </w:r>
                </w:p>
              </w:tc>
            </w:tr>
            <w:tr w14:paraId="2D2866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5E9E42E6">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24</w:t>
                  </w:r>
                </w:p>
              </w:tc>
              <w:tc>
                <w:tcPr>
                  <w:tcW w:w="1671" w:type="pct"/>
                  <w:vAlign w:val="center"/>
                </w:tcPr>
                <w:p w14:paraId="201E3F4D">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洁净操作台</w:t>
                  </w:r>
                </w:p>
              </w:tc>
              <w:tc>
                <w:tcPr>
                  <w:tcW w:w="2000" w:type="pct"/>
                  <w:vAlign w:val="center"/>
                </w:tcPr>
                <w:p w14:paraId="412FC768">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w:t>
                  </w:r>
                </w:p>
              </w:tc>
              <w:tc>
                <w:tcPr>
                  <w:tcW w:w="876" w:type="pct"/>
                  <w:vAlign w:val="center"/>
                </w:tcPr>
                <w:p w14:paraId="5FBF10F6">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77E616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7575125C">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25</w:t>
                  </w:r>
                </w:p>
              </w:tc>
              <w:tc>
                <w:tcPr>
                  <w:tcW w:w="1671" w:type="pct"/>
                  <w:vAlign w:val="center"/>
                </w:tcPr>
                <w:p w14:paraId="39012245">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净化采样车</w:t>
                  </w:r>
                </w:p>
              </w:tc>
              <w:tc>
                <w:tcPr>
                  <w:tcW w:w="2000" w:type="pct"/>
                  <w:vAlign w:val="center"/>
                </w:tcPr>
                <w:p w14:paraId="0FC45BF7">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SW-CJ-IFD</w:t>
                  </w:r>
                </w:p>
              </w:tc>
              <w:tc>
                <w:tcPr>
                  <w:tcW w:w="876" w:type="pct"/>
                  <w:vAlign w:val="center"/>
                </w:tcPr>
                <w:p w14:paraId="2C1C1C79">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1E6E12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40081F0E">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26</w:t>
                  </w:r>
                </w:p>
              </w:tc>
              <w:tc>
                <w:tcPr>
                  <w:tcW w:w="1671" w:type="pct"/>
                  <w:vAlign w:val="center"/>
                </w:tcPr>
                <w:p w14:paraId="11753858">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快速残氧测定仪</w:t>
                  </w:r>
                </w:p>
              </w:tc>
              <w:tc>
                <w:tcPr>
                  <w:tcW w:w="2000" w:type="pct"/>
                  <w:vAlign w:val="center"/>
                </w:tcPr>
                <w:p w14:paraId="385DE016">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IS-300</w:t>
                  </w:r>
                </w:p>
              </w:tc>
              <w:tc>
                <w:tcPr>
                  <w:tcW w:w="876" w:type="pct"/>
                  <w:vAlign w:val="center"/>
                </w:tcPr>
                <w:p w14:paraId="11A6EC6B">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1E7C43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60CDFC2D">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27</w:t>
                  </w:r>
                </w:p>
              </w:tc>
              <w:tc>
                <w:tcPr>
                  <w:tcW w:w="1671" w:type="pct"/>
                  <w:vAlign w:val="center"/>
                </w:tcPr>
                <w:p w14:paraId="31CEFFCB">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立式电热蒸汽灭菌器</w:t>
                  </w:r>
                </w:p>
              </w:tc>
              <w:tc>
                <w:tcPr>
                  <w:tcW w:w="2000" w:type="pct"/>
                  <w:vAlign w:val="center"/>
                </w:tcPr>
                <w:p w14:paraId="7744DA94">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LDZX-50KBS</w:t>
                  </w:r>
                </w:p>
              </w:tc>
              <w:tc>
                <w:tcPr>
                  <w:tcW w:w="876" w:type="pct"/>
                  <w:vAlign w:val="center"/>
                </w:tcPr>
                <w:p w14:paraId="00BB5ACF">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2</w:t>
                  </w:r>
                </w:p>
              </w:tc>
            </w:tr>
            <w:tr w14:paraId="1BBD28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3ECDBCF8">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28</w:t>
                  </w:r>
                </w:p>
              </w:tc>
              <w:tc>
                <w:tcPr>
                  <w:tcW w:w="1671" w:type="pct"/>
                  <w:vAlign w:val="center"/>
                </w:tcPr>
                <w:p w14:paraId="6D6C9FF7">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卤素水分测定仪</w:t>
                  </w:r>
                </w:p>
              </w:tc>
              <w:tc>
                <w:tcPr>
                  <w:tcW w:w="2000" w:type="pct"/>
                  <w:vAlign w:val="center"/>
                </w:tcPr>
                <w:p w14:paraId="0FD7CEC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FBS-730A</w:t>
                  </w:r>
                </w:p>
              </w:tc>
              <w:tc>
                <w:tcPr>
                  <w:tcW w:w="876" w:type="pct"/>
                  <w:vAlign w:val="center"/>
                </w:tcPr>
                <w:p w14:paraId="58C0612E">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3</w:t>
                  </w:r>
                </w:p>
              </w:tc>
            </w:tr>
            <w:tr w14:paraId="3596B3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51428046">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29</w:t>
                  </w:r>
                </w:p>
              </w:tc>
              <w:tc>
                <w:tcPr>
                  <w:tcW w:w="1671" w:type="pct"/>
                  <w:vAlign w:val="center"/>
                </w:tcPr>
                <w:p w14:paraId="543223AA">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霉菌培养箱</w:t>
                  </w:r>
                </w:p>
              </w:tc>
              <w:tc>
                <w:tcPr>
                  <w:tcW w:w="2000" w:type="pct"/>
                  <w:vAlign w:val="center"/>
                </w:tcPr>
                <w:p w14:paraId="5F914BF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MJ-150F-1</w:t>
                  </w:r>
                </w:p>
              </w:tc>
              <w:tc>
                <w:tcPr>
                  <w:tcW w:w="876" w:type="pct"/>
                  <w:vAlign w:val="center"/>
                </w:tcPr>
                <w:p w14:paraId="5727ABFE">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5E69AE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7F60AF9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30</w:t>
                  </w:r>
                </w:p>
              </w:tc>
              <w:tc>
                <w:tcPr>
                  <w:tcW w:w="1671" w:type="pct"/>
                  <w:vAlign w:val="center"/>
                </w:tcPr>
                <w:p w14:paraId="38BF6A3C">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气相色谱仪+顶空进样器</w:t>
                  </w:r>
                </w:p>
              </w:tc>
              <w:tc>
                <w:tcPr>
                  <w:tcW w:w="2000" w:type="pct"/>
                  <w:vAlign w:val="center"/>
                </w:tcPr>
                <w:p w14:paraId="39E6BF2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GC-2030</w:t>
                  </w:r>
                </w:p>
              </w:tc>
              <w:tc>
                <w:tcPr>
                  <w:tcW w:w="876" w:type="pct"/>
                  <w:vAlign w:val="center"/>
                </w:tcPr>
                <w:p w14:paraId="374BB7B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7C2313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28B15BEF">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31</w:t>
                  </w:r>
                </w:p>
              </w:tc>
              <w:tc>
                <w:tcPr>
                  <w:tcW w:w="1671" w:type="pct"/>
                  <w:vAlign w:val="center"/>
                </w:tcPr>
                <w:p w14:paraId="431847FF">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三用紫外分析仪</w:t>
                  </w:r>
                </w:p>
              </w:tc>
              <w:tc>
                <w:tcPr>
                  <w:tcW w:w="2000" w:type="pct"/>
                  <w:vAlign w:val="center"/>
                </w:tcPr>
                <w:p w14:paraId="1AE86081">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WFH-203B</w:t>
                  </w:r>
                </w:p>
              </w:tc>
              <w:tc>
                <w:tcPr>
                  <w:tcW w:w="876" w:type="pct"/>
                  <w:vAlign w:val="center"/>
                </w:tcPr>
                <w:p w14:paraId="58772E3F">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5B9621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65BC77D2">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32</w:t>
                  </w:r>
                </w:p>
              </w:tc>
              <w:tc>
                <w:tcPr>
                  <w:tcW w:w="1671" w:type="pct"/>
                  <w:vAlign w:val="center"/>
                </w:tcPr>
                <w:p w14:paraId="6E917A86">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生化培养箱</w:t>
                  </w:r>
                </w:p>
              </w:tc>
              <w:tc>
                <w:tcPr>
                  <w:tcW w:w="2000" w:type="pct"/>
                  <w:vAlign w:val="center"/>
                </w:tcPr>
                <w:p w14:paraId="472A60C9">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LRH-150F</w:t>
                  </w:r>
                </w:p>
              </w:tc>
              <w:tc>
                <w:tcPr>
                  <w:tcW w:w="876" w:type="pct"/>
                  <w:vAlign w:val="center"/>
                </w:tcPr>
                <w:p w14:paraId="4695F9CF">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2</w:t>
                  </w:r>
                </w:p>
              </w:tc>
            </w:tr>
            <w:tr w14:paraId="0C9011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1870419C">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33</w:t>
                  </w:r>
                </w:p>
              </w:tc>
              <w:tc>
                <w:tcPr>
                  <w:tcW w:w="1671" w:type="pct"/>
                  <w:vAlign w:val="center"/>
                </w:tcPr>
                <w:p w14:paraId="418AB253">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生物安全柜</w:t>
                  </w:r>
                </w:p>
              </w:tc>
              <w:tc>
                <w:tcPr>
                  <w:tcW w:w="2000" w:type="pct"/>
                  <w:vAlign w:val="center"/>
                </w:tcPr>
                <w:p w14:paraId="03B6D30B">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BSC-1100IIA2</w:t>
                  </w:r>
                </w:p>
              </w:tc>
              <w:tc>
                <w:tcPr>
                  <w:tcW w:w="876" w:type="pct"/>
                  <w:vAlign w:val="center"/>
                </w:tcPr>
                <w:p w14:paraId="77266B48">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22C3AD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2419D2C7">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34</w:t>
                  </w:r>
                </w:p>
              </w:tc>
              <w:tc>
                <w:tcPr>
                  <w:tcW w:w="1671" w:type="pct"/>
                  <w:vAlign w:val="center"/>
                </w:tcPr>
                <w:p w14:paraId="562EF560">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p</w:t>
                  </w:r>
                  <w:r>
                    <w:rPr>
                      <w:rFonts w:hint="eastAsia" w:ascii="Times New Roman" w:hAnsi="宋体" w:eastAsia="宋体" w:cs="Times New Roman"/>
                      <w:szCs w:val="21"/>
                    </w:rPr>
                    <w:t>H计</w:t>
                  </w:r>
                </w:p>
              </w:tc>
              <w:tc>
                <w:tcPr>
                  <w:tcW w:w="2000" w:type="pct"/>
                  <w:vAlign w:val="center"/>
                </w:tcPr>
                <w:p w14:paraId="56652FCD">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w:t>
                  </w:r>
                </w:p>
              </w:tc>
              <w:tc>
                <w:tcPr>
                  <w:tcW w:w="876" w:type="pct"/>
                  <w:vAlign w:val="center"/>
                </w:tcPr>
                <w:p w14:paraId="128F92AA">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2B33D6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2B85850A">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35</w:t>
                  </w:r>
                </w:p>
              </w:tc>
              <w:tc>
                <w:tcPr>
                  <w:tcW w:w="1671" w:type="pct"/>
                  <w:vAlign w:val="center"/>
                </w:tcPr>
                <w:p w14:paraId="0375F92A">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箱式电阻炉</w:t>
                  </w:r>
                </w:p>
              </w:tc>
              <w:tc>
                <w:tcPr>
                  <w:tcW w:w="2000" w:type="pct"/>
                  <w:vAlign w:val="center"/>
                </w:tcPr>
                <w:p w14:paraId="3B889B87">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SX2-2.5-10TP</w:t>
                  </w:r>
                </w:p>
              </w:tc>
              <w:tc>
                <w:tcPr>
                  <w:tcW w:w="876" w:type="pct"/>
                  <w:vAlign w:val="center"/>
                </w:tcPr>
                <w:p w14:paraId="5CBE08FF">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r w14:paraId="25D1CD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1" w:type="pct"/>
                  <w:vAlign w:val="center"/>
                </w:tcPr>
                <w:p w14:paraId="099B81EB">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36</w:t>
                  </w:r>
                </w:p>
              </w:tc>
              <w:tc>
                <w:tcPr>
                  <w:tcW w:w="1671" w:type="pct"/>
                  <w:vAlign w:val="center"/>
                </w:tcPr>
                <w:p w14:paraId="1F34793E">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rPr>
                    <w:t>医药包装性能测试仪</w:t>
                  </w:r>
                </w:p>
              </w:tc>
              <w:tc>
                <w:tcPr>
                  <w:tcW w:w="2000" w:type="pct"/>
                  <w:vAlign w:val="center"/>
                </w:tcPr>
                <w:p w14:paraId="2BD9595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MED-01</w:t>
                  </w:r>
                </w:p>
              </w:tc>
              <w:tc>
                <w:tcPr>
                  <w:tcW w:w="876" w:type="pct"/>
                  <w:vAlign w:val="center"/>
                </w:tcPr>
                <w:p w14:paraId="5DF3CE6E">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1</w:t>
                  </w:r>
                </w:p>
              </w:tc>
            </w:tr>
          </w:tbl>
          <w:p w14:paraId="75CDDACF">
            <w:pPr>
              <w:keepNext w:val="0"/>
              <w:keepLines w:val="0"/>
              <w:suppressLineNumbers w:val="0"/>
              <w:spacing w:before="0" w:beforeAutospacing="0" w:after="0" w:afterAutospacing="0" w:line="276" w:lineRule="auto"/>
              <w:ind w:left="0" w:right="0" w:firstLine="422" w:firstLineChars="200"/>
              <w:jc w:val="both"/>
              <w:rPr>
                <w:rFonts w:hint="default" w:ascii="Times New Roman" w:hAnsi="Times New Roman" w:eastAsia="宋体" w:cs="Times New Roman"/>
                <w:b/>
                <w:bCs/>
                <w:szCs w:val="21"/>
              </w:rPr>
            </w:pPr>
            <w:r>
              <w:rPr>
                <w:rFonts w:hint="default" w:ascii="Times New Roman" w:hAnsi="Times New Roman" w:eastAsia="宋体" w:cs="Times New Roman"/>
                <w:b/>
                <w:bCs/>
                <w:szCs w:val="21"/>
              </w:rPr>
              <w:t>注：</w:t>
            </w:r>
            <w:r>
              <w:rPr>
                <w:rFonts w:hint="default" w:ascii="Times New Roman" w:hAnsi="Times New Roman" w:eastAsia="宋体" w:cs="Times New Roman"/>
                <w:b/>
                <w:bCs/>
                <w:szCs w:val="21"/>
                <w:lang w:val="en-US" w:eastAsia="zh-CN"/>
              </w:rPr>
              <w:t>1、除湿机用于5号楼1层各产品生产车间，主要用于保持车间干燥环境；2、本项目采用深冷空分制氮方法，它是以空气为原料，经过压缩、净化，再利用热交换使空气液化成为液空。液空主要是液氧和液氮的混合物，利用液氧和液氮的沸点不同(在1大气压下，前者的沸点为-183℃，后者的为-196℃)，通过液空的精馏，使它们分离来获得氮气。在生产过程中不会产生污染物</w:t>
            </w:r>
            <w:r>
              <w:rPr>
                <w:rFonts w:hint="default" w:ascii="Times New Roman" w:hAnsi="Times New Roman" w:eastAsia="宋体" w:cs="Times New Roman"/>
                <w:b/>
                <w:bCs/>
                <w:szCs w:val="21"/>
              </w:rPr>
              <w:t>。</w:t>
            </w:r>
          </w:p>
          <w:p w14:paraId="5EFDAB1A">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产品产能匹配性分析</w:t>
            </w:r>
          </w:p>
          <w:tbl>
            <w:tblPr>
              <w:tblStyle w:val="18"/>
              <w:tblW w:w="8386" w:type="dxa"/>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4"/>
              <w:gridCol w:w="1687"/>
              <w:gridCol w:w="1100"/>
              <w:gridCol w:w="1488"/>
              <w:gridCol w:w="1712"/>
              <w:gridCol w:w="1225"/>
            </w:tblGrid>
            <w:tr w14:paraId="3B12CC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4" w:type="dxa"/>
                  <w:tcBorders>
                    <w:tl2br w:val="nil"/>
                    <w:tr2bl w:val="nil"/>
                  </w:tcBorders>
                  <w:vAlign w:val="center"/>
                </w:tcPr>
                <w:p w14:paraId="099E60EC">
                  <w:pPr>
                    <w:pStyle w:val="73"/>
                    <w:keepNext w:val="0"/>
                    <w:keepLines w:val="0"/>
                    <w:widowControl/>
                    <w:suppressLineNumbers w:val="0"/>
                    <w:spacing w:before="0" w:beforeLines="0" w:beforeAutospacing="0" w:after="0" w:afterAutospacing="0" w:line="276" w:lineRule="auto"/>
                    <w:ind w:left="0" w:right="0"/>
                    <w:jc w:val="center"/>
                    <w:rPr>
                      <w:rFonts w:hint="default" w:eastAsia="宋体"/>
                      <w:b/>
                      <w:bCs w:val="0"/>
                      <w:kern w:val="2"/>
                      <w:szCs w:val="21"/>
                      <w:lang w:val="en-US" w:eastAsia="zh-CN"/>
                    </w:rPr>
                  </w:pPr>
                  <w:r>
                    <w:rPr>
                      <w:rFonts w:hint="eastAsia"/>
                      <w:b/>
                      <w:bCs w:val="0"/>
                      <w:kern w:val="2"/>
                      <w:szCs w:val="21"/>
                      <w:lang w:val="en-US" w:eastAsia="zh-CN"/>
                    </w:rPr>
                    <w:t>设备名称</w:t>
                  </w:r>
                </w:p>
              </w:tc>
              <w:tc>
                <w:tcPr>
                  <w:tcW w:w="1687" w:type="dxa"/>
                  <w:tcBorders>
                    <w:tl2br w:val="nil"/>
                    <w:tr2bl w:val="nil"/>
                  </w:tcBorders>
                  <w:vAlign w:val="center"/>
                </w:tcPr>
                <w:p w14:paraId="4D137B46">
                  <w:pPr>
                    <w:pStyle w:val="73"/>
                    <w:keepNext w:val="0"/>
                    <w:keepLines w:val="0"/>
                    <w:widowControl/>
                    <w:suppressLineNumbers w:val="0"/>
                    <w:spacing w:before="0" w:beforeLines="0" w:beforeAutospacing="0" w:after="0" w:afterAutospacing="0" w:line="276" w:lineRule="auto"/>
                    <w:ind w:left="0" w:right="0"/>
                    <w:jc w:val="center"/>
                    <w:rPr>
                      <w:rFonts w:hint="default" w:eastAsia="宋体"/>
                      <w:b/>
                      <w:bCs w:val="0"/>
                      <w:kern w:val="2"/>
                      <w:szCs w:val="21"/>
                      <w:lang w:val="en-US" w:eastAsia="zh-CN"/>
                    </w:rPr>
                  </w:pPr>
                  <w:r>
                    <w:rPr>
                      <w:rFonts w:hint="eastAsia"/>
                      <w:b/>
                      <w:bCs w:val="0"/>
                      <w:kern w:val="2"/>
                      <w:szCs w:val="21"/>
                      <w:lang w:val="en-US" w:eastAsia="zh-CN"/>
                    </w:rPr>
                    <w:t>单台设备产能</w:t>
                  </w:r>
                </w:p>
              </w:tc>
              <w:tc>
                <w:tcPr>
                  <w:tcW w:w="1100" w:type="dxa"/>
                  <w:tcBorders>
                    <w:tl2br w:val="nil"/>
                    <w:tr2bl w:val="nil"/>
                  </w:tcBorders>
                  <w:vAlign w:val="center"/>
                </w:tcPr>
                <w:p w14:paraId="2CECFE2A">
                  <w:pPr>
                    <w:pStyle w:val="73"/>
                    <w:keepNext w:val="0"/>
                    <w:keepLines w:val="0"/>
                    <w:widowControl/>
                    <w:suppressLineNumbers w:val="0"/>
                    <w:spacing w:before="0" w:beforeLines="0" w:beforeAutospacing="0" w:after="0" w:afterAutospacing="0" w:line="276" w:lineRule="auto"/>
                    <w:ind w:left="0" w:right="0"/>
                    <w:jc w:val="center"/>
                    <w:rPr>
                      <w:rFonts w:hint="default" w:eastAsia="宋体"/>
                      <w:b/>
                      <w:bCs w:val="0"/>
                      <w:kern w:val="2"/>
                      <w:szCs w:val="21"/>
                      <w:lang w:val="en-US" w:eastAsia="zh-CN"/>
                    </w:rPr>
                  </w:pPr>
                  <w:r>
                    <w:rPr>
                      <w:rFonts w:hint="eastAsia"/>
                      <w:b/>
                      <w:bCs w:val="0"/>
                      <w:kern w:val="2"/>
                      <w:szCs w:val="21"/>
                      <w:lang w:val="en-US" w:eastAsia="zh-CN"/>
                    </w:rPr>
                    <w:t>设备数量</w:t>
                  </w:r>
                </w:p>
              </w:tc>
              <w:tc>
                <w:tcPr>
                  <w:tcW w:w="1488" w:type="dxa"/>
                  <w:tcBorders>
                    <w:tl2br w:val="nil"/>
                    <w:tr2bl w:val="nil"/>
                  </w:tcBorders>
                  <w:vAlign w:val="center"/>
                </w:tcPr>
                <w:p w14:paraId="16626925">
                  <w:pPr>
                    <w:pStyle w:val="73"/>
                    <w:keepNext w:val="0"/>
                    <w:keepLines w:val="0"/>
                    <w:widowControl/>
                    <w:suppressLineNumbers w:val="0"/>
                    <w:spacing w:before="0" w:beforeLines="0" w:beforeAutospacing="0" w:after="0" w:afterAutospacing="0" w:line="276" w:lineRule="auto"/>
                    <w:ind w:left="0" w:right="0"/>
                    <w:jc w:val="center"/>
                    <w:rPr>
                      <w:rFonts w:hint="default" w:eastAsia="宋体"/>
                      <w:b/>
                      <w:bCs w:val="0"/>
                      <w:kern w:val="2"/>
                      <w:szCs w:val="21"/>
                      <w:lang w:val="en-US" w:eastAsia="zh-CN"/>
                    </w:rPr>
                  </w:pPr>
                  <w:r>
                    <w:rPr>
                      <w:rFonts w:hint="eastAsia"/>
                      <w:b/>
                      <w:bCs w:val="0"/>
                      <w:kern w:val="2"/>
                      <w:szCs w:val="21"/>
                      <w:lang w:val="en-US" w:eastAsia="zh-CN"/>
                    </w:rPr>
                    <w:t>总产能</w:t>
                  </w:r>
                </w:p>
              </w:tc>
              <w:tc>
                <w:tcPr>
                  <w:tcW w:w="1712" w:type="dxa"/>
                  <w:tcBorders>
                    <w:right w:val="single" w:color="auto" w:sz="4" w:space="0"/>
                    <w:tl2br w:val="nil"/>
                    <w:tr2bl w:val="nil"/>
                  </w:tcBorders>
                  <w:vAlign w:val="center"/>
                </w:tcPr>
                <w:p w14:paraId="590B81BE">
                  <w:pPr>
                    <w:pStyle w:val="73"/>
                    <w:keepNext w:val="0"/>
                    <w:keepLines w:val="0"/>
                    <w:widowControl/>
                    <w:suppressLineNumbers w:val="0"/>
                    <w:spacing w:before="0" w:beforeLines="0" w:beforeAutospacing="0" w:after="0" w:afterAutospacing="0" w:line="276" w:lineRule="auto"/>
                    <w:ind w:left="0" w:right="0"/>
                    <w:jc w:val="center"/>
                    <w:rPr>
                      <w:rFonts w:hint="default" w:eastAsia="宋体"/>
                      <w:b/>
                      <w:bCs w:val="0"/>
                      <w:kern w:val="2"/>
                      <w:szCs w:val="21"/>
                      <w:lang w:val="en-US" w:eastAsia="zh-CN"/>
                    </w:rPr>
                  </w:pPr>
                  <w:r>
                    <w:rPr>
                      <w:rFonts w:hint="eastAsia"/>
                      <w:b/>
                      <w:bCs w:val="0"/>
                      <w:kern w:val="2"/>
                      <w:szCs w:val="21"/>
                      <w:lang w:val="en-US" w:eastAsia="zh-CN"/>
                    </w:rPr>
                    <w:t>产品方案产能</w:t>
                  </w:r>
                </w:p>
              </w:tc>
              <w:tc>
                <w:tcPr>
                  <w:tcW w:w="1225" w:type="dxa"/>
                  <w:tcBorders>
                    <w:left w:val="single" w:color="auto" w:sz="4" w:space="0"/>
                    <w:tl2br w:val="nil"/>
                    <w:tr2bl w:val="nil"/>
                  </w:tcBorders>
                  <w:vAlign w:val="center"/>
                </w:tcPr>
                <w:p w14:paraId="35569AE6">
                  <w:pPr>
                    <w:pStyle w:val="73"/>
                    <w:keepNext w:val="0"/>
                    <w:keepLines w:val="0"/>
                    <w:widowControl/>
                    <w:suppressLineNumbers w:val="0"/>
                    <w:spacing w:before="0" w:beforeLines="0" w:beforeAutospacing="0" w:after="0" w:afterAutospacing="0" w:line="276" w:lineRule="auto"/>
                    <w:ind w:left="0" w:right="0"/>
                    <w:jc w:val="center"/>
                    <w:rPr>
                      <w:rFonts w:hint="default"/>
                      <w:b/>
                      <w:bCs w:val="0"/>
                      <w:kern w:val="2"/>
                      <w:szCs w:val="21"/>
                      <w:lang w:val="en-US" w:eastAsia="zh-CN"/>
                    </w:rPr>
                  </w:pPr>
                  <w:r>
                    <w:rPr>
                      <w:rFonts w:hint="eastAsia"/>
                      <w:b/>
                      <w:bCs w:val="0"/>
                      <w:kern w:val="2"/>
                      <w:szCs w:val="21"/>
                      <w:lang w:val="en-US" w:eastAsia="zh-CN"/>
                    </w:rPr>
                    <w:t>是否匹配</w:t>
                  </w:r>
                </w:p>
              </w:tc>
            </w:tr>
            <w:tr w14:paraId="6586B7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4" w:type="dxa"/>
                  <w:tcBorders>
                    <w:tl2br w:val="nil"/>
                    <w:tr2bl w:val="nil"/>
                  </w:tcBorders>
                  <w:vAlign w:val="center"/>
                </w:tcPr>
                <w:p w14:paraId="35A908D8">
                  <w:pPr>
                    <w:keepNext w:val="0"/>
                    <w:keepLines w:val="0"/>
                    <w:suppressLineNumbers w:val="0"/>
                    <w:spacing w:before="0" w:beforeAutospacing="0" w:after="0" w:afterAutospacing="0" w:line="276" w:lineRule="auto"/>
                    <w:ind w:left="0" w:leftChars="0" w:right="0" w:rightChars="0"/>
                    <w:jc w:val="center"/>
                    <w:rPr>
                      <w:rFonts w:hint="default"/>
                      <w:b w:val="0"/>
                      <w:bCs/>
                      <w:kern w:val="2"/>
                      <w:szCs w:val="21"/>
                    </w:rPr>
                  </w:pPr>
                  <w:r>
                    <w:rPr>
                      <w:rFonts w:hint="default" w:ascii="Times New Roman" w:hAnsi="宋体" w:eastAsia="宋体" w:cs="Times New Roman"/>
                      <w:szCs w:val="21"/>
                    </w:rPr>
                    <w:t>连续式全自动包装机</w:t>
                  </w:r>
                </w:p>
              </w:tc>
              <w:tc>
                <w:tcPr>
                  <w:tcW w:w="1687" w:type="dxa"/>
                  <w:tcBorders>
                    <w:tl2br w:val="nil"/>
                    <w:tr2bl w:val="nil"/>
                  </w:tcBorders>
                  <w:vAlign w:val="center"/>
                </w:tcPr>
                <w:p w14:paraId="69DB6A9F">
                  <w:pPr>
                    <w:keepNext w:val="0"/>
                    <w:keepLines w:val="0"/>
                    <w:suppressLineNumbers w:val="0"/>
                    <w:spacing w:before="0" w:beforeAutospacing="0" w:after="0" w:afterAutospacing="0"/>
                    <w:ind w:left="0" w:right="0"/>
                    <w:jc w:val="center"/>
                    <w:rPr>
                      <w:rFonts w:hint="default" w:ascii="Times New Roman" w:hAnsi="宋体" w:eastAsia="宋体" w:cs="Times New Roman"/>
                      <w:szCs w:val="21"/>
                      <w:lang w:val="en-US" w:eastAsia="zh-CN"/>
                    </w:rPr>
                  </w:pPr>
                  <w:r>
                    <w:rPr>
                      <w:rFonts w:hint="eastAsia" w:ascii="Times New Roman" w:hAnsi="宋体" w:eastAsia="宋体" w:cs="Times New Roman"/>
                      <w:szCs w:val="21"/>
                      <w:lang w:val="en-US" w:eastAsia="zh-CN"/>
                    </w:rPr>
                    <w:t>4000袋/h</w:t>
                  </w:r>
                </w:p>
              </w:tc>
              <w:tc>
                <w:tcPr>
                  <w:tcW w:w="1100" w:type="dxa"/>
                  <w:tcBorders>
                    <w:tl2br w:val="nil"/>
                    <w:tr2bl w:val="nil"/>
                  </w:tcBorders>
                  <w:vAlign w:val="center"/>
                </w:tcPr>
                <w:p w14:paraId="05492BD3">
                  <w:pPr>
                    <w:keepNext w:val="0"/>
                    <w:keepLines w:val="0"/>
                    <w:suppressLineNumbers w:val="0"/>
                    <w:spacing w:before="0" w:beforeAutospacing="0" w:after="0" w:afterAutospacing="0" w:line="240" w:lineRule="auto"/>
                    <w:ind w:left="0" w:right="0"/>
                    <w:jc w:val="center"/>
                    <w:rPr>
                      <w:rFonts w:hint="eastAsia" w:ascii="Times New Roman" w:hAnsi="宋体" w:eastAsia="宋体" w:cs="Times New Roman"/>
                      <w:szCs w:val="21"/>
                      <w:lang w:val="en-US" w:eastAsia="zh-CN"/>
                    </w:rPr>
                  </w:pPr>
                  <w:r>
                    <w:rPr>
                      <w:rFonts w:hint="default" w:ascii="Times New Roman" w:hAnsi="宋体" w:eastAsia="宋体" w:cs="Times New Roman"/>
                      <w:szCs w:val="21"/>
                    </w:rPr>
                    <w:t>110</w:t>
                  </w:r>
                  <w:r>
                    <w:rPr>
                      <w:rFonts w:hint="eastAsia" w:ascii="Times New Roman" w:hAnsi="宋体" w:eastAsia="宋体" w:cs="Times New Roman"/>
                      <w:szCs w:val="21"/>
                      <w:lang w:val="en-US" w:eastAsia="zh-CN"/>
                    </w:rPr>
                    <w:t>台</w:t>
                  </w:r>
                </w:p>
              </w:tc>
              <w:tc>
                <w:tcPr>
                  <w:tcW w:w="1488" w:type="dxa"/>
                  <w:vMerge w:val="restart"/>
                  <w:tcBorders>
                    <w:tl2br w:val="nil"/>
                    <w:tr2bl w:val="nil"/>
                  </w:tcBorders>
                  <w:shd w:val="clear" w:color="auto" w:fill="auto"/>
                  <w:vAlign w:val="center"/>
                </w:tcPr>
                <w:p w14:paraId="04A9C335">
                  <w:pPr>
                    <w:keepNext w:val="0"/>
                    <w:keepLines w:val="0"/>
                    <w:suppressLineNumbers w:val="0"/>
                    <w:spacing w:before="0" w:beforeAutospacing="0" w:after="0" w:afterAutospacing="0" w:line="240" w:lineRule="auto"/>
                    <w:ind w:left="0" w:right="0"/>
                    <w:jc w:val="center"/>
                    <w:rPr>
                      <w:rFonts w:hint="default" w:ascii="Times New Roman" w:hAnsi="宋体" w:eastAsia="宋体" w:cs="Times New Roman"/>
                      <w:szCs w:val="21"/>
                      <w:lang w:val="en-US" w:eastAsia="zh-CN"/>
                    </w:rPr>
                  </w:pPr>
                  <w:r>
                    <w:rPr>
                      <w:rFonts w:hint="eastAsia" w:ascii="Times New Roman" w:hAnsi="宋体" w:eastAsia="宋体" w:cs="Times New Roman"/>
                      <w:szCs w:val="21"/>
                      <w:lang w:val="en-US" w:eastAsia="zh-CN"/>
                    </w:rPr>
                    <w:t>1342800000袋/a</w:t>
                  </w:r>
                </w:p>
              </w:tc>
              <w:tc>
                <w:tcPr>
                  <w:tcW w:w="1712" w:type="dxa"/>
                  <w:vMerge w:val="restart"/>
                  <w:tcBorders>
                    <w:right w:val="single" w:color="auto" w:sz="4" w:space="0"/>
                    <w:tl2br w:val="nil"/>
                    <w:tr2bl w:val="nil"/>
                  </w:tcBorders>
                  <w:vAlign w:val="center"/>
                </w:tcPr>
                <w:p w14:paraId="4B914F81">
                  <w:pPr>
                    <w:pStyle w:val="73"/>
                    <w:keepNext w:val="0"/>
                    <w:keepLines w:val="0"/>
                    <w:widowControl/>
                    <w:suppressLineNumbers w:val="0"/>
                    <w:spacing w:before="0" w:beforeLines="0" w:beforeAutospacing="0" w:after="0" w:afterAutospacing="0" w:line="276" w:lineRule="auto"/>
                    <w:ind w:left="0" w:right="0"/>
                    <w:jc w:val="center"/>
                    <w:rPr>
                      <w:rFonts w:hint="default" w:eastAsia="宋体"/>
                      <w:b w:val="0"/>
                      <w:bCs/>
                      <w:kern w:val="2"/>
                      <w:szCs w:val="21"/>
                      <w:lang w:val="en-US" w:eastAsia="zh-CN"/>
                    </w:rPr>
                  </w:pPr>
                  <w:r>
                    <w:rPr>
                      <w:rFonts w:hint="eastAsia"/>
                      <w:b w:val="0"/>
                      <w:bCs/>
                      <w:kern w:val="2"/>
                      <w:szCs w:val="21"/>
                      <w:lang w:val="en-US" w:eastAsia="zh-CN"/>
                    </w:rPr>
                    <w:t>6700t/a（1340000000袋/a）</w:t>
                  </w:r>
                </w:p>
              </w:tc>
              <w:tc>
                <w:tcPr>
                  <w:tcW w:w="1225" w:type="dxa"/>
                  <w:vMerge w:val="restart"/>
                  <w:tcBorders>
                    <w:left w:val="single" w:color="auto" w:sz="4" w:space="0"/>
                    <w:tl2br w:val="nil"/>
                    <w:tr2bl w:val="nil"/>
                  </w:tcBorders>
                  <w:vAlign w:val="center"/>
                </w:tcPr>
                <w:p w14:paraId="243918BE">
                  <w:pPr>
                    <w:pStyle w:val="73"/>
                    <w:keepNext w:val="0"/>
                    <w:keepLines w:val="0"/>
                    <w:widowControl/>
                    <w:suppressLineNumbers w:val="0"/>
                    <w:spacing w:before="0" w:beforeLines="0" w:beforeAutospacing="0" w:after="0" w:afterAutospacing="0" w:line="276" w:lineRule="auto"/>
                    <w:ind w:left="0" w:right="0"/>
                    <w:jc w:val="center"/>
                    <w:rPr>
                      <w:rFonts w:hint="eastAsia" w:eastAsia="宋体"/>
                      <w:b w:val="0"/>
                      <w:bCs/>
                      <w:kern w:val="2"/>
                      <w:szCs w:val="21"/>
                      <w:lang w:val="en-US" w:eastAsia="zh-CN"/>
                    </w:rPr>
                  </w:pPr>
                  <w:r>
                    <w:rPr>
                      <w:rFonts w:hint="eastAsia"/>
                      <w:b w:val="0"/>
                      <w:bCs/>
                      <w:kern w:val="2"/>
                      <w:szCs w:val="21"/>
                      <w:lang w:val="en-US" w:eastAsia="zh-CN"/>
                    </w:rPr>
                    <w:t>是</w:t>
                  </w:r>
                </w:p>
              </w:tc>
            </w:tr>
            <w:tr w14:paraId="1DBE95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4" w:type="dxa"/>
                  <w:tcBorders>
                    <w:tl2br w:val="nil"/>
                    <w:tr2bl w:val="nil"/>
                  </w:tcBorders>
                  <w:vAlign w:val="center"/>
                </w:tcPr>
                <w:p w14:paraId="5568417E">
                  <w:pPr>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宋体" w:eastAsia="宋体" w:cs="Times New Roman"/>
                      <w:szCs w:val="21"/>
                    </w:rPr>
                    <w:t>伺服夹拉式包装机</w:t>
                  </w:r>
                </w:p>
              </w:tc>
              <w:tc>
                <w:tcPr>
                  <w:tcW w:w="1687" w:type="dxa"/>
                  <w:tcBorders>
                    <w:tl2br w:val="nil"/>
                    <w:tr2bl w:val="nil"/>
                  </w:tcBorders>
                  <w:vAlign w:val="center"/>
                </w:tcPr>
                <w:p w14:paraId="7D283839">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4000袋/h</w:t>
                  </w:r>
                </w:p>
              </w:tc>
              <w:tc>
                <w:tcPr>
                  <w:tcW w:w="1100" w:type="dxa"/>
                  <w:tcBorders>
                    <w:tl2br w:val="nil"/>
                    <w:tr2bl w:val="nil"/>
                  </w:tcBorders>
                  <w:vAlign w:val="center"/>
                </w:tcPr>
                <w:p w14:paraId="00DF414D">
                  <w:pPr>
                    <w:keepNext w:val="0"/>
                    <w:keepLines w:val="0"/>
                    <w:suppressLineNumbers w:val="0"/>
                    <w:spacing w:before="0" w:beforeAutospacing="0" w:after="0" w:afterAutospacing="0" w:line="240" w:lineRule="auto"/>
                    <w:ind w:left="0" w:right="0"/>
                    <w:jc w:val="center"/>
                    <w:rPr>
                      <w:rFonts w:hint="default" w:ascii="Times New Roman" w:hAnsi="宋体" w:eastAsia="宋体" w:cs="Times New Roman"/>
                      <w:szCs w:val="21"/>
                    </w:rPr>
                  </w:pPr>
                  <w:r>
                    <w:rPr>
                      <w:rFonts w:hint="default" w:ascii="Times New Roman" w:hAnsi="宋体" w:eastAsia="宋体" w:cs="Times New Roman"/>
                      <w:szCs w:val="21"/>
                    </w:rPr>
                    <w:t>18</w:t>
                  </w:r>
                  <w:r>
                    <w:rPr>
                      <w:rFonts w:hint="eastAsia" w:ascii="Times New Roman" w:hAnsi="宋体" w:eastAsia="宋体" w:cs="Times New Roman"/>
                      <w:szCs w:val="21"/>
                      <w:lang w:val="en-US" w:eastAsia="zh-CN"/>
                    </w:rPr>
                    <w:t>台</w:t>
                  </w:r>
                </w:p>
              </w:tc>
              <w:tc>
                <w:tcPr>
                  <w:tcW w:w="1488" w:type="dxa"/>
                  <w:vMerge w:val="continue"/>
                  <w:tcBorders>
                    <w:tl2br w:val="nil"/>
                    <w:tr2bl w:val="nil"/>
                  </w:tcBorders>
                  <w:shd w:val="clear" w:color="auto" w:fill="auto"/>
                  <w:vAlign w:val="center"/>
                </w:tcPr>
                <w:p w14:paraId="416B922A">
                  <w:pPr>
                    <w:keepNext w:val="0"/>
                    <w:keepLines w:val="0"/>
                    <w:suppressLineNumbers w:val="0"/>
                    <w:spacing w:before="0" w:beforeAutospacing="0" w:after="0" w:afterAutospacing="0" w:line="240" w:lineRule="auto"/>
                    <w:ind w:left="0" w:right="0"/>
                    <w:jc w:val="center"/>
                    <w:rPr>
                      <w:rFonts w:hint="default" w:ascii="Times New Roman" w:hAnsi="宋体" w:eastAsia="宋体" w:cs="Times New Roman"/>
                      <w:szCs w:val="21"/>
                      <w:lang w:val="en-US" w:eastAsia="zh-CN"/>
                    </w:rPr>
                  </w:pPr>
                </w:p>
              </w:tc>
              <w:tc>
                <w:tcPr>
                  <w:tcW w:w="1712" w:type="dxa"/>
                  <w:vMerge w:val="continue"/>
                  <w:tcBorders>
                    <w:right w:val="single" w:color="auto" w:sz="4" w:space="0"/>
                    <w:tl2br w:val="nil"/>
                    <w:tr2bl w:val="nil"/>
                  </w:tcBorders>
                  <w:vAlign w:val="center"/>
                </w:tcPr>
                <w:p w14:paraId="43D3CE24">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p>
              </w:tc>
              <w:tc>
                <w:tcPr>
                  <w:tcW w:w="1225" w:type="dxa"/>
                  <w:vMerge w:val="continue"/>
                  <w:tcBorders>
                    <w:left w:val="single" w:color="auto" w:sz="4" w:space="0"/>
                    <w:tl2br w:val="nil"/>
                    <w:tr2bl w:val="nil"/>
                  </w:tcBorders>
                  <w:vAlign w:val="center"/>
                </w:tcPr>
                <w:p w14:paraId="62A0E0A7">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p>
              </w:tc>
            </w:tr>
            <w:tr w14:paraId="5E7391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4" w:type="dxa"/>
                  <w:tcBorders>
                    <w:tl2br w:val="nil"/>
                    <w:tr2bl w:val="nil"/>
                  </w:tcBorders>
                  <w:shd w:val="clear" w:color="auto" w:fill="auto"/>
                  <w:vAlign w:val="center"/>
                </w:tcPr>
                <w:p w14:paraId="0CF33FB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宋体" w:eastAsia="宋体" w:cs="Times New Roman"/>
                      <w:szCs w:val="21"/>
                    </w:rPr>
                    <w:t>自动颗粒包装机</w:t>
                  </w:r>
                </w:p>
              </w:tc>
              <w:tc>
                <w:tcPr>
                  <w:tcW w:w="1687" w:type="dxa"/>
                  <w:tcBorders>
                    <w:tl2br w:val="nil"/>
                    <w:tr2bl w:val="nil"/>
                  </w:tcBorders>
                  <w:vAlign w:val="center"/>
                </w:tcPr>
                <w:p w14:paraId="22BBB70C">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9500袋/h</w:t>
                  </w:r>
                </w:p>
              </w:tc>
              <w:tc>
                <w:tcPr>
                  <w:tcW w:w="1100" w:type="dxa"/>
                  <w:tcBorders>
                    <w:tl2br w:val="nil"/>
                    <w:tr2bl w:val="nil"/>
                  </w:tcBorders>
                  <w:shd w:val="clear" w:color="auto" w:fill="auto"/>
                  <w:vAlign w:val="center"/>
                </w:tcPr>
                <w:p w14:paraId="337A7ECB">
                  <w:pPr>
                    <w:keepNext w:val="0"/>
                    <w:keepLines w:val="0"/>
                    <w:suppressLineNumbers w:val="0"/>
                    <w:spacing w:before="0" w:beforeAutospacing="0" w:after="0" w:afterAutospacing="0" w:line="240" w:lineRule="auto"/>
                    <w:ind w:left="0" w:right="0"/>
                    <w:jc w:val="center"/>
                    <w:rPr>
                      <w:rFonts w:hint="default" w:ascii="Times New Roman" w:hAnsi="宋体" w:eastAsia="宋体" w:cs="Times New Roman"/>
                      <w:szCs w:val="21"/>
                      <w:lang w:val="en-US" w:eastAsia="zh-CN"/>
                    </w:rPr>
                  </w:pPr>
                  <w:r>
                    <w:rPr>
                      <w:rFonts w:hint="default" w:ascii="Times New Roman" w:hAnsi="宋体" w:eastAsia="宋体" w:cs="Times New Roman"/>
                      <w:szCs w:val="21"/>
                    </w:rPr>
                    <w:t>5</w:t>
                  </w:r>
                  <w:r>
                    <w:rPr>
                      <w:rFonts w:hint="eastAsia" w:ascii="Times New Roman" w:hAnsi="宋体" w:eastAsia="宋体" w:cs="Times New Roman"/>
                      <w:szCs w:val="21"/>
                      <w:lang w:val="en-US" w:eastAsia="zh-CN"/>
                    </w:rPr>
                    <w:t>台</w:t>
                  </w:r>
                </w:p>
              </w:tc>
              <w:tc>
                <w:tcPr>
                  <w:tcW w:w="1488" w:type="dxa"/>
                  <w:vMerge w:val="continue"/>
                  <w:tcBorders>
                    <w:tl2br w:val="nil"/>
                    <w:tr2bl w:val="nil"/>
                  </w:tcBorders>
                  <w:shd w:val="clear" w:color="auto" w:fill="auto"/>
                  <w:vAlign w:val="center"/>
                </w:tcPr>
                <w:p w14:paraId="20E3C99A">
                  <w:pPr>
                    <w:keepNext w:val="0"/>
                    <w:keepLines w:val="0"/>
                    <w:suppressLineNumbers w:val="0"/>
                    <w:spacing w:before="0" w:beforeAutospacing="0" w:after="0" w:afterAutospacing="0" w:line="240" w:lineRule="auto"/>
                    <w:ind w:left="0" w:right="0"/>
                    <w:jc w:val="center"/>
                    <w:rPr>
                      <w:rFonts w:hint="default" w:ascii="Times New Roman" w:hAnsi="宋体" w:eastAsia="宋体" w:cs="Times New Roman"/>
                      <w:szCs w:val="21"/>
                      <w:lang w:val="en-US" w:eastAsia="zh-CN"/>
                    </w:rPr>
                  </w:pPr>
                </w:p>
              </w:tc>
              <w:tc>
                <w:tcPr>
                  <w:tcW w:w="1712" w:type="dxa"/>
                  <w:vMerge w:val="continue"/>
                  <w:tcBorders>
                    <w:right w:val="single" w:color="auto" w:sz="4" w:space="0"/>
                    <w:tl2br w:val="nil"/>
                    <w:tr2bl w:val="nil"/>
                  </w:tcBorders>
                  <w:vAlign w:val="center"/>
                </w:tcPr>
                <w:p w14:paraId="5A6FFC41">
                  <w:pPr>
                    <w:pStyle w:val="14"/>
                    <w:keepNext w:val="0"/>
                    <w:keepLines w:val="0"/>
                    <w:suppressLineNumbers w:val="0"/>
                    <w:spacing w:before="0" w:beforeLines="0" w:beforeAutospacing="0" w:after="0" w:afterAutospacing="0" w:line="276" w:lineRule="auto"/>
                    <w:ind w:left="0" w:right="0"/>
                    <w:jc w:val="center"/>
                    <w:rPr>
                      <w:rFonts w:hint="default" w:ascii="Segoe UI" w:hAnsi="Segoe UI" w:cs="Segoe UI"/>
                      <w:bCs/>
                      <w:sz w:val="21"/>
                      <w:szCs w:val="21"/>
                      <w:shd w:val="clear" w:color="auto" w:fill="FFFFFF"/>
                    </w:rPr>
                  </w:pPr>
                </w:p>
              </w:tc>
              <w:tc>
                <w:tcPr>
                  <w:tcW w:w="1225" w:type="dxa"/>
                  <w:vMerge w:val="continue"/>
                  <w:tcBorders>
                    <w:left w:val="single" w:color="auto" w:sz="4" w:space="0"/>
                    <w:tl2br w:val="nil"/>
                    <w:tr2bl w:val="nil"/>
                  </w:tcBorders>
                  <w:vAlign w:val="center"/>
                </w:tcPr>
                <w:p w14:paraId="299B9D6E">
                  <w:pPr>
                    <w:pStyle w:val="14"/>
                    <w:keepNext w:val="0"/>
                    <w:keepLines w:val="0"/>
                    <w:suppressLineNumbers w:val="0"/>
                    <w:spacing w:before="0" w:beforeLines="0" w:beforeAutospacing="0" w:after="0" w:afterAutospacing="0" w:line="276" w:lineRule="auto"/>
                    <w:ind w:left="0" w:right="0"/>
                    <w:jc w:val="center"/>
                    <w:rPr>
                      <w:rFonts w:hint="default" w:ascii="Segoe UI" w:hAnsi="Segoe UI" w:cs="Segoe UI"/>
                      <w:bCs/>
                      <w:sz w:val="21"/>
                      <w:szCs w:val="21"/>
                      <w:shd w:val="clear" w:color="auto" w:fill="FFFFFF"/>
                    </w:rPr>
                  </w:pPr>
                </w:p>
              </w:tc>
            </w:tr>
            <w:tr w14:paraId="5C584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4" w:type="dxa"/>
                  <w:tcBorders>
                    <w:tl2br w:val="nil"/>
                    <w:tr2bl w:val="nil"/>
                  </w:tcBorders>
                  <w:vAlign w:val="center"/>
                </w:tcPr>
                <w:p w14:paraId="76C9BE51">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bCs/>
                      <w:sz w:val="21"/>
                      <w:szCs w:val="21"/>
                    </w:rPr>
                  </w:pPr>
                  <w:r>
                    <w:rPr>
                      <w:rFonts w:hint="default" w:ascii="Times New Roman" w:hAnsi="宋体" w:eastAsia="宋体" w:cs="Times New Roman"/>
                      <w:szCs w:val="21"/>
                    </w:rPr>
                    <w:t>脱氧剂包装机</w:t>
                  </w:r>
                </w:p>
              </w:tc>
              <w:tc>
                <w:tcPr>
                  <w:tcW w:w="1687" w:type="dxa"/>
                  <w:tcBorders>
                    <w:tl2br w:val="nil"/>
                    <w:tr2bl w:val="nil"/>
                  </w:tcBorders>
                  <w:vAlign w:val="center"/>
                </w:tcPr>
                <w:p w14:paraId="71AE951B">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eastAsia" w:ascii="Times New Roman" w:hAnsi="宋体" w:eastAsia="宋体" w:cs="Times New Roman"/>
                      <w:szCs w:val="21"/>
                      <w:lang w:val="en-US" w:eastAsia="zh-CN"/>
                    </w:rPr>
                    <w:t>2000袋/h</w:t>
                  </w:r>
                </w:p>
              </w:tc>
              <w:tc>
                <w:tcPr>
                  <w:tcW w:w="1100" w:type="dxa"/>
                  <w:tcBorders>
                    <w:tl2br w:val="nil"/>
                    <w:tr2bl w:val="nil"/>
                  </w:tcBorders>
                  <w:vAlign w:val="center"/>
                </w:tcPr>
                <w:p w14:paraId="038D1E6C">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default" w:ascii="Times New Roman" w:hAnsi="宋体" w:eastAsia="宋体" w:cs="Times New Roman"/>
                      <w:szCs w:val="21"/>
                    </w:rPr>
                    <w:t>4</w:t>
                  </w:r>
                  <w:r>
                    <w:rPr>
                      <w:rFonts w:hint="eastAsia" w:ascii="Times New Roman" w:hAnsi="宋体" w:eastAsia="宋体" w:cs="Times New Roman"/>
                      <w:szCs w:val="21"/>
                      <w:lang w:val="en-US" w:eastAsia="zh-CN"/>
                    </w:rPr>
                    <w:t>台</w:t>
                  </w:r>
                </w:p>
              </w:tc>
              <w:tc>
                <w:tcPr>
                  <w:tcW w:w="1488" w:type="dxa"/>
                  <w:vMerge w:val="restart"/>
                  <w:tcBorders>
                    <w:tl2br w:val="nil"/>
                    <w:tr2bl w:val="nil"/>
                  </w:tcBorders>
                  <w:shd w:val="clear" w:color="auto" w:fill="auto"/>
                  <w:vAlign w:val="center"/>
                </w:tcPr>
                <w:p w14:paraId="62628A74">
                  <w:pPr>
                    <w:keepNext w:val="0"/>
                    <w:keepLines w:val="0"/>
                    <w:suppressLineNumbers w:val="0"/>
                    <w:spacing w:before="0" w:beforeAutospacing="0" w:after="0" w:afterAutospacing="0" w:line="240" w:lineRule="auto"/>
                    <w:ind w:left="0" w:right="0"/>
                    <w:jc w:val="center"/>
                    <w:rPr>
                      <w:rFonts w:hint="default" w:ascii="Times New Roman" w:hAnsi="宋体" w:eastAsia="宋体" w:cs="Times New Roman"/>
                      <w:szCs w:val="21"/>
                      <w:lang w:val="en-US" w:eastAsia="zh-CN"/>
                    </w:rPr>
                  </w:pPr>
                  <w:r>
                    <w:rPr>
                      <w:rFonts w:hint="eastAsia" w:ascii="Times New Roman" w:hAnsi="宋体" w:eastAsia="宋体" w:cs="Times New Roman"/>
                      <w:szCs w:val="21"/>
                      <w:lang w:val="en-US" w:eastAsia="zh-CN"/>
                    </w:rPr>
                    <w:t>206400000袋/a</w:t>
                  </w:r>
                </w:p>
              </w:tc>
              <w:tc>
                <w:tcPr>
                  <w:tcW w:w="1712" w:type="dxa"/>
                  <w:vMerge w:val="restart"/>
                  <w:tcBorders>
                    <w:right w:val="single" w:color="auto" w:sz="4" w:space="0"/>
                    <w:tl2br w:val="nil"/>
                    <w:tr2bl w:val="nil"/>
                  </w:tcBorders>
                  <w:vAlign w:val="center"/>
                </w:tcPr>
                <w:p w14:paraId="0D14C07A">
                  <w:pPr>
                    <w:keepNext w:val="0"/>
                    <w:keepLines w:val="0"/>
                    <w:suppressLineNumbers w:val="0"/>
                    <w:spacing w:before="0" w:beforeAutospacing="0" w:after="0" w:afterAutospacing="0"/>
                    <w:ind w:left="0" w:right="0"/>
                    <w:jc w:val="center"/>
                    <w:rPr>
                      <w:rFonts w:hint="default" w:ascii="Times New Roman" w:hAnsi="宋体" w:eastAsia="宋体" w:cs="Times New Roman"/>
                      <w:szCs w:val="21"/>
                      <w:lang w:val="en-US" w:eastAsia="zh-CN"/>
                    </w:rPr>
                  </w:pPr>
                  <w:r>
                    <w:rPr>
                      <w:rFonts w:hint="eastAsia" w:ascii="Times New Roman" w:hAnsi="宋体" w:eastAsia="宋体" w:cs="Times New Roman"/>
                      <w:szCs w:val="21"/>
                      <w:lang w:val="en-US" w:eastAsia="zh-CN"/>
                    </w:rPr>
                    <w:t>1000t/a（200000000袋/a）</w:t>
                  </w:r>
                </w:p>
              </w:tc>
              <w:tc>
                <w:tcPr>
                  <w:tcW w:w="1225" w:type="dxa"/>
                  <w:vMerge w:val="restart"/>
                  <w:tcBorders>
                    <w:left w:val="single" w:color="auto" w:sz="4" w:space="0"/>
                    <w:tl2br w:val="nil"/>
                    <w:tr2bl w:val="nil"/>
                  </w:tcBorders>
                  <w:vAlign w:val="center"/>
                </w:tcPr>
                <w:p w14:paraId="4CB81F3C">
                  <w:pPr>
                    <w:pStyle w:val="14"/>
                    <w:keepNext w:val="0"/>
                    <w:keepLines w:val="0"/>
                    <w:suppressLineNumbers w:val="0"/>
                    <w:spacing w:before="0" w:beforeLines="0" w:beforeAutospacing="0" w:after="0" w:afterAutospacing="0" w:line="276" w:lineRule="auto"/>
                    <w:ind w:left="0" w:right="0"/>
                    <w:jc w:val="center"/>
                    <w:rPr>
                      <w:rFonts w:hint="default" w:ascii="Segoe UI" w:hAnsi="Segoe UI" w:cs="Segoe UI"/>
                      <w:bCs/>
                      <w:sz w:val="21"/>
                      <w:szCs w:val="21"/>
                      <w:shd w:val="clear" w:color="auto" w:fill="FFFFFF"/>
                    </w:rPr>
                  </w:pPr>
                  <w:r>
                    <w:rPr>
                      <w:rFonts w:hint="default" w:ascii="Segoe UI" w:hAnsi="Segoe UI" w:cs="Segoe UI"/>
                      <w:bCs/>
                      <w:sz w:val="21"/>
                      <w:szCs w:val="21"/>
                      <w:shd w:val="clear" w:color="auto" w:fill="FFFFFF"/>
                    </w:rPr>
                    <w:t>是</w:t>
                  </w:r>
                </w:p>
              </w:tc>
            </w:tr>
            <w:tr w14:paraId="39702B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4" w:type="dxa"/>
                  <w:tcBorders>
                    <w:tl2br w:val="nil"/>
                    <w:tr2bl w:val="nil"/>
                  </w:tcBorders>
                  <w:vAlign w:val="center"/>
                </w:tcPr>
                <w:p w14:paraId="3A88439D">
                  <w:pPr>
                    <w:keepNext w:val="0"/>
                    <w:keepLines w:val="0"/>
                    <w:suppressLineNumbers w:val="0"/>
                    <w:spacing w:before="0" w:beforeAutospacing="0" w:after="0" w:afterAutospacing="0" w:line="276" w:lineRule="auto"/>
                    <w:ind w:left="0" w:leftChars="0" w:right="0" w:rightChars="0"/>
                    <w:jc w:val="center"/>
                    <w:rPr>
                      <w:rFonts w:hint="default" w:ascii="Times New Roman" w:hAnsi="宋体" w:eastAsia="宋体" w:cs="Times New Roman"/>
                      <w:szCs w:val="21"/>
                    </w:rPr>
                  </w:pPr>
                  <w:r>
                    <w:rPr>
                      <w:rFonts w:hint="default" w:ascii="Times New Roman" w:hAnsi="宋体" w:eastAsia="宋体" w:cs="Times New Roman"/>
                      <w:szCs w:val="21"/>
                    </w:rPr>
                    <w:t>高速立式包装机</w:t>
                  </w:r>
                </w:p>
              </w:tc>
              <w:tc>
                <w:tcPr>
                  <w:tcW w:w="1687" w:type="dxa"/>
                  <w:tcBorders>
                    <w:tl2br w:val="nil"/>
                    <w:tr2bl w:val="nil"/>
                  </w:tcBorders>
                  <w:vAlign w:val="center"/>
                </w:tcPr>
                <w:p w14:paraId="26F836E8">
                  <w:pPr>
                    <w:keepNext w:val="0"/>
                    <w:keepLines w:val="0"/>
                    <w:suppressLineNumbers w:val="0"/>
                    <w:spacing w:before="0" w:beforeAutospacing="0" w:after="0" w:afterAutospacing="0"/>
                    <w:ind w:left="0" w:right="0"/>
                    <w:jc w:val="center"/>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2600袋/h</w:t>
                  </w:r>
                </w:p>
              </w:tc>
              <w:tc>
                <w:tcPr>
                  <w:tcW w:w="1100" w:type="dxa"/>
                  <w:tcBorders>
                    <w:tl2br w:val="nil"/>
                    <w:tr2bl w:val="nil"/>
                  </w:tcBorders>
                  <w:vAlign w:val="center"/>
                </w:tcPr>
                <w:p w14:paraId="559C546B">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r>
                    <w:rPr>
                      <w:rFonts w:hint="default" w:ascii="Times New Roman" w:hAnsi="宋体" w:eastAsia="宋体" w:cs="Times New Roman"/>
                      <w:szCs w:val="21"/>
                    </w:rPr>
                    <w:t>30</w:t>
                  </w:r>
                  <w:r>
                    <w:rPr>
                      <w:rFonts w:hint="eastAsia" w:ascii="Times New Roman" w:hAnsi="宋体" w:eastAsia="宋体" w:cs="Times New Roman"/>
                      <w:szCs w:val="21"/>
                      <w:lang w:val="en-US" w:eastAsia="zh-CN"/>
                    </w:rPr>
                    <w:t>台</w:t>
                  </w:r>
                </w:p>
              </w:tc>
              <w:tc>
                <w:tcPr>
                  <w:tcW w:w="1488" w:type="dxa"/>
                  <w:vMerge w:val="continue"/>
                  <w:tcBorders>
                    <w:tl2br w:val="nil"/>
                    <w:tr2bl w:val="nil"/>
                  </w:tcBorders>
                  <w:shd w:val="clear" w:color="auto" w:fill="auto"/>
                  <w:vAlign w:val="center"/>
                </w:tcPr>
                <w:p w14:paraId="49D0BDA8">
                  <w:pPr>
                    <w:keepNext w:val="0"/>
                    <w:keepLines w:val="0"/>
                    <w:suppressLineNumbers w:val="0"/>
                    <w:spacing w:before="0" w:beforeAutospacing="0" w:after="0" w:afterAutospacing="0"/>
                    <w:ind w:left="0" w:right="0"/>
                    <w:jc w:val="center"/>
                    <w:rPr>
                      <w:rFonts w:hint="default" w:ascii="Times New Roman" w:hAnsi="宋体" w:eastAsia="宋体" w:cs="Times New Roman"/>
                      <w:szCs w:val="21"/>
                    </w:rPr>
                  </w:pPr>
                </w:p>
              </w:tc>
              <w:tc>
                <w:tcPr>
                  <w:tcW w:w="1712" w:type="dxa"/>
                  <w:vMerge w:val="continue"/>
                  <w:tcBorders>
                    <w:right w:val="single" w:color="auto" w:sz="4" w:space="0"/>
                    <w:tl2br w:val="nil"/>
                    <w:tr2bl w:val="nil"/>
                  </w:tcBorders>
                  <w:vAlign w:val="center"/>
                </w:tcPr>
                <w:p w14:paraId="07611FBD">
                  <w:pPr>
                    <w:keepNext w:val="0"/>
                    <w:keepLines w:val="0"/>
                    <w:suppressLineNumbers w:val="0"/>
                    <w:spacing w:before="0" w:beforeAutospacing="0" w:after="0" w:afterAutospacing="0"/>
                    <w:ind w:left="0" w:right="0"/>
                    <w:jc w:val="center"/>
                    <w:rPr>
                      <w:rFonts w:hint="eastAsia" w:ascii="Times New Roman" w:hAnsi="宋体" w:eastAsia="宋体" w:cs="Times New Roman"/>
                      <w:szCs w:val="21"/>
                      <w:lang w:val="en-US" w:eastAsia="zh-CN"/>
                    </w:rPr>
                  </w:pPr>
                </w:p>
              </w:tc>
              <w:tc>
                <w:tcPr>
                  <w:tcW w:w="1225" w:type="dxa"/>
                  <w:vMerge w:val="continue"/>
                  <w:tcBorders>
                    <w:left w:val="single" w:color="auto" w:sz="4" w:space="0"/>
                    <w:tl2br w:val="nil"/>
                    <w:tr2bl w:val="nil"/>
                  </w:tcBorders>
                  <w:vAlign w:val="center"/>
                </w:tcPr>
                <w:p w14:paraId="69BE6BA9">
                  <w:pPr>
                    <w:pStyle w:val="14"/>
                    <w:keepNext w:val="0"/>
                    <w:keepLines w:val="0"/>
                    <w:suppressLineNumbers w:val="0"/>
                    <w:spacing w:before="0" w:beforeLines="0" w:beforeAutospacing="0" w:after="0" w:afterAutospacing="0" w:line="276" w:lineRule="auto"/>
                    <w:ind w:left="0" w:right="0"/>
                    <w:jc w:val="center"/>
                    <w:rPr>
                      <w:rFonts w:hint="default" w:ascii="Segoe UI" w:hAnsi="Segoe UI" w:cs="Segoe UI"/>
                      <w:bCs/>
                      <w:sz w:val="21"/>
                      <w:szCs w:val="21"/>
                      <w:shd w:val="clear" w:color="auto" w:fill="FFFFFF"/>
                    </w:rPr>
                  </w:pPr>
                </w:p>
              </w:tc>
            </w:tr>
          </w:tbl>
          <w:p w14:paraId="2D77F12E">
            <w:pPr>
              <w:keepNext w:val="0"/>
              <w:keepLines w:val="0"/>
              <w:suppressLineNumbers w:val="0"/>
              <w:spacing w:before="0" w:beforeAutospacing="0" w:after="0" w:afterAutospacing="0" w:line="276" w:lineRule="auto"/>
              <w:ind w:left="0" w:right="0" w:firstLine="422" w:firstLineChars="200"/>
              <w:jc w:val="left"/>
              <w:rPr>
                <w:rFonts w:hint="default" w:ascii="Times New Roman" w:hAnsi="Times New Roman" w:eastAsia="宋体" w:cs="Times New Roman"/>
                <w:b/>
                <w:bCs/>
                <w:szCs w:val="21"/>
              </w:rPr>
            </w:pPr>
            <w:r>
              <w:rPr>
                <w:rFonts w:hint="eastAsia" w:ascii="Times New Roman" w:hAnsi="Times New Roman" w:eastAsia="宋体" w:cs="Times New Roman"/>
                <w:b/>
                <w:bCs/>
                <w:szCs w:val="21"/>
              </w:rPr>
              <w:t>注：</w:t>
            </w:r>
            <w:r>
              <w:rPr>
                <w:rFonts w:hint="eastAsia" w:ascii="Times New Roman" w:hAnsi="Times New Roman" w:eastAsia="宋体" w:cs="Times New Roman"/>
                <w:b/>
                <w:bCs/>
                <w:szCs w:val="21"/>
                <w:lang w:val="en-US" w:eastAsia="zh-CN"/>
              </w:rPr>
              <w:t>产品需要经过两道包装工序</w:t>
            </w:r>
            <w:r>
              <w:rPr>
                <w:rFonts w:hint="eastAsia" w:ascii="Times New Roman" w:hAnsi="Times New Roman" w:eastAsia="宋体" w:cs="Times New Roman"/>
                <w:b/>
                <w:bCs/>
                <w:szCs w:val="21"/>
              </w:rPr>
              <w:t>。</w:t>
            </w:r>
          </w:p>
          <w:p w14:paraId="405BC4E3">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黑体" w:cs="Times New Roman"/>
                <w:bCs/>
                <w:sz w:val="24"/>
                <w:szCs w:val="24"/>
              </w:rPr>
            </w:pPr>
            <w:r>
              <w:rPr>
                <w:rFonts w:hint="eastAsia" w:ascii="Times New Roman" w:hAnsi="Times New Roman" w:eastAsia="宋体" w:cs="Times New Roman"/>
                <w:b/>
                <w:bCs/>
                <w:sz w:val="24"/>
                <w:szCs w:val="24"/>
              </w:rPr>
              <w:t>5</w:t>
            </w:r>
            <w:r>
              <w:rPr>
                <w:rFonts w:hint="default" w:ascii="Times New Roman" w:hAnsi="Times New Roman" w:eastAsia="宋体" w:cs="Times New Roman"/>
                <w:b/>
                <w:bCs/>
                <w:sz w:val="24"/>
                <w:szCs w:val="24"/>
              </w:rPr>
              <w:t>、主要原辅材料</w:t>
            </w:r>
          </w:p>
          <w:p w14:paraId="672FD377">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317927ED">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3542B802">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6E18029D">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w:t>
            </w:r>
            <w:r>
              <w:rPr>
                <w:rFonts w:hint="eastAsia" w:ascii="Times New Roman" w:hAnsi="Times New Roman" w:eastAsia="黑体" w:cs="Times New Roman"/>
                <w:bCs/>
                <w:sz w:val="24"/>
                <w:szCs w:val="24"/>
                <w:lang w:val="en-US" w:eastAsia="zh-CN"/>
              </w:rPr>
              <w:t>7</w:t>
            </w:r>
            <w:r>
              <w:rPr>
                <w:rFonts w:hint="eastAsia" w:ascii="Times New Roman" w:hAnsi="Times New Roman" w:eastAsia="黑体" w:cs="Times New Roman"/>
                <w:bCs/>
                <w:sz w:val="24"/>
                <w:szCs w:val="24"/>
              </w:rPr>
              <w:t xml:space="preserve">  </w:t>
            </w:r>
            <w:r>
              <w:rPr>
                <w:rFonts w:hint="default" w:ascii="Times New Roman" w:hAnsi="Times New Roman" w:eastAsia="黑体" w:cs="Times New Roman"/>
                <w:bCs/>
                <w:sz w:val="24"/>
                <w:szCs w:val="24"/>
              </w:rPr>
              <w:t>项目原辅材料及能源消耗一览表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88"/>
              <w:gridCol w:w="928"/>
              <w:gridCol w:w="1052"/>
              <w:gridCol w:w="607"/>
              <w:gridCol w:w="1359"/>
              <w:gridCol w:w="1152"/>
              <w:gridCol w:w="933"/>
              <w:gridCol w:w="934"/>
              <w:gridCol w:w="934"/>
            </w:tblGrid>
            <w:tr w14:paraId="15063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47FFA90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序号</w:t>
                  </w:r>
                </w:p>
              </w:tc>
              <w:tc>
                <w:tcPr>
                  <w:tcW w:w="553" w:type="pct"/>
                  <w:vAlign w:val="center"/>
                </w:tcPr>
                <w:p w14:paraId="06E35F7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名称</w:t>
                  </w:r>
                </w:p>
              </w:tc>
              <w:tc>
                <w:tcPr>
                  <w:tcW w:w="627" w:type="pct"/>
                  <w:vAlign w:val="center"/>
                </w:tcPr>
                <w:p w14:paraId="6E7EF16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规格</w:t>
                  </w:r>
                </w:p>
              </w:tc>
              <w:tc>
                <w:tcPr>
                  <w:tcW w:w="361" w:type="pct"/>
                  <w:vAlign w:val="center"/>
                </w:tcPr>
                <w:p w14:paraId="14C8666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性状</w:t>
                  </w:r>
                </w:p>
              </w:tc>
              <w:tc>
                <w:tcPr>
                  <w:tcW w:w="810" w:type="pct"/>
                  <w:vAlign w:val="center"/>
                </w:tcPr>
                <w:p w14:paraId="2E3F27D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年消耗量</w:t>
                  </w:r>
                </w:p>
              </w:tc>
              <w:tc>
                <w:tcPr>
                  <w:tcW w:w="686" w:type="pct"/>
                  <w:vAlign w:val="center"/>
                </w:tcPr>
                <w:p w14:paraId="2679135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最大贮存量</w:t>
                  </w:r>
                </w:p>
              </w:tc>
              <w:tc>
                <w:tcPr>
                  <w:tcW w:w="556" w:type="pct"/>
                  <w:vAlign w:val="center"/>
                </w:tcPr>
                <w:p w14:paraId="683E078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转运周期</w:t>
                  </w:r>
                </w:p>
              </w:tc>
              <w:tc>
                <w:tcPr>
                  <w:tcW w:w="556" w:type="pct"/>
                  <w:vAlign w:val="center"/>
                </w:tcPr>
                <w:p w14:paraId="1CB0952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贮存位置</w:t>
                  </w:r>
                </w:p>
              </w:tc>
              <w:tc>
                <w:tcPr>
                  <w:tcW w:w="556" w:type="pct"/>
                  <w:vAlign w:val="center"/>
                </w:tcPr>
                <w:p w14:paraId="7AAC3B6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储存方式</w:t>
                  </w:r>
                </w:p>
              </w:tc>
            </w:tr>
            <w:tr w14:paraId="3D083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000" w:type="pct"/>
                  <w:gridSpan w:val="9"/>
                  <w:vAlign w:val="center"/>
                </w:tcPr>
                <w:p w14:paraId="361FEBD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原辅材料</w:t>
                  </w:r>
                </w:p>
              </w:tc>
            </w:tr>
            <w:tr w14:paraId="12A22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3FCF6C5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553" w:type="pct"/>
                  <w:vAlign w:val="center"/>
                </w:tcPr>
                <w:p w14:paraId="548896B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硅胶</w:t>
                  </w:r>
                </w:p>
              </w:tc>
              <w:tc>
                <w:tcPr>
                  <w:tcW w:w="627" w:type="pct"/>
                  <w:vAlign w:val="center"/>
                </w:tcPr>
                <w:p w14:paraId="3D14FFA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25kg/袋</w:t>
                  </w:r>
                </w:p>
              </w:tc>
              <w:tc>
                <w:tcPr>
                  <w:tcW w:w="361" w:type="pct"/>
                  <w:vAlign w:val="center"/>
                </w:tcPr>
                <w:p w14:paraId="402BBB4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499DF98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5000</w:t>
                  </w:r>
                  <w:r>
                    <w:rPr>
                      <w:rFonts w:hint="eastAsia" w:ascii="Times New Roman" w:hAnsi="Times New Roman" w:eastAsia="宋体" w:cs="Times New Roman"/>
                      <w:szCs w:val="21"/>
                    </w:rPr>
                    <w:t>t</w:t>
                  </w:r>
                </w:p>
              </w:tc>
              <w:tc>
                <w:tcPr>
                  <w:tcW w:w="686" w:type="pct"/>
                  <w:vAlign w:val="center"/>
                </w:tcPr>
                <w:p w14:paraId="41FBEE1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125t</w:t>
                  </w:r>
                </w:p>
              </w:tc>
              <w:tc>
                <w:tcPr>
                  <w:tcW w:w="556" w:type="pct"/>
                  <w:tcBorders>
                    <w:bottom w:val="single" w:color="auto" w:sz="4" w:space="0"/>
                  </w:tcBorders>
                  <w:vAlign w:val="center"/>
                </w:tcPr>
                <w:p w14:paraId="6D8980F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7</w:t>
                  </w:r>
                  <w:r>
                    <w:rPr>
                      <w:rFonts w:hint="default" w:ascii="Times New Roman" w:hAnsi="Times New Roman" w:eastAsia="宋体" w:cs="Times New Roman"/>
                      <w:szCs w:val="21"/>
                    </w:rPr>
                    <w:t>d</w:t>
                  </w:r>
                </w:p>
              </w:tc>
              <w:tc>
                <w:tcPr>
                  <w:tcW w:w="556" w:type="pct"/>
                  <w:tcBorders>
                    <w:bottom w:val="single" w:color="auto" w:sz="4" w:space="0"/>
                  </w:tcBorders>
                  <w:vAlign w:val="center"/>
                </w:tcPr>
                <w:p w14:paraId="019A6C5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tcBorders>
                    <w:bottom w:val="single" w:color="auto" w:sz="4" w:space="0"/>
                  </w:tcBorders>
                  <w:vAlign w:val="center"/>
                </w:tcPr>
                <w:p w14:paraId="64CAD40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袋装</w:t>
                  </w:r>
                </w:p>
              </w:tc>
            </w:tr>
            <w:tr w14:paraId="0ECDB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55A3339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553" w:type="pct"/>
                  <w:vAlign w:val="center"/>
                </w:tcPr>
                <w:p w14:paraId="6C20698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分子筛</w:t>
                  </w:r>
                </w:p>
              </w:tc>
              <w:tc>
                <w:tcPr>
                  <w:tcW w:w="627" w:type="pct"/>
                  <w:vAlign w:val="center"/>
                </w:tcPr>
                <w:p w14:paraId="36128FA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25kg/袋</w:t>
                  </w:r>
                </w:p>
              </w:tc>
              <w:tc>
                <w:tcPr>
                  <w:tcW w:w="361" w:type="pct"/>
                  <w:vAlign w:val="center"/>
                </w:tcPr>
                <w:p w14:paraId="0A07249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21310AC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1000</w:t>
                  </w:r>
                  <w:r>
                    <w:rPr>
                      <w:rFonts w:hint="eastAsia" w:ascii="Times New Roman" w:hAnsi="Times New Roman" w:eastAsia="宋体" w:cs="Times New Roman"/>
                      <w:szCs w:val="21"/>
                    </w:rPr>
                    <w:t>t</w:t>
                  </w:r>
                </w:p>
              </w:tc>
              <w:tc>
                <w:tcPr>
                  <w:tcW w:w="686" w:type="pct"/>
                  <w:vAlign w:val="center"/>
                </w:tcPr>
                <w:p w14:paraId="2115504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30t</w:t>
                  </w:r>
                </w:p>
              </w:tc>
              <w:tc>
                <w:tcPr>
                  <w:tcW w:w="556" w:type="pct"/>
                  <w:tcBorders>
                    <w:top w:val="single" w:color="auto" w:sz="4" w:space="0"/>
                  </w:tcBorders>
                  <w:vAlign w:val="center"/>
                </w:tcPr>
                <w:p w14:paraId="7A6C929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8</w:t>
                  </w:r>
                  <w:r>
                    <w:rPr>
                      <w:rFonts w:hint="default" w:ascii="Times New Roman" w:hAnsi="Times New Roman" w:eastAsia="宋体" w:cs="Times New Roman"/>
                      <w:szCs w:val="21"/>
                    </w:rPr>
                    <w:t>d</w:t>
                  </w:r>
                </w:p>
              </w:tc>
              <w:tc>
                <w:tcPr>
                  <w:tcW w:w="556" w:type="pct"/>
                  <w:tcBorders>
                    <w:top w:val="single" w:color="auto" w:sz="4" w:space="0"/>
                  </w:tcBorders>
                  <w:vAlign w:val="center"/>
                </w:tcPr>
                <w:p w14:paraId="55BE8CD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tcBorders>
                    <w:top w:val="single" w:color="auto" w:sz="4" w:space="0"/>
                  </w:tcBorders>
                  <w:vAlign w:val="center"/>
                </w:tcPr>
                <w:p w14:paraId="1D651F0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袋装</w:t>
                  </w:r>
                </w:p>
              </w:tc>
            </w:tr>
            <w:tr w14:paraId="732B7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3DEEFA5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553" w:type="pct"/>
                  <w:vAlign w:val="center"/>
                </w:tcPr>
                <w:p w14:paraId="3299D10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活性炭</w:t>
                  </w:r>
                </w:p>
              </w:tc>
              <w:tc>
                <w:tcPr>
                  <w:tcW w:w="627" w:type="pct"/>
                  <w:vAlign w:val="center"/>
                </w:tcPr>
                <w:p w14:paraId="7AD85D3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25kg/袋</w:t>
                  </w:r>
                </w:p>
              </w:tc>
              <w:tc>
                <w:tcPr>
                  <w:tcW w:w="361" w:type="pct"/>
                  <w:vAlign w:val="center"/>
                </w:tcPr>
                <w:p w14:paraId="1BC33CE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1EDF827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r>
                    <w:rPr>
                      <w:rFonts w:hint="eastAsia" w:ascii="Times New Roman" w:hAnsi="Times New Roman" w:eastAsia="宋体" w:cs="Times New Roman"/>
                      <w:szCs w:val="21"/>
                    </w:rPr>
                    <w:t>t</w:t>
                  </w:r>
                </w:p>
              </w:tc>
              <w:tc>
                <w:tcPr>
                  <w:tcW w:w="686" w:type="pct"/>
                  <w:vAlign w:val="center"/>
                </w:tcPr>
                <w:p w14:paraId="09D4442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5t</w:t>
                  </w:r>
                </w:p>
              </w:tc>
              <w:tc>
                <w:tcPr>
                  <w:tcW w:w="556" w:type="pct"/>
                  <w:tcBorders>
                    <w:bottom w:val="single" w:color="auto" w:sz="4" w:space="0"/>
                  </w:tcBorders>
                  <w:vAlign w:val="center"/>
                </w:tcPr>
                <w:p w14:paraId="6A4CFB3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15</w:t>
                  </w:r>
                  <w:r>
                    <w:rPr>
                      <w:rFonts w:hint="default" w:ascii="Times New Roman" w:hAnsi="Times New Roman" w:eastAsia="宋体" w:cs="Times New Roman"/>
                      <w:szCs w:val="21"/>
                    </w:rPr>
                    <w:t>d</w:t>
                  </w:r>
                </w:p>
              </w:tc>
              <w:tc>
                <w:tcPr>
                  <w:tcW w:w="556" w:type="pct"/>
                  <w:tcBorders>
                    <w:bottom w:val="single" w:color="auto" w:sz="4" w:space="0"/>
                  </w:tcBorders>
                  <w:vAlign w:val="center"/>
                </w:tcPr>
                <w:p w14:paraId="57448EC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tcBorders>
                    <w:bottom w:val="single" w:color="auto" w:sz="4" w:space="0"/>
                  </w:tcBorders>
                  <w:vAlign w:val="center"/>
                </w:tcPr>
                <w:p w14:paraId="41B9D7E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袋装</w:t>
                  </w:r>
                </w:p>
              </w:tc>
            </w:tr>
            <w:tr w14:paraId="003D3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61A7965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4</w:t>
                  </w:r>
                </w:p>
              </w:tc>
              <w:tc>
                <w:tcPr>
                  <w:tcW w:w="553" w:type="pct"/>
                  <w:vAlign w:val="center"/>
                </w:tcPr>
                <w:p w14:paraId="3906670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铁粉</w:t>
                  </w:r>
                </w:p>
              </w:tc>
              <w:tc>
                <w:tcPr>
                  <w:tcW w:w="627" w:type="pct"/>
                  <w:vAlign w:val="center"/>
                </w:tcPr>
                <w:p w14:paraId="6E25CB4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50kg/袋</w:t>
                  </w:r>
                </w:p>
              </w:tc>
              <w:tc>
                <w:tcPr>
                  <w:tcW w:w="361" w:type="pct"/>
                  <w:vAlign w:val="center"/>
                </w:tcPr>
                <w:p w14:paraId="3F3B734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4B71209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1000</w:t>
                  </w:r>
                  <w:r>
                    <w:rPr>
                      <w:rFonts w:hint="eastAsia" w:ascii="Times New Roman" w:hAnsi="Times New Roman" w:eastAsia="宋体" w:cs="Times New Roman"/>
                      <w:szCs w:val="21"/>
                    </w:rPr>
                    <w:t>t</w:t>
                  </w:r>
                </w:p>
              </w:tc>
              <w:tc>
                <w:tcPr>
                  <w:tcW w:w="686" w:type="pct"/>
                  <w:vAlign w:val="center"/>
                </w:tcPr>
                <w:p w14:paraId="14AF2616">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rPr>
                  </w:pPr>
                  <w:r>
                    <w:rPr>
                      <w:rFonts w:hint="eastAsia" w:ascii="Times New Roman" w:hAnsi="Times New Roman" w:eastAsia="宋体" w:cs="Times New Roman"/>
                      <w:szCs w:val="21"/>
                    </w:rPr>
                    <w:t>30t</w:t>
                  </w:r>
                </w:p>
              </w:tc>
              <w:tc>
                <w:tcPr>
                  <w:tcW w:w="556" w:type="pct"/>
                  <w:tcBorders>
                    <w:bottom w:val="single" w:color="auto" w:sz="4" w:space="0"/>
                  </w:tcBorders>
                  <w:vAlign w:val="center"/>
                </w:tcPr>
                <w:p w14:paraId="73A3742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8</w:t>
                  </w:r>
                  <w:r>
                    <w:rPr>
                      <w:rFonts w:hint="default" w:ascii="Times New Roman" w:hAnsi="Times New Roman" w:eastAsia="宋体" w:cs="Times New Roman"/>
                      <w:szCs w:val="21"/>
                    </w:rPr>
                    <w:t>d</w:t>
                  </w:r>
                </w:p>
              </w:tc>
              <w:tc>
                <w:tcPr>
                  <w:tcW w:w="556" w:type="pct"/>
                  <w:tcBorders>
                    <w:bottom w:val="single" w:color="auto" w:sz="4" w:space="0"/>
                  </w:tcBorders>
                  <w:vAlign w:val="center"/>
                </w:tcPr>
                <w:p w14:paraId="371040E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tcBorders>
                    <w:bottom w:val="single" w:color="auto" w:sz="4" w:space="0"/>
                  </w:tcBorders>
                  <w:vAlign w:val="center"/>
                </w:tcPr>
                <w:p w14:paraId="178DC8D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袋装</w:t>
                  </w:r>
                </w:p>
              </w:tc>
            </w:tr>
            <w:tr w14:paraId="0DBEC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753B00A2">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5</w:t>
                  </w:r>
                </w:p>
              </w:tc>
              <w:tc>
                <w:tcPr>
                  <w:tcW w:w="553" w:type="pct"/>
                  <w:vAlign w:val="center"/>
                </w:tcPr>
                <w:p w14:paraId="69921F5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氧气指示剂</w:t>
                  </w:r>
                </w:p>
              </w:tc>
              <w:tc>
                <w:tcPr>
                  <w:tcW w:w="627" w:type="pct"/>
                  <w:vAlign w:val="center"/>
                </w:tcPr>
                <w:p w14:paraId="4FA84B96">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25kg/袋</w:t>
                  </w:r>
                </w:p>
              </w:tc>
              <w:tc>
                <w:tcPr>
                  <w:tcW w:w="361" w:type="pct"/>
                  <w:vAlign w:val="center"/>
                </w:tcPr>
                <w:p w14:paraId="44FE5263">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50D73CD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100t</w:t>
                  </w:r>
                </w:p>
              </w:tc>
              <w:tc>
                <w:tcPr>
                  <w:tcW w:w="686" w:type="pct"/>
                  <w:vAlign w:val="center"/>
                </w:tcPr>
                <w:p w14:paraId="3D4CFD4B">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5t</w:t>
                  </w:r>
                </w:p>
              </w:tc>
              <w:tc>
                <w:tcPr>
                  <w:tcW w:w="556" w:type="pct"/>
                  <w:tcBorders>
                    <w:bottom w:val="single" w:color="auto" w:sz="4" w:space="0"/>
                  </w:tcBorders>
                  <w:vAlign w:val="center"/>
                </w:tcPr>
                <w:p w14:paraId="27A237C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15d</w:t>
                  </w:r>
                </w:p>
              </w:tc>
              <w:tc>
                <w:tcPr>
                  <w:tcW w:w="556" w:type="pct"/>
                  <w:tcBorders>
                    <w:bottom w:val="single" w:color="auto" w:sz="4" w:space="0"/>
                  </w:tcBorders>
                  <w:vAlign w:val="center"/>
                </w:tcPr>
                <w:p w14:paraId="22D23C96">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tcBorders>
                    <w:bottom w:val="single" w:color="auto" w:sz="4" w:space="0"/>
                  </w:tcBorders>
                  <w:vAlign w:val="center"/>
                </w:tcPr>
                <w:p w14:paraId="4E588DE4">
                  <w:pPr>
                    <w:keepNext w:val="0"/>
                    <w:keepLines w:val="0"/>
                    <w:suppressLineNumbers w:val="0"/>
                    <w:spacing w:before="0" w:beforeAutospacing="0" w:after="0" w:afterAutospacing="0" w:line="276" w:lineRule="auto"/>
                    <w:ind w:left="0" w:leftChars="0" w:right="0" w:rightChars="0"/>
                    <w:jc w:val="center"/>
                    <w:rPr>
                      <w:rFonts w:hint="default" w:ascii="Times New Roman" w:hAnsi="宋体" w:eastAsia="宋体" w:cs="Times New Roman"/>
                      <w:szCs w:val="21"/>
                    </w:rPr>
                  </w:pPr>
                  <w:r>
                    <w:rPr>
                      <w:rFonts w:hint="default" w:ascii="Times New Roman" w:hAnsi="宋体" w:eastAsia="宋体" w:cs="Times New Roman"/>
                      <w:szCs w:val="21"/>
                    </w:rPr>
                    <w:t>袋装</w:t>
                  </w:r>
                </w:p>
              </w:tc>
            </w:tr>
            <w:tr w14:paraId="6383A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13D0C917">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6</w:t>
                  </w:r>
                </w:p>
              </w:tc>
              <w:tc>
                <w:tcPr>
                  <w:tcW w:w="553" w:type="pct"/>
                  <w:vAlign w:val="center"/>
                </w:tcPr>
                <w:p w14:paraId="118D2A2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二氧化碳指示剂</w:t>
                  </w:r>
                </w:p>
              </w:tc>
              <w:tc>
                <w:tcPr>
                  <w:tcW w:w="627" w:type="pct"/>
                  <w:vAlign w:val="center"/>
                </w:tcPr>
                <w:p w14:paraId="46A4B8D0">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25kg/袋</w:t>
                  </w:r>
                </w:p>
              </w:tc>
              <w:tc>
                <w:tcPr>
                  <w:tcW w:w="361" w:type="pct"/>
                  <w:vAlign w:val="center"/>
                </w:tcPr>
                <w:p w14:paraId="206A7576">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5C99B50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500t</w:t>
                  </w:r>
                </w:p>
              </w:tc>
              <w:tc>
                <w:tcPr>
                  <w:tcW w:w="686" w:type="pct"/>
                  <w:vAlign w:val="center"/>
                </w:tcPr>
                <w:p w14:paraId="1494202E">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10t</w:t>
                  </w:r>
                </w:p>
              </w:tc>
              <w:tc>
                <w:tcPr>
                  <w:tcW w:w="556" w:type="pct"/>
                  <w:tcBorders>
                    <w:bottom w:val="single" w:color="auto" w:sz="4" w:space="0"/>
                  </w:tcBorders>
                  <w:vAlign w:val="center"/>
                </w:tcPr>
                <w:p w14:paraId="0C7B11C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6d</w:t>
                  </w:r>
                </w:p>
              </w:tc>
              <w:tc>
                <w:tcPr>
                  <w:tcW w:w="556" w:type="pct"/>
                  <w:tcBorders>
                    <w:bottom w:val="single" w:color="auto" w:sz="4" w:space="0"/>
                  </w:tcBorders>
                  <w:vAlign w:val="center"/>
                </w:tcPr>
                <w:p w14:paraId="42F9D553">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tcBorders>
                    <w:bottom w:val="single" w:color="auto" w:sz="4" w:space="0"/>
                  </w:tcBorders>
                  <w:vAlign w:val="center"/>
                </w:tcPr>
                <w:p w14:paraId="19945019">
                  <w:pPr>
                    <w:keepNext w:val="0"/>
                    <w:keepLines w:val="0"/>
                    <w:suppressLineNumbers w:val="0"/>
                    <w:spacing w:before="0" w:beforeAutospacing="0" w:after="0" w:afterAutospacing="0" w:line="276" w:lineRule="auto"/>
                    <w:ind w:left="0" w:leftChars="0" w:right="0" w:rightChars="0"/>
                    <w:jc w:val="center"/>
                    <w:rPr>
                      <w:rFonts w:hint="default" w:ascii="Times New Roman" w:hAnsi="宋体" w:eastAsia="宋体" w:cs="Times New Roman"/>
                      <w:szCs w:val="21"/>
                    </w:rPr>
                  </w:pPr>
                  <w:r>
                    <w:rPr>
                      <w:rFonts w:hint="default" w:ascii="Times New Roman" w:hAnsi="宋体" w:eastAsia="宋体" w:cs="Times New Roman"/>
                      <w:szCs w:val="21"/>
                    </w:rPr>
                    <w:t>袋装</w:t>
                  </w:r>
                </w:p>
              </w:tc>
            </w:tr>
            <w:tr w14:paraId="1D510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1839252D">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553" w:type="pct"/>
                  <w:vAlign w:val="center"/>
                </w:tcPr>
                <w:p w14:paraId="0A1D824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包装纸</w:t>
                  </w:r>
                </w:p>
              </w:tc>
              <w:tc>
                <w:tcPr>
                  <w:tcW w:w="627" w:type="pct"/>
                  <w:vAlign w:val="center"/>
                </w:tcPr>
                <w:p w14:paraId="232E47B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5kg/卷</w:t>
                  </w:r>
                </w:p>
              </w:tc>
              <w:tc>
                <w:tcPr>
                  <w:tcW w:w="361" w:type="pct"/>
                  <w:vAlign w:val="center"/>
                </w:tcPr>
                <w:p w14:paraId="0810345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05EE882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600</w:t>
                  </w:r>
                  <w:r>
                    <w:rPr>
                      <w:rFonts w:hint="eastAsia" w:ascii="Times New Roman" w:hAnsi="Times New Roman" w:eastAsia="宋体" w:cs="Times New Roman"/>
                      <w:szCs w:val="21"/>
                    </w:rPr>
                    <w:t>t</w:t>
                  </w:r>
                </w:p>
              </w:tc>
              <w:tc>
                <w:tcPr>
                  <w:tcW w:w="686" w:type="pct"/>
                  <w:vAlign w:val="center"/>
                </w:tcPr>
                <w:p w14:paraId="2E50EB17">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rPr>
                  </w:pPr>
                  <w:r>
                    <w:rPr>
                      <w:rFonts w:hint="eastAsia" w:ascii="Times New Roman" w:hAnsi="Times New Roman" w:eastAsia="宋体" w:cs="Times New Roman"/>
                      <w:szCs w:val="21"/>
                    </w:rPr>
                    <w:t>10t</w:t>
                  </w:r>
                </w:p>
              </w:tc>
              <w:tc>
                <w:tcPr>
                  <w:tcW w:w="556" w:type="pct"/>
                  <w:tcBorders>
                    <w:top w:val="single" w:color="auto" w:sz="4" w:space="0"/>
                    <w:bottom w:val="single" w:color="auto" w:sz="4" w:space="0"/>
                  </w:tcBorders>
                  <w:vAlign w:val="center"/>
                </w:tcPr>
                <w:p w14:paraId="025E64B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5d</w:t>
                  </w:r>
                </w:p>
              </w:tc>
              <w:tc>
                <w:tcPr>
                  <w:tcW w:w="556" w:type="pct"/>
                  <w:tcBorders>
                    <w:top w:val="single" w:color="auto" w:sz="4" w:space="0"/>
                    <w:bottom w:val="single" w:color="auto" w:sz="4" w:space="0"/>
                  </w:tcBorders>
                  <w:vAlign w:val="center"/>
                </w:tcPr>
                <w:p w14:paraId="081DE36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tcBorders>
                    <w:top w:val="single" w:color="auto" w:sz="4" w:space="0"/>
                    <w:bottom w:val="single" w:color="auto" w:sz="4" w:space="0"/>
                  </w:tcBorders>
                  <w:vAlign w:val="center"/>
                </w:tcPr>
                <w:p w14:paraId="466C35E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宋体" w:eastAsia="宋体" w:cs="Times New Roman"/>
                      <w:szCs w:val="21"/>
                    </w:rPr>
                    <w:t>箱</w:t>
                  </w:r>
                  <w:r>
                    <w:rPr>
                      <w:rFonts w:hint="default" w:ascii="Times New Roman" w:hAnsi="宋体" w:eastAsia="宋体" w:cs="Times New Roman"/>
                      <w:szCs w:val="21"/>
                    </w:rPr>
                    <w:t>装</w:t>
                  </w:r>
                </w:p>
              </w:tc>
            </w:tr>
            <w:tr w14:paraId="0623F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2C4E4E0C">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553" w:type="pct"/>
                  <w:vAlign w:val="center"/>
                </w:tcPr>
                <w:p w14:paraId="0060C6F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聚乙烯瓶</w:t>
                  </w:r>
                </w:p>
              </w:tc>
              <w:tc>
                <w:tcPr>
                  <w:tcW w:w="627" w:type="pct"/>
                  <w:vAlign w:val="center"/>
                </w:tcPr>
                <w:p w14:paraId="2FD87E5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1000瓶/包</w:t>
                  </w:r>
                </w:p>
              </w:tc>
              <w:tc>
                <w:tcPr>
                  <w:tcW w:w="361" w:type="pct"/>
                  <w:vAlign w:val="center"/>
                </w:tcPr>
                <w:p w14:paraId="2BBA0D5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685A480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300</w:t>
                  </w:r>
                  <w:r>
                    <w:rPr>
                      <w:rFonts w:hint="eastAsia" w:ascii="Times New Roman" w:hAnsi="Times New Roman" w:eastAsia="宋体" w:cs="Times New Roman"/>
                      <w:szCs w:val="21"/>
                    </w:rPr>
                    <w:t>t</w:t>
                  </w:r>
                </w:p>
              </w:tc>
              <w:tc>
                <w:tcPr>
                  <w:tcW w:w="686" w:type="pct"/>
                  <w:vAlign w:val="center"/>
                </w:tcPr>
                <w:p w14:paraId="3B4F4ED4">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rPr>
                  </w:pPr>
                  <w:r>
                    <w:rPr>
                      <w:rFonts w:hint="eastAsia" w:ascii="Times New Roman" w:hAnsi="Times New Roman" w:eastAsia="宋体" w:cs="Times New Roman"/>
                      <w:szCs w:val="21"/>
                    </w:rPr>
                    <w:t>5t</w:t>
                  </w:r>
                </w:p>
              </w:tc>
              <w:tc>
                <w:tcPr>
                  <w:tcW w:w="556" w:type="pct"/>
                  <w:tcBorders>
                    <w:top w:val="single" w:color="auto" w:sz="4" w:space="0"/>
                    <w:bottom w:val="single" w:color="auto" w:sz="4" w:space="0"/>
                  </w:tcBorders>
                  <w:vAlign w:val="center"/>
                </w:tcPr>
                <w:p w14:paraId="2E51B94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5d</w:t>
                  </w:r>
                </w:p>
              </w:tc>
              <w:tc>
                <w:tcPr>
                  <w:tcW w:w="556" w:type="pct"/>
                  <w:tcBorders>
                    <w:top w:val="single" w:color="auto" w:sz="4" w:space="0"/>
                    <w:bottom w:val="single" w:color="auto" w:sz="4" w:space="0"/>
                  </w:tcBorders>
                  <w:vAlign w:val="center"/>
                </w:tcPr>
                <w:p w14:paraId="46141BC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tcBorders>
                    <w:top w:val="single" w:color="auto" w:sz="4" w:space="0"/>
                    <w:bottom w:val="single" w:color="auto" w:sz="4" w:space="0"/>
                  </w:tcBorders>
                  <w:vAlign w:val="center"/>
                </w:tcPr>
                <w:p w14:paraId="4B98830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宋体" w:eastAsia="宋体" w:cs="Times New Roman"/>
                      <w:szCs w:val="21"/>
                    </w:rPr>
                    <w:t>箱</w:t>
                  </w:r>
                  <w:r>
                    <w:rPr>
                      <w:rFonts w:hint="default" w:ascii="Times New Roman" w:hAnsi="宋体" w:eastAsia="宋体" w:cs="Times New Roman"/>
                      <w:szCs w:val="21"/>
                    </w:rPr>
                    <w:t>装</w:t>
                  </w:r>
                </w:p>
              </w:tc>
            </w:tr>
            <w:tr w14:paraId="510C5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6C71F7DD">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eastAsia" w:ascii="Times New Roman" w:hAnsi="Times New Roman" w:eastAsia="宋体" w:cs="Times New Roman"/>
                      <w:szCs w:val="21"/>
                    </w:rPr>
                    <w:t>9</w:t>
                  </w:r>
                </w:p>
              </w:tc>
              <w:tc>
                <w:tcPr>
                  <w:tcW w:w="553" w:type="pct"/>
                  <w:vAlign w:val="center"/>
                </w:tcPr>
                <w:p w14:paraId="1DFB3B5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聚乙烯袋</w:t>
                  </w:r>
                </w:p>
              </w:tc>
              <w:tc>
                <w:tcPr>
                  <w:tcW w:w="627" w:type="pct"/>
                  <w:vAlign w:val="center"/>
                </w:tcPr>
                <w:p w14:paraId="013B436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10kg/箱</w:t>
                  </w:r>
                </w:p>
              </w:tc>
              <w:tc>
                <w:tcPr>
                  <w:tcW w:w="361" w:type="pct"/>
                  <w:vAlign w:val="center"/>
                </w:tcPr>
                <w:p w14:paraId="08C1637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6CBA514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r>
                    <w:rPr>
                      <w:rFonts w:hint="eastAsia" w:ascii="Times New Roman" w:hAnsi="Times New Roman" w:eastAsia="宋体" w:cs="Times New Roman"/>
                      <w:szCs w:val="21"/>
                    </w:rPr>
                    <w:t>t</w:t>
                  </w:r>
                </w:p>
              </w:tc>
              <w:tc>
                <w:tcPr>
                  <w:tcW w:w="686" w:type="pct"/>
                  <w:vAlign w:val="center"/>
                </w:tcPr>
                <w:p w14:paraId="74B01F69">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rPr>
                  </w:pPr>
                  <w:r>
                    <w:rPr>
                      <w:rFonts w:hint="eastAsia" w:ascii="Times New Roman" w:hAnsi="Times New Roman" w:eastAsia="宋体" w:cs="Times New Roman"/>
                      <w:szCs w:val="21"/>
                    </w:rPr>
                    <w:t>2t</w:t>
                  </w:r>
                </w:p>
              </w:tc>
              <w:tc>
                <w:tcPr>
                  <w:tcW w:w="556" w:type="pct"/>
                  <w:tcBorders>
                    <w:top w:val="single" w:color="auto" w:sz="4" w:space="0"/>
                  </w:tcBorders>
                  <w:vAlign w:val="center"/>
                </w:tcPr>
                <w:p w14:paraId="5CA848D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6d</w:t>
                  </w:r>
                </w:p>
              </w:tc>
              <w:tc>
                <w:tcPr>
                  <w:tcW w:w="556" w:type="pct"/>
                  <w:tcBorders>
                    <w:top w:val="single" w:color="auto" w:sz="4" w:space="0"/>
                  </w:tcBorders>
                  <w:vAlign w:val="center"/>
                </w:tcPr>
                <w:p w14:paraId="120D0D3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tcBorders>
                    <w:top w:val="single" w:color="auto" w:sz="4" w:space="0"/>
                  </w:tcBorders>
                  <w:vAlign w:val="center"/>
                </w:tcPr>
                <w:p w14:paraId="008CB04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宋体" w:eastAsia="宋体" w:cs="Times New Roman"/>
                      <w:szCs w:val="21"/>
                    </w:rPr>
                    <w:t>箱</w:t>
                  </w:r>
                  <w:r>
                    <w:rPr>
                      <w:rFonts w:hint="default" w:ascii="Times New Roman" w:hAnsi="宋体" w:eastAsia="宋体" w:cs="Times New Roman"/>
                      <w:szCs w:val="21"/>
                    </w:rPr>
                    <w:t>装</w:t>
                  </w:r>
                </w:p>
              </w:tc>
            </w:tr>
            <w:tr w14:paraId="1FB20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763F123B">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c>
                <w:tcPr>
                  <w:tcW w:w="553" w:type="pct"/>
                  <w:vAlign w:val="center"/>
                </w:tcPr>
                <w:p w14:paraId="0752636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胰酪大豆胨琼脂培养基</w:t>
                  </w:r>
                </w:p>
              </w:tc>
              <w:tc>
                <w:tcPr>
                  <w:tcW w:w="627" w:type="pct"/>
                  <w:vAlign w:val="center"/>
                </w:tcPr>
                <w:p w14:paraId="34358D5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12g/袋</w:t>
                  </w:r>
                </w:p>
              </w:tc>
              <w:tc>
                <w:tcPr>
                  <w:tcW w:w="361" w:type="pct"/>
                  <w:vAlign w:val="center"/>
                </w:tcPr>
                <w:p w14:paraId="269C58D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7EC257B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0.005t</w:t>
                  </w:r>
                </w:p>
              </w:tc>
              <w:tc>
                <w:tcPr>
                  <w:tcW w:w="686" w:type="pct"/>
                  <w:vAlign w:val="center"/>
                </w:tcPr>
                <w:p w14:paraId="11E5C3C4">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rPr>
                  </w:pPr>
                  <w:r>
                    <w:rPr>
                      <w:rFonts w:hint="eastAsia" w:ascii="Times New Roman" w:hAnsi="Times New Roman" w:eastAsia="宋体" w:cs="Times New Roman"/>
                      <w:szCs w:val="21"/>
                    </w:rPr>
                    <w:t>0.001t</w:t>
                  </w:r>
                </w:p>
              </w:tc>
              <w:tc>
                <w:tcPr>
                  <w:tcW w:w="556" w:type="pct"/>
                  <w:vAlign w:val="center"/>
                </w:tcPr>
                <w:p w14:paraId="081A737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60d</w:t>
                  </w:r>
                </w:p>
              </w:tc>
              <w:tc>
                <w:tcPr>
                  <w:tcW w:w="556" w:type="pct"/>
                  <w:vAlign w:val="center"/>
                </w:tcPr>
                <w:p w14:paraId="520ABE1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试剂室</w:t>
                  </w:r>
                </w:p>
              </w:tc>
              <w:tc>
                <w:tcPr>
                  <w:tcW w:w="556" w:type="pct"/>
                  <w:vAlign w:val="center"/>
                </w:tcPr>
                <w:p w14:paraId="1D287C70">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袋装</w:t>
                  </w:r>
                </w:p>
              </w:tc>
            </w:tr>
            <w:tr w14:paraId="19FCC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shd w:val="clear" w:color="auto" w:fill="auto"/>
                  <w:vAlign w:val="center"/>
                </w:tcPr>
                <w:p w14:paraId="745D4B22">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11</w:t>
                  </w:r>
                </w:p>
              </w:tc>
              <w:tc>
                <w:tcPr>
                  <w:tcW w:w="553" w:type="pct"/>
                  <w:vAlign w:val="center"/>
                </w:tcPr>
                <w:p w14:paraId="56F7607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沙氏葡萄糖琼脂培养基</w:t>
                  </w:r>
                </w:p>
              </w:tc>
              <w:tc>
                <w:tcPr>
                  <w:tcW w:w="627" w:type="pct"/>
                  <w:vAlign w:val="center"/>
                </w:tcPr>
                <w:p w14:paraId="633C17F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13g/袋</w:t>
                  </w:r>
                </w:p>
              </w:tc>
              <w:tc>
                <w:tcPr>
                  <w:tcW w:w="361" w:type="pct"/>
                  <w:vAlign w:val="center"/>
                </w:tcPr>
                <w:p w14:paraId="75B68BD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0711B4A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0.005t</w:t>
                  </w:r>
                </w:p>
              </w:tc>
              <w:tc>
                <w:tcPr>
                  <w:tcW w:w="686" w:type="pct"/>
                  <w:vAlign w:val="center"/>
                </w:tcPr>
                <w:p w14:paraId="534B65E9">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rPr>
                  </w:pPr>
                  <w:r>
                    <w:rPr>
                      <w:rFonts w:hint="eastAsia" w:ascii="Times New Roman" w:hAnsi="Times New Roman" w:eastAsia="宋体" w:cs="Times New Roman"/>
                      <w:szCs w:val="21"/>
                    </w:rPr>
                    <w:t>0.001t</w:t>
                  </w:r>
                </w:p>
              </w:tc>
              <w:tc>
                <w:tcPr>
                  <w:tcW w:w="556" w:type="pct"/>
                  <w:vAlign w:val="center"/>
                </w:tcPr>
                <w:p w14:paraId="2BD5D9A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60d</w:t>
                  </w:r>
                </w:p>
              </w:tc>
              <w:tc>
                <w:tcPr>
                  <w:tcW w:w="556" w:type="pct"/>
                  <w:vAlign w:val="center"/>
                </w:tcPr>
                <w:p w14:paraId="6F062F1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试剂室</w:t>
                  </w:r>
                </w:p>
              </w:tc>
              <w:tc>
                <w:tcPr>
                  <w:tcW w:w="556" w:type="pct"/>
                  <w:vAlign w:val="center"/>
                </w:tcPr>
                <w:p w14:paraId="4FF94064">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袋装</w:t>
                  </w:r>
                </w:p>
              </w:tc>
            </w:tr>
            <w:tr w14:paraId="5F0EB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shd w:val="clear" w:color="auto" w:fill="auto"/>
                  <w:vAlign w:val="center"/>
                </w:tcPr>
                <w:p w14:paraId="7B0F3B3F">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12</w:t>
                  </w:r>
                </w:p>
              </w:tc>
              <w:tc>
                <w:tcPr>
                  <w:tcW w:w="553" w:type="pct"/>
                  <w:vAlign w:val="center"/>
                </w:tcPr>
                <w:p w14:paraId="7C6965F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胰酪大豆胨液体培养基</w:t>
                  </w:r>
                </w:p>
              </w:tc>
              <w:tc>
                <w:tcPr>
                  <w:tcW w:w="627" w:type="pct"/>
                  <w:vAlign w:val="center"/>
                </w:tcPr>
                <w:p w14:paraId="53F8563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500ml/瓶</w:t>
                  </w:r>
                </w:p>
              </w:tc>
              <w:tc>
                <w:tcPr>
                  <w:tcW w:w="361" w:type="pct"/>
                  <w:vAlign w:val="center"/>
                </w:tcPr>
                <w:p w14:paraId="0F973CE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液体</w:t>
                  </w:r>
                </w:p>
              </w:tc>
              <w:tc>
                <w:tcPr>
                  <w:tcW w:w="810" w:type="pct"/>
                  <w:vAlign w:val="center"/>
                </w:tcPr>
                <w:p w14:paraId="1FC7214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0.005t</w:t>
                  </w:r>
                </w:p>
              </w:tc>
              <w:tc>
                <w:tcPr>
                  <w:tcW w:w="686" w:type="pct"/>
                  <w:vAlign w:val="center"/>
                </w:tcPr>
                <w:p w14:paraId="4FE26076">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rPr>
                  </w:pPr>
                  <w:r>
                    <w:rPr>
                      <w:rFonts w:hint="eastAsia" w:ascii="Times New Roman" w:hAnsi="Times New Roman" w:eastAsia="宋体" w:cs="Times New Roman"/>
                      <w:szCs w:val="21"/>
                    </w:rPr>
                    <w:t>0.001t</w:t>
                  </w:r>
                </w:p>
              </w:tc>
              <w:tc>
                <w:tcPr>
                  <w:tcW w:w="556" w:type="pct"/>
                  <w:vAlign w:val="center"/>
                </w:tcPr>
                <w:p w14:paraId="5221BE9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60d</w:t>
                  </w:r>
                </w:p>
              </w:tc>
              <w:tc>
                <w:tcPr>
                  <w:tcW w:w="556" w:type="pct"/>
                  <w:vAlign w:val="center"/>
                </w:tcPr>
                <w:p w14:paraId="15A8005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试剂室</w:t>
                  </w:r>
                </w:p>
              </w:tc>
              <w:tc>
                <w:tcPr>
                  <w:tcW w:w="556" w:type="pct"/>
                  <w:vAlign w:val="center"/>
                </w:tcPr>
                <w:p w14:paraId="120C4E5D">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瓶装</w:t>
                  </w:r>
                </w:p>
              </w:tc>
            </w:tr>
            <w:tr w14:paraId="596A3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shd w:val="clear" w:color="auto" w:fill="auto"/>
                  <w:vAlign w:val="center"/>
                </w:tcPr>
                <w:p w14:paraId="45C2E8F8">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13</w:t>
                  </w:r>
                </w:p>
              </w:tc>
              <w:tc>
                <w:tcPr>
                  <w:tcW w:w="553" w:type="pct"/>
                  <w:vAlign w:val="center"/>
                </w:tcPr>
                <w:p w14:paraId="40E0D74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麦康凯液体培养基</w:t>
                  </w:r>
                </w:p>
              </w:tc>
              <w:tc>
                <w:tcPr>
                  <w:tcW w:w="627" w:type="pct"/>
                  <w:vAlign w:val="center"/>
                </w:tcPr>
                <w:p w14:paraId="6174330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250g/瓶</w:t>
                  </w:r>
                </w:p>
              </w:tc>
              <w:tc>
                <w:tcPr>
                  <w:tcW w:w="361" w:type="pct"/>
                  <w:vAlign w:val="center"/>
                </w:tcPr>
                <w:p w14:paraId="7A5C2B9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3068F67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0.005t</w:t>
                  </w:r>
                </w:p>
              </w:tc>
              <w:tc>
                <w:tcPr>
                  <w:tcW w:w="686" w:type="pct"/>
                  <w:vAlign w:val="center"/>
                </w:tcPr>
                <w:p w14:paraId="25519BE3">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rPr>
                  </w:pPr>
                  <w:r>
                    <w:rPr>
                      <w:rFonts w:hint="eastAsia" w:ascii="Times New Roman" w:hAnsi="Times New Roman" w:eastAsia="宋体" w:cs="Times New Roman"/>
                      <w:szCs w:val="21"/>
                    </w:rPr>
                    <w:t>0.001t</w:t>
                  </w:r>
                </w:p>
              </w:tc>
              <w:tc>
                <w:tcPr>
                  <w:tcW w:w="556" w:type="pct"/>
                  <w:vAlign w:val="center"/>
                </w:tcPr>
                <w:p w14:paraId="6BB7ABD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60d</w:t>
                  </w:r>
                </w:p>
              </w:tc>
              <w:tc>
                <w:tcPr>
                  <w:tcW w:w="556" w:type="pct"/>
                  <w:vAlign w:val="center"/>
                </w:tcPr>
                <w:p w14:paraId="03E36B4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试剂室</w:t>
                  </w:r>
                </w:p>
              </w:tc>
              <w:tc>
                <w:tcPr>
                  <w:tcW w:w="556" w:type="pct"/>
                  <w:vAlign w:val="center"/>
                </w:tcPr>
                <w:p w14:paraId="1465526A">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瓶装</w:t>
                  </w:r>
                </w:p>
              </w:tc>
            </w:tr>
            <w:tr w14:paraId="6AB85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shd w:val="clear" w:color="auto" w:fill="auto"/>
                  <w:vAlign w:val="center"/>
                </w:tcPr>
                <w:p w14:paraId="53B52E8B">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14</w:t>
                  </w:r>
                </w:p>
              </w:tc>
              <w:tc>
                <w:tcPr>
                  <w:tcW w:w="553" w:type="pct"/>
                  <w:vAlign w:val="center"/>
                </w:tcPr>
                <w:p w14:paraId="65DE6BD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 xml:space="preserve">麦康凯琼脂培养基        </w:t>
                  </w:r>
                </w:p>
              </w:tc>
              <w:tc>
                <w:tcPr>
                  <w:tcW w:w="627" w:type="pct"/>
                  <w:vAlign w:val="center"/>
                </w:tcPr>
                <w:p w14:paraId="2BAE80B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50g/瓶</w:t>
                  </w:r>
                </w:p>
              </w:tc>
              <w:tc>
                <w:tcPr>
                  <w:tcW w:w="361" w:type="pct"/>
                  <w:vAlign w:val="center"/>
                </w:tcPr>
                <w:p w14:paraId="03B7D65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78A3894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0.005t</w:t>
                  </w:r>
                </w:p>
              </w:tc>
              <w:tc>
                <w:tcPr>
                  <w:tcW w:w="686" w:type="pct"/>
                  <w:vAlign w:val="center"/>
                </w:tcPr>
                <w:p w14:paraId="7085EC20">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rPr>
                  </w:pPr>
                  <w:r>
                    <w:rPr>
                      <w:rFonts w:hint="eastAsia" w:ascii="Times New Roman" w:hAnsi="Times New Roman" w:eastAsia="宋体" w:cs="Times New Roman"/>
                      <w:szCs w:val="21"/>
                    </w:rPr>
                    <w:t>0.001t</w:t>
                  </w:r>
                </w:p>
              </w:tc>
              <w:tc>
                <w:tcPr>
                  <w:tcW w:w="556" w:type="pct"/>
                  <w:vAlign w:val="center"/>
                </w:tcPr>
                <w:p w14:paraId="471FF70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60d</w:t>
                  </w:r>
                </w:p>
              </w:tc>
              <w:tc>
                <w:tcPr>
                  <w:tcW w:w="556" w:type="pct"/>
                  <w:vAlign w:val="center"/>
                </w:tcPr>
                <w:p w14:paraId="53B0016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试剂室</w:t>
                  </w:r>
                </w:p>
              </w:tc>
              <w:tc>
                <w:tcPr>
                  <w:tcW w:w="556" w:type="pct"/>
                  <w:vAlign w:val="center"/>
                </w:tcPr>
                <w:p w14:paraId="15754A18">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瓶装</w:t>
                  </w:r>
                </w:p>
              </w:tc>
            </w:tr>
            <w:tr w14:paraId="75878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90" w:type="pct"/>
                  <w:shd w:val="clear" w:color="auto" w:fill="auto"/>
                  <w:vAlign w:val="center"/>
                </w:tcPr>
                <w:p w14:paraId="716DB210">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15</w:t>
                  </w:r>
                </w:p>
              </w:tc>
              <w:tc>
                <w:tcPr>
                  <w:tcW w:w="553" w:type="pct"/>
                  <w:vAlign w:val="center"/>
                </w:tcPr>
                <w:p w14:paraId="3136E5D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p</w:t>
                  </w:r>
                  <w:r>
                    <w:rPr>
                      <w:rFonts w:hint="eastAsia" w:ascii="Times New Roman" w:hAnsi="Times New Roman" w:eastAsia="宋体" w:cs="Times New Roman"/>
                      <w:szCs w:val="21"/>
                    </w:rPr>
                    <w:t>H-7氯化钠蛋白胨缓冲液（干粉）</w:t>
                  </w:r>
                </w:p>
              </w:tc>
              <w:tc>
                <w:tcPr>
                  <w:tcW w:w="627" w:type="pct"/>
                  <w:vAlign w:val="center"/>
                </w:tcPr>
                <w:p w14:paraId="6C1D277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500g/瓶</w:t>
                  </w:r>
                </w:p>
              </w:tc>
              <w:tc>
                <w:tcPr>
                  <w:tcW w:w="361" w:type="pct"/>
                  <w:vAlign w:val="center"/>
                </w:tcPr>
                <w:p w14:paraId="2EC60DC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w:t>
                  </w:r>
                </w:p>
              </w:tc>
              <w:tc>
                <w:tcPr>
                  <w:tcW w:w="810" w:type="pct"/>
                  <w:vAlign w:val="center"/>
                </w:tcPr>
                <w:p w14:paraId="02FCB59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0.005t</w:t>
                  </w:r>
                </w:p>
              </w:tc>
              <w:tc>
                <w:tcPr>
                  <w:tcW w:w="686" w:type="pct"/>
                  <w:vAlign w:val="center"/>
                </w:tcPr>
                <w:p w14:paraId="74C46BBF">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rPr>
                  </w:pPr>
                  <w:r>
                    <w:rPr>
                      <w:rFonts w:hint="eastAsia" w:ascii="Times New Roman" w:hAnsi="Times New Roman" w:eastAsia="宋体" w:cs="Times New Roman"/>
                      <w:szCs w:val="21"/>
                    </w:rPr>
                    <w:t>0.001t</w:t>
                  </w:r>
                </w:p>
              </w:tc>
              <w:tc>
                <w:tcPr>
                  <w:tcW w:w="556" w:type="pct"/>
                  <w:vAlign w:val="center"/>
                </w:tcPr>
                <w:p w14:paraId="3DFC9CF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60d</w:t>
                  </w:r>
                </w:p>
              </w:tc>
              <w:tc>
                <w:tcPr>
                  <w:tcW w:w="556" w:type="pct"/>
                  <w:vAlign w:val="center"/>
                </w:tcPr>
                <w:p w14:paraId="31EAE4F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试剂室</w:t>
                  </w:r>
                </w:p>
              </w:tc>
              <w:tc>
                <w:tcPr>
                  <w:tcW w:w="556" w:type="pct"/>
                  <w:vAlign w:val="center"/>
                </w:tcPr>
                <w:p w14:paraId="0EEBA1EB">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瓶装</w:t>
                  </w:r>
                </w:p>
              </w:tc>
            </w:tr>
            <w:tr w14:paraId="63CE7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shd w:val="clear" w:color="auto" w:fill="auto"/>
                  <w:vAlign w:val="center"/>
                </w:tcPr>
                <w:p w14:paraId="47EF87E9">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16</w:t>
                  </w:r>
                </w:p>
              </w:tc>
              <w:tc>
                <w:tcPr>
                  <w:tcW w:w="553" w:type="pct"/>
                  <w:vAlign w:val="center"/>
                </w:tcPr>
                <w:p w14:paraId="1E0ED90A">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培养皿</w:t>
                  </w:r>
                </w:p>
              </w:tc>
              <w:tc>
                <w:tcPr>
                  <w:tcW w:w="627" w:type="pct"/>
                  <w:vAlign w:val="center"/>
                </w:tcPr>
                <w:p w14:paraId="164050A3">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100个/盒</w:t>
                  </w:r>
                </w:p>
              </w:tc>
              <w:tc>
                <w:tcPr>
                  <w:tcW w:w="361" w:type="pct"/>
                  <w:vAlign w:val="center"/>
                </w:tcPr>
                <w:p w14:paraId="4FF8F409">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固体</w:t>
                  </w:r>
                </w:p>
              </w:tc>
              <w:tc>
                <w:tcPr>
                  <w:tcW w:w="810" w:type="pct"/>
                  <w:vAlign w:val="center"/>
                </w:tcPr>
                <w:p w14:paraId="310371A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2000个</w:t>
                  </w:r>
                </w:p>
              </w:tc>
              <w:tc>
                <w:tcPr>
                  <w:tcW w:w="686" w:type="pct"/>
                  <w:vAlign w:val="center"/>
                </w:tcPr>
                <w:p w14:paraId="512C24EA">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100个</w:t>
                  </w:r>
                </w:p>
              </w:tc>
              <w:tc>
                <w:tcPr>
                  <w:tcW w:w="556" w:type="pct"/>
                  <w:vAlign w:val="center"/>
                </w:tcPr>
                <w:p w14:paraId="7ACBB71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15d</w:t>
                  </w:r>
                </w:p>
              </w:tc>
              <w:tc>
                <w:tcPr>
                  <w:tcW w:w="556" w:type="pct"/>
                  <w:vAlign w:val="center"/>
                </w:tcPr>
                <w:p w14:paraId="3453F43D">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原料仓库</w:t>
                  </w:r>
                </w:p>
              </w:tc>
              <w:tc>
                <w:tcPr>
                  <w:tcW w:w="556" w:type="pct"/>
                  <w:vAlign w:val="center"/>
                </w:tcPr>
                <w:p w14:paraId="0B6D391F">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盒装</w:t>
                  </w:r>
                </w:p>
              </w:tc>
            </w:tr>
            <w:tr w14:paraId="78A9E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shd w:val="clear" w:color="auto" w:fill="auto"/>
                  <w:vAlign w:val="center"/>
                </w:tcPr>
                <w:p w14:paraId="4BD2ADA6">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17</w:t>
                  </w:r>
                </w:p>
              </w:tc>
              <w:tc>
                <w:tcPr>
                  <w:tcW w:w="553" w:type="pct"/>
                  <w:vAlign w:val="center"/>
                </w:tcPr>
                <w:p w14:paraId="07EBD65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酒精</w:t>
                  </w:r>
                </w:p>
              </w:tc>
              <w:tc>
                <w:tcPr>
                  <w:tcW w:w="627" w:type="pct"/>
                  <w:vAlign w:val="center"/>
                </w:tcPr>
                <w:p w14:paraId="5A09268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20kg/桶</w:t>
                  </w:r>
                </w:p>
              </w:tc>
              <w:tc>
                <w:tcPr>
                  <w:tcW w:w="361" w:type="pct"/>
                  <w:vAlign w:val="center"/>
                </w:tcPr>
                <w:p w14:paraId="31878BC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液体</w:t>
                  </w:r>
                </w:p>
              </w:tc>
              <w:tc>
                <w:tcPr>
                  <w:tcW w:w="810" w:type="pct"/>
                  <w:vAlign w:val="center"/>
                </w:tcPr>
                <w:p w14:paraId="6BD3658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0.5</w:t>
                  </w:r>
                  <w:r>
                    <w:rPr>
                      <w:rFonts w:hint="eastAsia" w:ascii="Times New Roman" w:hAnsi="Times New Roman" w:eastAsia="宋体" w:cs="Times New Roman"/>
                      <w:szCs w:val="21"/>
                    </w:rPr>
                    <w:t>t</w:t>
                  </w:r>
                </w:p>
              </w:tc>
              <w:tc>
                <w:tcPr>
                  <w:tcW w:w="686" w:type="pct"/>
                  <w:vAlign w:val="center"/>
                </w:tcPr>
                <w:p w14:paraId="20E0E801">
                  <w:pPr>
                    <w:keepNext w:val="0"/>
                    <w:keepLines w:val="0"/>
                    <w:suppressLineNumbers w:val="0"/>
                    <w:spacing w:before="100" w:beforeAutospacing="1" w:after="100" w:afterAutospacing="1" w:line="276" w:lineRule="auto"/>
                    <w:ind w:left="0" w:right="0"/>
                    <w:jc w:val="center"/>
                    <w:outlineLvl w:val="0"/>
                    <w:rPr>
                      <w:rFonts w:hint="default" w:ascii="Times New Roman" w:hAnsi="Times New Roman" w:eastAsia="宋体" w:cs="Times New Roman"/>
                      <w:szCs w:val="21"/>
                    </w:rPr>
                  </w:pPr>
                  <w:r>
                    <w:rPr>
                      <w:rFonts w:hint="eastAsia" w:ascii="Times New Roman" w:hAnsi="Times New Roman" w:eastAsia="宋体" w:cs="Times New Roman"/>
                      <w:szCs w:val="21"/>
                    </w:rPr>
                    <w:t>0.1t</w:t>
                  </w:r>
                </w:p>
              </w:tc>
              <w:tc>
                <w:tcPr>
                  <w:tcW w:w="556" w:type="pct"/>
                  <w:vAlign w:val="center"/>
                </w:tcPr>
                <w:p w14:paraId="17796F1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60</w:t>
                  </w:r>
                  <w:r>
                    <w:rPr>
                      <w:rFonts w:hint="eastAsia" w:ascii="Times New Roman" w:hAnsi="Times New Roman" w:eastAsia="宋体" w:cs="Times New Roman"/>
                      <w:szCs w:val="21"/>
                    </w:rPr>
                    <w:t>d</w:t>
                  </w:r>
                </w:p>
              </w:tc>
              <w:tc>
                <w:tcPr>
                  <w:tcW w:w="556" w:type="pct"/>
                  <w:vAlign w:val="center"/>
                </w:tcPr>
                <w:p w14:paraId="1909425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vAlign w:val="center"/>
                </w:tcPr>
                <w:p w14:paraId="78541043">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桶装</w:t>
                  </w:r>
                </w:p>
              </w:tc>
            </w:tr>
            <w:tr w14:paraId="58E61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shd w:val="clear" w:color="auto" w:fill="auto"/>
                  <w:vAlign w:val="center"/>
                </w:tcPr>
                <w:p w14:paraId="6366E3EA">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18</w:t>
                  </w:r>
                </w:p>
              </w:tc>
              <w:tc>
                <w:tcPr>
                  <w:tcW w:w="553" w:type="pct"/>
                  <w:vAlign w:val="center"/>
                </w:tcPr>
                <w:p w14:paraId="15D1B795">
                  <w:pPr>
                    <w:keepNext w:val="0"/>
                    <w:keepLines w:val="0"/>
                    <w:suppressLineNumbers w:val="0"/>
                    <w:spacing w:before="0" w:beforeAutospacing="0" w:after="0" w:afterAutospacing="0" w:line="276" w:lineRule="auto"/>
                    <w:ind w:left="0" w:right="0"/>
                    <w:jc w:val="center"/>
                    <w:rPr>
                      <w:rFonts w:hint="default" w:ascii="Times New Roman" w:hAnsi="Times New Roman"/>
                      <w:szCs w:val="21"/>
                    </w:rPr>
                  </w:pPr>
                  <w:r>
                    <w:rPr>
                      <w:rFonts w:hint="default" w:ascii="Times New Roman" w:hAnsi="宋体"/>
                      <w:szCs w:val="21"/>
                    </w:rPr>
                    <w:t>工业无尘布</w:t>
                  </w:r>
                </w:p>
              </w:tc>
              <w:tc>
                <w:tcPr>
                  <w:tcW w:w="627" w:type="pct"/>
                  <w:vAlign w:val="center"/>
                </w:tcPr>
                <w:p w14:paraId="0C0FCD7F">
                  <w:pPr>
                    <w:keepNext w:val="0"/>
                    <w:keepLines w:val="0"/>
                    <w:suppressLineNumbers w:val="0"/>
                    <w:spacing w:before="0" w:beforeAutospacing="0" w:after="0" w:afterAutospacing="0" w:line="276" w:lineRule="auto"/>
                    <w:ind w:left="0" w:right="0"/>
                    <w:jc w:val="center"/>
                    <w:rPr>
                      <w:rFonts w:hint="default" w:ascii="Times New Roman" w:hAnsi="Times New Roman"/>
                      <w:szCs w:val="21"/>
                    </w:rPr>
                  </w:pPr>
                  <w:r>
                    <w:rPr>
                      <w:rFonts w:hint="eastAsia" w:ascii="Times New Roman" w:hAnsi="Times New Roman"/>
                      <w:szCs w:val="21"/>
                    </w:rPr>
                    <w:t>50m</w:t>
                  </w:r>
                  <w:r>
                    <w:rPr>
                      <w:rFonts w:hint="eastAsia" w:ascii="Times New Roman" w:hAnsi="Times New Roman"/>
                      <w:szCs w:val="21"/>
                      <w:vertAlign w:val="superscript"/>
                    </w:rPr>
                    <w:t>2</w:t>
                  </w:r>
                  <w:r>
                    <w:rPr>
                      <w:rFonts w:hint="eastAsia" w:ascii="Times New Roman" w:hAnsi="Times New Roman"/>
                      <w:szCs w:val="21"/>
                    </w:rPr>
                    <w:t>/袋</w:t>
                  </w:r>
                </w:p>
              </w:tc>
              <w:tc>
                <w:tcPr>
                  <w:tcW w:w="361" w:type="pct"/>
                  <w:vAlign w:val="center"/>
                </w:tcPr>
                <w:p w14:paraId="65AFB5AB">
                  <w:pPr>
                    <w:keepNext w:val="0"/>
                    <w:keepLines w:val="0"/>
                    <w:suppressLineNumbers w:val="0"/>
                    <w:spacing w:before="0" w:beforeAutospacing="0" w:after="0" w:afterAutospacing="0" w:line="276" w:lineRule="auto"/>
                    <w:ind w:left="0" w:right="0"/>
                    <w:jc w:val="center"/>
                    <w:rPr>
                      <w:rFonts w:hint="default" w:ascii="Times New Roman" w:hAnsi="Times New Roman"/>
                      <w:szCs w:val="21"/>
                    </w:rPr>
                  </w:pPr>
                  <w:r>
                    <w:rPr>
                      <w:rFonts w:hint="default" w:ascii="Times New Roman" w:hAnsi="Times New Roman"/>
                      <w:szCs w:val="21"/>
                    </w:rPr>
                    <w:t>固体</w:t>
                  </w:r>
                </w:p>
              </w:tc>
              <w:tc>
                <w:tcPr>
                  <w:tcW w:w="810" w:type="pct"/>
                  <w:vAlign w:val="center"/>
                </w:tcPr>
                <w:p w14:paraId="05F34342">
                  <w:pPr>
                    <w:keepNext w:val="0"/>
                    <w:keepLines w:val="0"/>
                    <w:suppressLineNumbers w:val="0"/>
                    <w:spacing w:before="0" w:beforeAutospacing="0" w:after="0" w:afterAutospacing="0" w:line="276" w:lineRule="auto"/>
                    <w:ind w:left="0" w:right="0"/>
                    <w:jc w:val="center"/>
                    <w:rPr>
                      <w:rFonts w:hint="default" w:ascii="Times New Roman" w:hAnsi="Times New Roman"/>
                      <w:szCs w:val="21"/>
                    </w:rPr>
                  </w:pPr>
                  <w:r>
                    <w:rPr>
                      <w:rFonts w:hint="default" w:ascii="Times New Roman" w:hAnsi="Times New Roman"/>
                      <w:szCs w:val="21"/>
                    </w:rPr>
                    <w:t>500m</w:t>
                  </w:r>
                  <w:r>
                    <w:rPr>
                      <w:rFonts w:hint="default" w:ascii="Times New Roman" w:hAnsi="Times New Roman"/>
                      <w:szCs w:val="21"/>
                      <w:vertAlign w:val="superscript"/>
                    </w:rPr>
                    <w:t>2</w:t>
                  </w:r>
                  <w:r>
                    <w:rPr>
                      <w:rFonts w:hint="default" w:ascii="Times New Roman" w:hAnsi="宋体"/>
                      <w:szCs w:val="21"/>
                    </w:rPr>
                    <w:t>（</w:t>
                  </w:r>
                  <w:r>
                    <w:rPr>
                      <w:rFonts w:hint="eastAsia" w:ascii="Times New Roman" w:hAnsi="宋体"/>
                      <w:szCs w:val="21"/>
                    </w:rPr>
                    <w:t>0.05t/a）</w:t>
                  </w:r>
                </w:p>
              </w:tc>
              <w:tc>
                <w:tcPr>
                  <w:tcW w:w="686" w:type="pct"/>
                  <w:vAlign w:val="center"/>
                </w:tcPr>
                <w:p w14:paraId="4E65E68D">
                  <w:pPr>
                    <w:keepNext w:val="0"/>
                    <w:keepLines w:val="0"/>
                    <w:suppressLineNumbers w:val="0"/>
                    <w:spacing w:before="0" w:beforeAutospacing="0" w:after="0" w:afterAutospacing="0" w:line="276" w:lineRule="auto"/>
                    <w:ind w:left="0" w:right="0"/>
                    <w:jc w:val="center"/>
                    <w:rPr>
                      <w:rFonts w:hint="default" w:ascii="Times New Roman" w:hAnsi="Times New Roman"/>
                      <w:szCs w:val="21"/>
                    </w:rPr>
                  </w:pPr>
                  <w:r>
                    <w:rPr>
                      <w:rFonts w:hint="default" w:ascii="Times New Roman" w:hAnsi="Times New Roman"/>
                      <w:szCs w:val="21"/>
                    </w:rPr>
                    <w:t>100m</w:t>
                  </w:r>
                  <w:r>
                    <w:rPr>
                      <w:rFonts w:hint="default" w:ascii="Times New Roman" w:hAnsi="Times New Roman"/>
                      <w:szCs w:val="21"/>
                      <w:vertAlign w:val="superscript"/>
                    </w:rPr>
                    <w:t>2</w:t>
                  </w:r>
                </w:p>
              </w:tc>
              <w:tc>
                <w:tcPr>
                  <w:tcW w:w="556" w:type="pct"/>
                  <w:vAlign w:val="center"/>
                </w:tcPr>
                <w:p w14:paraId="35F8F7B8">
                  <w:pPr>
                    <w:keepNext w:val="0"/>
                    <w:keepLines w:val="0"/>
                    <w:suppressLineNumbers w:val="0"/>
                    <w:spacing w:before="0" w:beforeAutospacing="0" w:after="0" w:afterAutospacing="0" w:line="276" w:lineRule="auto"/>
                    <w:ind w:left="0" w:right="0"/>
                    <w:jc w:val="center"/>
                    <w:rPr>
                      <w:rFonts w:hint="default" w:ascii="Times New Roman" w:hAnsi="Times New Roman"/>
                      <w:szCs w:val="21"/>
                    </w:rPr>
                  </w:pPr>
                  <w:r>
                    <w:rPr>
                      <w:rFonts w:hint="eastAsia" w:ascii="Times New Roman" w:hAnsi="Times New Roman"/>
                      <w:szCs w:val="21"/>
                    </w:rPr>
                    <w:t>60d</w:t>
                  </w:r>
                </w:p>
              </w:tc>
              <w:tc>
                <w:tcPr>
                  <w:tcW w:w="556" w:type="pct"/>
                  <w:vAlign w:val="center"/>
                </w:tcPr>
                <w:p w14:paraId="02FD194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vAlign w:val="center"/>
                </w:tcPr>
                <w:p w14:paraId="34F51AA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szCs w:val="21"/>
                    </w:rPr>
                  </w:pPr>
                  <w:r>
                    <w:rPr>
                      <w:rFonts w:hint="eastAsia" w:ascii="Times New Roman" w:hAnsi="宋体" w:eastAsia="宋体" w:cs="Times New Roman"/>
                      <w:szCs w:val="21"/>
                    </w:rPr>
                    <w:t>袋装</w:t>
                  </w:r>
                </w:p>
              </w:tc>
            </w:tr>
            <w:tr w14:paraId="46FAA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27334B9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w:t>
                  </w:r>
                </w:p>
              </w:tc>
              <w:tc>
                <w:tcPr>
                  <w:tcW w:w="553" w:type="pct"/>
                  <w:vAlign w:val="center"/>
                </w:tcPr>
                <w:p w14:paraId="34E9FEBB">
                  <w:pPr>
                    <w:keepNext w:val="0"/>
                    <w:keepLines w:val="0"/>
                    <w:suppressLineNumbers w:val="0"/>
                    <w:spacing w:before="0" w:beforeAutospacing="0" w:after="0" w:afterAutospacing="0" w:line="276" w:lineRule="auto"/>
                    <w:ind w:left="0" w:right="0"/>
                    <w:jc w:val="center"/>
                    <w:rPr>
                      <w:rFonts w:hint="eastAsia" w:ascii="Times New Roman" w:hAnsi="宋体" w:eastAsiaTheme="minorEastAsia"/>
                      <w:szCs w:val="21"/>
                      <w:lang w:val="en-US" w:eastAsia="zh-CN"/>
                    </w:rPr>
                  </w:pPr>
                  <w:r>
                    <w:rPr>
                      <w:rFonts w:hint="eastAsia" w:ascii="Times New Roman" w:hAnsi="宋体"/>
                      <w:szCs w:val="21"/>
                      <w:lang w:val="en-US" w:eastAsia="zh-CN"/>
                    </w:rPr>
                    <w:t>纯净水</w:t>
                  </w:r>
                </w:p>
              </w:tc>
              <w:tc>
                <w:tcPr>
                  <w:tcW w:w="627" w:type="pct"/>
                  <w:vAlign w:val="center"/>
                </w:tcPr>
                <w:p w14:paraId="6C684F5E">
                  <w:pPr>
                    <w:keepNext w:val="0"/>
                    <w:keepLines w:val="0"/>
                    <w:suppressLineNumbers w:val="0"/>
                    <w:spacing w:before="0" w:beforeAutospacing="0" w:after="0" w:afterAutospacing="0" w:line="276" w:lineRule="auto"/>
                    <w:ind w:left="0" w:right="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19L/桶</w:t>
                  </w:r>
                </w:p>
              </w:tc>
              <w:tc>
                <w:tcPr>
                  <w:tcW w:w="361" w:type="pct"/>
                  <w:vAlign w:val="center"/>
                </w:tcPr>
                <w:p w14:paraId="2D434A71">
                  <w:pPr>
                    <w:keepNext w:val="0"/>
                    <w:keepLines w:val="0"/>
                    <w:suppressLineNumbers w:val="0"/>
                    <w:spacing w:before="0" w:beforeAutospacing="0" w:after="0" w:afterAutospacing="0" w:line="276" w:lineRule="auto"/>
                    <w:ind w:left="0" w:right="0"/>
                    <w:jc w:val="center"/>
                    <w:rPr>
                      <w:rFonts w:hint="eastAsia" w:ascii="Times New Roman" w:hAnsi="Times New Roman" w:eastAsiaTheme="minorEastAsia"/>
                      <w:szCs w:val="21"/>
                      <w:lang w:val="en-US" w:eastAsia="zh-CN"/>
                    </w:rPr>
                  </w:pPr>
                  <w:r>
                    <w:rPr>
                      <w:rFonts w:hint="eastAsia" w:ascii="Times New Roman" w:hAnsi="Times New Roman"/>
                      <w:szCs w:val="21"/>
                      <w:lang w:val="en-US" w:eastAsia="zh-CN"/>
                    </w:rPr>
                    <w:t>液体</w:t>
                  </w:r>
                </w:p>
              </w:tc>
              <w:tc>
                <w:tcPr>
                  <w:tcW w:w="810" w:type="pct"/>
                  <w:vAlign w:val="center"/>
                </w:tcPr>
                <w:p w14:paraId="558B1610">
                  <w:pPr>
                    <w:keepNext w:val="0"/>
                    <w:keepLines w:val="0"/>
                    <w:suppressLineNumbers w:val="0"/>
                    <w:spacing w:before="0" w:beforeAutospacing="0" w:after="0" w:afterAutospacing="0" w:line="276" w:lineRule="auto"/>
                    <w:ind w:left="0" w:right="0"/>
                    <w:jc w:val="center"/>
                    <w:rPr>
                      <w:rFonts w:hint="default" w:ascii="Times New Roman" w:hAnsi="Times New Roman" w:eastAsiaTheme="minorEastAsia"/>
                      <w:szCs w:val="21"/>
                      <w:vertAlign w:val="baseline"/>
                      <w:lang w:val="en-US" w:eastAsia="zh-CN"/>
                    </w:rPr>
                  </w:pPr>
                  <w:r>
                    <w:rPr>
                      <w:rFonts w:hint="eastAsia" w:ascii="Times New Roman" w:hAnsi="Times New Roman"/>
                      <w:szCs w:val="21"/>
                      <w:lang w:val="en-US" w:eastAsia="zh-CN"/>
                    </w:rPr>
                    <w:t>13.5m</w:t>
                  </w:r>
                  <w:r>
                    <w:rPr>
                      <w:rFonts w:hint="eastAsia" w:ascii="Times New Roman" w:hAnsi="Times New Roman"/>
                      <w:szCs w:val="21"/>
                      <w:vertAlign w:val="superscript"/>
                      <w:lang w:val="en-US" w:eastAsia="zh-CN"/>
                    </w:rPr>
                    <w:t>3</w:t>
                  </w:r>
                </w:p>
              </w:tc>
              <w:tc>
                <w:tcPr>
                  <w:tcW w:w="686" w:type="pct"/>
                  <w:vAlign w:val="center"/>
                </w:tcPr>
                <w:p w14:paraId="313F5C07">
                  <w:pPr>
                    <w:keepNext w:val="0"/>
                    <w:keepLines w:val="0"/>
                    <w:suppressLineNumbers w:val="0"/>
                    <w:spacing w:before="0" w:beforeAutospacing="0" w:after="0" w:afterAutospacing="0" w:line="276" w:lineRule="auto"/>
                    <w:ind w:left="0" w:right="0"/>
                    <w:jc w:val="center"/>
                    <w:rPr>
                      <w:rFonts w:hint="default" w:ascii="Times New Roman" w:hAnsi="Times New Roman" w:eastAsiaTheme="minorEastAsia"/>
                      <w:szCs w:val="21"/>
                      <w:vertAlign w:val="baseline"/>
                      <w:lang w:val="en-US" w:eastAsia="zh-CN"/>
                    </w:rPr>
                  </w:pPr>
                  <w:r>
                    <w:rPr>
                      <w:rFonts w:hint="eastAsia" w:ascii="Times New Roman" w:hAnsi="Times New Roman"/>
                      <w:szCs w:val="21"/>
                      <w:lang w:val="en-US" w:eastAsia="zh-CN"/>
                    </w:rPr>
                    <w:t>0.38m</w:t>
                  </w:r>
                  <w:r>
                    <w:rPr>
                      <w:rFonts w:hint="eastAsia" w:ascii="Times New Roman" w:hAnsi="Times New Roman"/>
                      <w:szCs w:val="21"/>
                      <w:vertAlign w:val="superscript"/>
                      <w:lang w:val="en-US" w:eastAsia="zh-CN"/>
                    </w:rPr>
                    <w:t>3</w:t>
                  </w:r>
                </w:p>
              </w:tc>
              <w:tc>
                <w:tcPr>
                  <w:tcW w:w="556" w:type="pct"/>
                  <w:vAlign w:val="center"/>
                </w:tcPr>
                <w:p w14:paraId="0A93A80D">
                  <w:pPr>
                    <w:keepNext w:val="0"/>
                    <w:keepLines w:val="0"/>
                    <w:suppressLineNumbers w:val="0"/>
                    <w:spacing w:before="0" w:beforeAutospacing="0" w:after="0" w:afterAutospacing="0" w:line="276" w:lineRule="auto"/>
                    <w:ind w:left="0" w:right="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8d</w:t>
                  </w:r>
                </w:p>
              </w:tc>
              <w:tc>
                <w:tcPr>
                  <w:tcW w:w="556" w:type="pct"/>
                  <w:vAlign w:val="center"/>
                </w:tcPr>
                <w:p w14:paraId="775358A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原料仓库</w:t>
                  </w:r>
                </w:p>
              </w:tc>
              <w:tc>
                <w:tcPr>
                  <w:tcW w:w="556" w:type="pct"/>
                  <w:vAlign w:val="center"/>
                </w:tcPr>
                <w:p w14:paraId="597E6426">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桶装</w:t>
                  </w:r>
                </w:p>
              </w:tc>
            </w:tr>
            <w:tr w14:paraId="3B40E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000" w:type="pct"/>
                  <w:gridSpan w:val="9"/>
                  <w:vAlign w:val="center"/>
                </w:tcPr>
                <w:p w14:paraId="4F8E230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宋体" w:eastAsia="宋体" w:cs="Times New Roman"/>
                      <w:b/>
                      <w:szCs w:val="21"/>
                    </w:rPr>
                    <w:t>能源</w:t>
                  </w:r>
                </w:p>
              </w:tc>
            </w:tr>
            <w:tr w14:paraId="0BEB6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Align w:val="center"/>
                </w:tcPr>
                <w:p w14:paraId="701367A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553" w:type="pct"/>
                  <w:vAlign w:val="center"/>
                </w:tcPr>
                <w:p w14:paraId="55E430A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水</w:t>
                  </w:r>
                </w:p>
              </w:tc>
              <w:tc>
                <w:tcPr>
                  <w:tcW w:w="989" w:type="pct"/>
                  <w:gridSpan w:val="2"/>
                  <w:vAlign w:val="center"/>
                </w:tcPr>
                <w:p w14:paraId="2378C09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10" w:type="pct"/>
                  <w:vAlign w:val="center"/>
                </w:tcPr>
                <w:p w14:paraId="01E8EC9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2346</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p>
              </w:tc>
              <w:tc>
                <w:tcPr>
                  <w:tcW w:w="686" w:type="pct"/>
                  <w:vAlign w:val="center"/>
                </w:tcPr>
                <w:p w14:paraId="77E7673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113" w:type="pct"/>
                  <w:gridSpan w:val="2"/>
                  <w:vAlign w:val="center"/>
                </w:tcPr>
                <w:p w14:paraId="11A74DF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市政供水管网</w:t>
                  </w:r>
                </w:p>
              </w:tc>
              <w:tc>
                <w:tcPr>
                  <w:tcW w:w="556" w:type="pct"/>
                  <w:vAlign w:val="center"/>
                </w:tcPr>
                <w:p w14:paraId="00776BC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48293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1" w:hRule="atLeast"/>
                <w:jc w:val="center"/>
              </w:trPr>
              <w:tc>
                <w:tcPr>
                  <w:tcW w:w="290" w:type="pct"/>
                  <w:vAlign w:val="center"/>
                </w:tcPr>
                <w:p w14:paraId="14ED445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2</w:t>
                  </w:r>
                </w:p>
              </w:tc>
              <w:tc>
                <w:tcPr>
                  <w:tcW w:w="553" w:type="pct"/>
                  <w:vAlign w:val="center"/>
                </w:tcPr>
                <w:p w14:paraId="5E0ED3B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电</w:t>
                  </w:r>
                </w:p>
              </w:tc>
              <w:tc>
                <w:tcPr>
                  <w:tcW w:w="989" w:type="pct"/>
                  <w:gridSpan w:val="2"/>
                  <w:vAlign w:val="center"/>
                </w:tcPr>
                <w:p w14:paraId="248C67C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10" w:type="pct"/>
                  <w:vAlign w:val="center"/>
                </w:tcPr>
                <w:p w14:paraId="3847468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w:t>
                  </w:r>
                  <w:r>
                    <w:rPr>
                      <w:rFonts w:hint="default" w:ascii="Times New Roman" w:hAnsi="宋体" w:eastAsia="宋体" w:cs="Times New Roman"/>
                      <w:szCs w:val="21"/>
                    </w:rPr>
                    <w:t>万</w:t>
                  </w:r>
                  <w:r>
                    <w:rPr>
                      <w:rFonts w:hint="default" w:ascii="Times New Roman" w:hAnsi="Times New Roman" w:eastAsia="宋体" w:cs="Times New Roman"/>
                      <w:bCs/>
                      <w:szCs w:val="21"/>
                    </w:rPr>
                    <w:t>kW·h/a</w:t>
                  </w:r>
                </w:p>
              </w:tc>
              <w:tc>
                <w:tcPr>
                  <w:tcW w:w="686" w:type="pct"/>
                  <w:vAlign w:val="center"/>
                </w:tcPr>
                <w:p w14:paraId="2444C99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113" w:type="pct"/>
                  <w:gridSpan w:val="2"/>
                  <w:vAlign w:val="center"/>
                </w:tcPr>
                <w:p w14:paraId="28201D1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宋体" w:eastAsia="宋体" w:cs="Times New Roman"/>
                      <w:szCs w:val="21"/>
                    </w:rPr>
                    <w:t>市政供电管网</w:t>
                  </w:r>
                </w:p>
              </w:tc>
              <w:tc>
                <w:tcPr>
                  <w:tcW w:w="556" w:type="pct"/>
                  <w:vAlign w:val="center"/>
                </w:tcPr>
                <w:p w14:paraId="135E15F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14:paraId="354DF6CF">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w:t>
            </w:r>
            <w:r>
              <w:rPr>
                <w:rFonts w:hint="eastAsia" w:ascii="Times New Roman" w:hAnsi="Times New Roman" w:eastAsia="黑体" w:cs="Times New Roman"/>
                <w:bCs/>
                <w:sz w:val="24"/>
                <w:szCs w:val="24"/>
                <w:lang w:val="en-US" w:eastAsia="zh-CN"/>
              </w:rPr>
              <w:t>8</w:t>
            </w:r>
            <w:r>
              <w:rPr>
                <w:rFonts w:hint="default" w:ascii="Times New Roman" w:hAnsi="Times New Roman" w:eastAsia="黑体" w:cs="Times New Roman"/>
                <w:bCs/>
                <w:sz w:val="24"/>
                <w:szCs w:val="24"/>
              </w:rPr>
              <w:t xml:space="preserve">  </w:t>
            </w:r>
            <w:r>
              <w:rPr>
                <w:rFonts w:hint="eastAsia" w:ascii="Times New Roman" w:hAnsi="Times New Roman" w:eastAsia="黑体" w:cs="Times New Roman"/>
                <w:bCs/>
                <w:sz w:val="24"/>
                <w:szCs w:val="24"/>
              </w:rPr>
              <w:t>主要原辅材料理化性质一览表</w:t>
            </w:r>
          </w:p>
          <w:tbl>
            <w:tblPr>
              <w:tblStyle w:val="18"/>
              <w:tblW w:w="8386" w:type="dxa"/>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4"/>
              <w:gridCol w:w="1067"/>
              <w:gridCol w:w="2989"/>
              <w:gridCol w:w="2044"/>
              <w:gridCol w:w="1632"/>
            </w:tblGrid>
            <w:tr w14:paraId="1AB253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04BC1AA2">
                  <w:pPr>
                    <w:pStyle w:val="73"/>
                    <w:keepNext w:val="0"/>
                    <w:keepLines w:val="0"/>
                    <w:widowControl/>
                    <w:suppressLineNumbers w:val="0"/>
                    <w:spacing w:before="0" w:beforeLines="0" w:beforeAutospacing="0" w:after="0" w:afterAutospacing="0" w:line="276" w:lineRule="auto"/>
                    <w:ind w:left="0" w:right="0"/>
                    <w:rPr>
                      <w:rFonts w:hint="default"/>
                      <w:b/>
                      <w:bCs w:val="0"/>
                      <w:kern w:val="2"/>
                      <w:szCs w:val="21"/>
                    </w:rPr>
                  </w:pPr>
                  <w:r>
                    <w:rPr>
                      <w:rFonts w:hint="default"/>
                      <w:b/>
                      <w:bCs w:val="0"/>
                      <w:kern w:val="2"/>
                      <w:szCs w:val="21"/>
                    </w:rPr>
                    <w:t>序号</w:t>
                  </w:r>
                </w:p>
              </w:tc>
              <w:tc>
                <w:tcPr>
                  <w:tcW w:w="1067" w:type="dxa"/>
                  <w:tcBorders>
                    <w:tl2br w:val="nil"/>
                    <w:tr2bl w:val="nil"/>
                  </w:tcBorders>
                  <w:vAlign w:val="center"/>
                </w:tcPr>
                <w:p w14:paraId="54CFCAD9">
                  <w:pPr>
                    <w:pStyle w:val="73"/>
                    <w:keepNext w:val="0"/>
                    <w:keepLines w:val="0"/>
                    <w:widowControl/>
                    <w:suppressLineNumbers w:val="0"/>
                    <w:spacing w:before="0" w:beforeLines="0" w:beforeAutospacing="0" w:after="0" w:afterAutospacing="0" w:line="276" w:lineRule="auto"/>
                    <w:ind w:left="0" w:right="0"/>
                    <w:rPr>
                      <w:rFonts w:hint="default"/>
                      <w:b/>
                      <w:bCs w:val="0"/>
                      <w:kern w:val="2"/>
                      <w:szCs w:val="21"/>
                    </w:rPr>
                  </w:pPr>
                  <w:r>
                    <w:rPr>
                      <w:rFonts w:hint="default"/>
                      <w:b/>
                      <w:bCs w:val="0"/>
                      <w:kern w:val="2"/>
                      <w:szCs w:val="21"/>
                    </w:rPr>
                    <w:t>物质名称</w:t>
                  </w:r>
                </w:p>
              </w:tc>
              <w:tc>
                <w:tcPr>
                  <w:tcW w:w="2989" w:type="dxa"/>
                  <w:tcBorders>
                    <w:tl2br w:val="nil"/>
                    <w:tr2bl w:val="nil"/>
                  </w:tcBorders>
                  <w:vAlign w:val="center"/>
                </w:tcPr>
                <w:p w14:paraId="2F623F70">
                  <w:pPr>
                    <w:pStyle w:val="73"/>
                    <w:keepNext w:val="0"/>
                    <w:keepLines w:val="0"/>
                    <w:widowControl/>
                    <w:suppressLineNumbers w:val="0"/>
                    <w:spacing w:before="0" w:beforeLines="0" w:beforeAutospacing="0" w:after="0" w:afterAutospacing="0" w:line="276" w:lineRule="auto"/>
                    <w:ind w:left="0" w:right="0"/>
                    <w:rPr>
                      <w:rFonts w:hint="default"/>
                      <w:b/>
                      <w:bCs w:val="0"/>
                      <w:kern w:val="2"/>
                      <w:szCs w:val="21"/>
                    </w:rPr>
                  </w:pPr>
                  <w:r>
                    <w:rPr>
                      <w:rFonts w:hint="default"/>
                      <w:b/>
                      <w:bCs w:val="0"/>
                      <w:kern w:val="2"/>
                      <w:szCs w:val="21"/>
                    </w:rPr>
                    <w:t>理化特性</w:t>
                  </w:r>
                </w:p>
              </w:tc>
              <w:tc>
                <w:tcPr>
                  <w:tcW w:w="2044" w:type="dxa"/>
                  <w:tcBorders>
                    <w:tl2br w:val="nil"/>
                    <w:tr2bl w:val="nil"/>
                  </w:tcBorders>
                  <w:vAlign w:val="center"/>
                </w:tcPr>
                <w:p w14:paraId="45FFC353">
                  <w:pPr>
                    <w:pStyle w:val="73"/>
                    <w:keepNext w:val="0"/>
                    <w:keepLines w:val="0"/>
                    <w:widowControl/>
                    <w:suppressLineNumbers w:val="0"/>
                    <w:spacing w:before="0" w:beforeLines="0" w:beforeAutospacing="0" w:after="0" w:afterAutospacing="0" w:line="276" w:lineRule="auto"/>
                    <w:ind w:left="0" w:right="0"/>
                    <w:rPr>
                      <w:rFonts w:hint="default"/>
                      <w:b/>
                      <w:bCs w:val="0"/>
                      <w:kern w:val="2"/>
                      <w:szCs w:val="21"/>
                    </w:rPr>
                  </w:pPr>
                  <w:r>
                    <w:rPr>
                      <w:rFonts w:hint="default"/>
                      <w:b/>
                      <w:bCs w:val="0"/>
                      <w:kern w:val="2"/>
                      <w:szCs w:val="21"/>
                    </w:rPr>
                    <w:t>有毒有害性</w:t>
                  </w:r>
                </w:p>
              </w:tc>
              <w:tc>
                <w:tcPr>
                  <w:tcW w:w="1632" w:type="dxa"/>
                  <w:tcBorders>
                    <w:tl2br w:val="nil"/>
                    <w:tr2bl w:val="nil"/>
                  </w:tcBorders>
                  <w:vAlign w:val="center"/>
                </w:tcPr>
                <w:p w14:paraId="196198E5">
                  <w:pPr>
                    <w:pStyle w:val="73"/>
                    <w:keepNext w:val="0"/>
                    <w:keepLines w:val="0"/>
                    <w:widowControl/>
                    <w:suppressLineNumbers w:val="0"/>
                    <w:spacing w:before="0" w:beforeLines="0" w:beforeAutospacing="0" w:after="0" w:afterAutospacing="0" w:line="276" w:lineRule="auto"/>
                    <w:ind w:left="0" w:right="0"/>
                    <w:rPr>
                      <w:rFonts w:hint="default"/>
                      <w:b/>
                      <w:bCs w:val="0"/>
                      <w:kern w:val="2"/>
                      <w:szCs w:val="21"/>
                    </w:rPr>
                  </w:pPr>
                  <w:r>
                    <w:rPr>
                      <w:rFonts w:hint="default"/>
                      <w:b/>
                      <w:bCs w:val="0"/>
                      <w:kern w:val="2"/>
                      <w:szCs w:val="21"/>
                    </w:rPr>
                    <w:t>易燃易爆性</w:t>
                  </w:r>
                </w:p>
              </w:tc>
            </w:tr>
            <w:tr w14:paraId="166A2D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4A2D7D22">
                  <w:pPr>
                    <w:pStyle w:val="73"/>
                    <w:keepNext w:val="0"/>
                    <w:keepLines w:val="0"/>
                    <w:widowControl/>
                    <w:suppressLineNumbers w:val="0"/>
                    <w:spacing w:before="0" w:beforeLines="0" w:beforeAutospacing="0" w:after="0" w:afterAutospacing="0" w:line="276" w:lineRule="auto"/>
                    <w:ind w:left="0" w:right="0"/>
                    <w:rPr>
                      <w:rFonts w:hint="default"/>
                      <w:b w:val="0"/>
                      <w:bCs/>
                      <w:kern w:val="2"/>
                      <w:szCs w:val="21"/>
                    </w:rPr>
                  </w:pPr>
                  <w:r>
                    <w:rPr>
                      <w:rFonts w:hint="default"/>
                      <w:b w:val="0"/>
                      <w:bCs/>
                      <w:kern w:val="2"/>
                      <w:szCs w:val="21"/>
                    </w:rPr>
                    <w:t>1</w:t>
                  </w:r>
                </w:p>
              </w:tc>
              <w:tc>
                <w:tcPr>
                  <w:tcW w:w="1067" w:type="dxa"/>
                  <w:tcBorders>
                    <w:tl2br w:val="nil"/>
                    <w:tr2bl w:val="nil"/>
                  </w:tcBorders>
                  <w:vAlign w:val="center"/>
                </w:tcPr>
                <w:p w14:paraId="6E20F0E6">
                  <w:pPr>
                    <w:pStyle w:val="73"/>
                    <w:keepNext w:val="0"/>
                    <w:keepLines w:val="0"/>
                    <w:widowControl/>
                    <w:suppressLineNumbers w:val="0"/>
                    <w:spacing w:before="0" w:beforeLines="0" w:beforeAutospacing="0" w:after="0" w:afterAutospacing="0" w:line="276" w:lineRule="auto"/>
                    <w:ind w:left="0" w:right="0"/>
                    <w:rPr>
                      <w:rFonts w:hint="default"/>
                      <w:b w:val="0"/>
                      <w:bCs/>
                      <w:kern w:val="2"/>
                      <w:szCs w:val="21"/>
                    </w:rPr>
                  </w:pPr>
                  <w:r>
                    <w:rPr>
                      <w:rFonts w:hint="eastAsia"/>
                      <w:b w:val="0"/>
                      <w:bCs/>
                      <w:kern w:val="2"/>
                      <w:szCs w:val="21"/>
                    </w:rPr>
                    <w:t>硅胶</w:t>
                  </w:r>
                </w:p>
              </w:tc>
              <w:tc>
                <w:tcPr>
                  <w:tcW w:w="2989" w:type="dxa"/>
                  <w:tcBorders>
                    <w:tl2br w:val="nil"/>
                    <w:tr2bl w:val="nil"/>
                  </w:tcBorders>
                  <w:vAlign w:val="center"/>
                </w:tcPr>
                <w:p w14:paraId="0CA85E7D">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主要成分：二氧化硅(SiO₂)</w:t>
                  </w:r>
                  <w:r>
                    <w:rPr>
                      <w:rFonts w:hint="eastAsia" w:ascii="Times New Roman" w:hAnsi="Times New Roman" w:eastAsia="宋体" w:cs="Times New Roman"/>
                      <w:bCs/>
                      <w:szCs w:val="21"/>
                    </w:rPr>
                    <w:t>；</w:t>
                  </w:r>
                  <w:r>
                    <w:rPr>
                      <w:rFonts w:hint="default" w:ascii="Times New Roman" w:hAnsi="Times New Roman" w:eastAsia="宋体" w:cs="Times New Roman"/>
                      <w:bCs/>
                      <w:szCs w:val="21"/>
                    </w:rPr>
                    <w:t>分子式：xSiO₂·yH₂O</w:t>
                  </w:r>
                  <w:r>
                    <w:rPr>
                      <w:rFonts w:hint="eastAsia" w:ascii="Times New Roman" w:hAnsi="Times New Roman" w:eastAsia="宋体" w:cs="Times New Roman"/>
                      <w:bCs/>
                      <w:szCs w:val="21"/>
                    </w:rPr>
                    <w:t>；化学性质稳定，不溶于水及有机溶剂。除强碱、氢氟酸外不反应。不燃烧。多孔结构，吸附性强，可物理再生</w:t>
                  </w:r>
                </w:p>
              </w:tc>
              <w:tc>
                <w:tcPr>
                  <w:tcW w:w="2044" w:type="dxa"/>
                  <w:tcBorders>
                    <w:tl2br w:val="nil"/>
                    <w:tr2bl w:val="nil"/>
                  </w:tcBorders>
                  <w:shd w:val="clear" w:color="auto" w:fill="auto"/>
                  <w:vAlign w:val="center"/>
                </w:tcPr>
                <w:p w14:paraId="5952D24D">
                  <w:pPr>
                    <w:pStyle w:val="73"/>
                    <w:keepNext w:val="0"/>
                    <w:keepLines w:val="0"/>
                    <w:widowControl/>
                    <w:suppressLineNumbers w:val="0"/>
                    <w:spacing w:before="0" w:beforeLines="0" w:beforeAutospacing="0" w:after="0" w:afterAutospacing="0" w:line="276" w:lineRule="auto"/>
                    <w:ind w:left="0" w:right="0"/>
                    <w:rPr>
                      <w:rFonts w:hint="default"/>
                      <w:b w:val="0"/>
                      <w:bCs/>
                      <w:kern w:val="2"/>
                      <w:szCs w:val="21"/>
                    </w:rPr>
                  </w:pPr>
                  <w:r>
                    <w:rPr>
                      <w:rFonts w:hint="default"/>
                      <w:b w:val="0"/>
                      <w:bCs/>
                      <w:kern w:val="2"/>
                      <w:szCs w:val="21"/>
                    </w:rPr>
                    <w:t>基本无毒，但对皮肤有干燥作用</w:t>
                  </w:r>
                  <w:r>
                    <w:rPr>
                      <w:rFonts w:hint="eastAsia"/>
                      <w:b w:val="0"/>
                      <w:bCs/>
                      <w:kern w:val="2"/>
                      <w:szCs w:val="21"/>
                    </w:rPr>
                    <w:t>，</w:t>
                  </w:r>
                  <w:r>
                    <w:rPr>
                      <w:rFonts w:hint="default"/>
                      <w:b w:val="0"/>
                      <w:bCs/>
                      <w:kern w:val="2"/>
                      <w:szCs w:val="21"/>
                    </w:rPr>
                    <w:t>粉尘</w:t>
                  </w:r>
                  <w:r>
                    <w:rPr>
                      <w:rFonts w:hint="eastAsia"/>
                      <w:b w:val="0"/>
                      <w:bCs/>
                      <w:kern w:val="2"/>
                      <w:szCs w:val="21"/>
                    </w:rPr>
                    <w:t>会</w:t>
                  </w:r>
                  <w:r>
                    <w:rPr>
                      <w:rFonts w:hint="default"/>
                      <w:b w:val="0"/>
                      <w:bCs/>
                      <w:kern w:val="2"/>
                      <w:szCs w:val="21"/>
                    </w:rPr>
                    <w:t>刺激呼吸道</w:t>
                  </w:r>
                </w:p>
              </w:tc>
              <w:tc>
                <w:tcPr>
                  <w:tcW w:w="1632" w:type="dxa"/>
                  <w:tcBorders>
                    <w:tl2br w:val="nil"/>
                    <w:tr2bl w:val="nil"/>
                  </w:tcBorders>
                  <w:vAlign w:val="center"/>
                </w:tcPr>
                <w:p w14:paraId="14E02213">
                  <w:pPr>
                    <w:pStyle w:val="73"/>
                    <w:keepNext w:val="0"/>
                    <w:keepLines w:val="0"/>
                    <w:widowControl/>
                    <w:suppressLineNumbers w:val="0"/>
                    <w:spacing w:before="0" w:beforeLines="0" w:beforeAutospacing="0" w:after="0" w:afterAutospacing="0" w:line="276" w:lineRule="auto"/>
                    <w:ind w:left="0" w:right="0"/>
                    <w:rPr>
                      <w:rFonts w:hint="default"/>
                      <w:b w:val="0"/>
                      <w:bCs/>
                      <w:kern w:val="2"/>
                      <w:szCs w:val="21"/>
                    </w:rPr>
                  </w:pPr>
                  <w:r>
                    <w:rPr>
                      <w:rFonts w:hint="eastAsia"/>
                      <w:b w:val="0"/>
                      <w:bCs/>
                      <w:kern w:val="2"/>
                      <w:szCs w:val="21"/>
                    </w:rPr>
                    <w:t>不燃烧，无爆炸性</w:t>
                  </w:r>
                </w:p>
              </w:tc>
            </w:tr>
            <w:tr w14:paraId="22D321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5A7F8C32">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2</w:t>
                  </w:r>
                </w:p>
              </w:tc>
              <w:tc>
                <w:tcPr>
                  <w:tcW w:w="1067" w:type="dxa"/>
                  <w:tcBorders>
                    <w:tl2br w:val="nil"/>
                    <w:tr2bl w:val="nil"/>
                  </w:tcBorders>
                  <w:vAlign w:val="center"/>
                </w:tcPr>
                <w:p w14:paraId="279889D4">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eastAsia" w:ascii="Times New Roman" w:hAnsi="Times New Roman" w:cs="Times New Roman"/>
                      <w:bCs/>
                      <w:sz w:val="21"/>
                      <w:szCs w:val="21"/>
                    </w:rPr>
                    <w:t>分子筛</w:t>
                  </w:r>
                </w:p>
              </w:tc>
              <w:tc>
                <w:tcPr>
                  <w:tcW w:w="2989" w:type="dxa"/>
                  <w:tcBorders>
                    <w:tl2br w:val="nil"/>
                    <w:tr2bl w:val="nil"/>
                  </w:tcBorders>
                  <w:vAlign w:val="center"/>
                </w:tcPr>
                <w:p w14:paraId="63FA11D9">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Cs w:val="21"/>
                    </w:rPr>
                  </w:pPr>
                  <w:r>
                    <w:rPr>
                      <w:rFonts w:hint="default" w:ascii="Segoe UI" w:hAnsi="Segoe UI" w:eastAsia="Segoe UI" w:cs="Segoe UI"/>
                      <w:bCs/>
                      <w:szCs w:val="21"/>
                      <w:shd w:val="clear" w:color="auto" w:fill="FFFFFF"/>
                    </w:rPr>
                    <w:t>主要为</w:t>
                  </w:r>
                  <w:r>
                    <w:rPr>
                      <w:rStyle w:val="20"/>
                      <w:rFonts w:hint="default" w:ascii="Segoe UI" w:hAnsi="Segoe UI" w:eastAsia="Segoe UI" w:cs="Segoe UI"/>
                      <w:b w:val="0"/>
                      <w:szCs w:val="21"/>
                      <w:shd w:val="clear" w:color="auto" w:fill="FFFFFF"/>
                    </w:rPr>
                    <w:t>结晶型铝硅酸盐</w:t>
                  </w:r>
                  <w:r>
                    <w:rPr>
                      <w:rStyle w:val="20"/>
                      <w:rFonts w:hint="eastAsia" w:ascii="Segoe UI" w:hAnsi="Segoe UI" w:eastAsia="宋体" w:cs="Segoe UI"/>
                      <w:b w:val="0"/>
                      <w:szCs w:val="21"/>
                      <w:shd w:val="clear" w:color="auto" w:fill="FFFFFF"/>
                    </w:rPr>
                    <w:t>，有均匀微孔，能筛分不同大小分子。热稳定性好，高温下仍能吸附</w:t>
                  </w:r>
                </w:p>
              </w:tc>
              <w:tc>
                <w:tcPr>
                  <w:tcW w:w="2044" w:type="dxa"/>
                  <w:tcBorders>
                    <w:tl2br w:val="nil"/>
                    <w:tr2bl w:val="nil"/>
                  </w:tcBorders>
                  <w:shd w:val="clear" w:color="auto" w:fill="auto"/>
                  <w:vAlign w:val="center"/>
                </w:tcPr>
                <w:p w14:paraId="40BEFCDB">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基本无毒无臭。长期吸入粉尘可能引起尘肺性肺硬化</w:t>
                  </w:r>
                </w:p>
              </w:tc>
              <w:tc>
                <w:tcPr>
                  <w:tcW w:w="1632" w:type="dxa"/>
                  <w:tcBorders>
                    <w:tl2br w:val="nil"/>
                    <w:tr2bl w:val="nil"/>
                  </w:tcBorders>
                  <w:vAlign w:val="center"/>
                </w:tcPr>
                <w:p w14:paraId="362E604A">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eastAsia" w:ascii="Times New Roman" w:hAnsi="Times New Roman" w:cs="Times New Roman"/>
                      <w:bCs/>
                      <w:sz w:val="21"/>
                      <w:szCs w:val="21"/>
                    </w:rPr>
                    <w:t>不燃烧，</w:t>
                  </w:r>
                  <w:r>
                    <w:rPr>
                      <w:rFonts w:hint="eastAsia"/>
                      <w:bCs/>
                      <w:sz w:val="21"/>
                      <w:szCs w:val="21"/>
                    </w:rPr>
                    <w:t>无爆炸性</w:t>
                  </w:r>
                </w:p>
              </w:tc>
            </w:tr>
            <w:tr w14:paraId="77C40C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2302B552">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3</w:t>
                  </w:r>
                </w:p>
              </w:tc>
              <w:tc>
                <w:tcPr>
                  <w:tcW w:w="1067" w:type="dxa"/>
                  <w:tcBorders>
                    <w:tl2br w:val="nil"/>
                    <w:tr2bl w:val="nil"/>
                  </w:tcBorders>
                  <w:vAlign w:val="center"/>
                </w:tcPr>
                <w:p w14:paraId="2C9486F0">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活性炭</w:t>
                  </w:r>
                </w:p>
              </w:tc>
              <w:tc>
                <w:tcPr>
                  <w:tcW w:w="2989" w:type="dxa"/>
                  <w:tcBorders>
                    <w:tl2br w:val="nil"/>
                    <w:tr2bl w:val="nil"/>
                  </w:tcBorders>
                  <w:vAlign w:val="center"/>
                </w:tcPr>
                <w:p w14:paraId="04E04129">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Cs w:val="21"/>
                    </w:rPr>
                  </w:pPr>
                  <w:r>
                    <w:rPr>
                      <w:rFonts w:hint="default" w:ascii="Segoe UI" w:hAnsi="Segoe UI" w:eastAsia="Segoe UI" w:cs="Segoe UI"/>
                      <w:bCs/>
                      <w:szCs w:val="21"/>
                      <w:shd w:val="clear" w:color="auto" w:fill="FFFFFF"/>
                    </w:rPr>
                    <w:t>黑色多孔固体</w:t>
                  </w:r>
                  <w:r>
                    <w:rPr>
                      <w:rFonts w:hint="eastAsia" w:ascii="Segoe UI" w:hAnsi="Segoe UI" w:eastAsia="宋体" w:cs="Segoe UI"/>
                      <w:bCs/>
                      <w:szCs w:val="21"/>
                      <w:shd w:val="clear" w:color="auto" w:fill="FFFFFF"/>
                    </w:rPr>
                    <w:t>，易燃。具有巨大的比表面积和发达的孔隙结构，吸附容量高。不溶于水和有机溶剂</w:t>
                  </w:r>
                </w:p>
              </w:tc>
              <w:tc>
                <w:tcPr>
                  <w:tcW w:w="2044" w:type="dxa"/>
                  <w:tcBorders>
                    <w:tl2br w:val="nil"/>
                    <w:tr2bl w:val="nil"/>
                  </w:tcBorders>
                  <w:shd w:val="clear" w:color="auto" w:fill="auto"/>
                  <w:vAlign w:val="center"/>
                </w:tcPr>
                <w:p w14:paraId="57A4F7BE">
                  <w:pPr>
                    <w:pStyle w:val="14"/>
                    <w:keepNext w:val="0"/>
                    <w:keepLines w:val="0"/>
                    <w:suppressLineNumbers w:val="0"/>
                    <w:spacing w:before="0" w:beforeLines="0" w:beforeAutospacing="0" w:after="0" w:afterAutospacing="0" w:line="276" w:lineRule="auto"/>
                    <w:ind w:left="0" w:right="0"/>
                    <w:jc w:val="center"/>
                    <w:rPr>
                      <w:rFonts w:hint="default" w:ascii="Segoe UI" w:hAnsi="Segoe UI" w:cs="Segoe UI"/>
                      <w:bCs/>
                      <w:sz w:val="21"/>
                      <w:szCs w:val="21"/>
                      <w:shd w:val="clear" w:color="auto" w:fill="FFFFFF"/>
                    </w:rPr>
                  </w:pPr>
                  <w:r>
                    <w:rPr>
                      <w:rFonts w:hint="eastAsia" w:ascii="Segoe UI" w:hAnsi="Segoe UI" w:cs="Segoe UI"/>
                      <w:bCs/>
                      <w:sz w:val="21"/>
                      <w:szCs w:val="21"/>
                      <w:shd w:val="clear" w:color="auto" w:fill="FFFFFF"/>
                    </w:rPr>
                    <w:t>基本无毒</w:t>
                  </w:r>
                  <w:r>
                    <w:rPr>
                      <w:rFonts w:hint="default" w:ascii="Segoe UI" w:hAnsi="Segoe UI" w:cs="Segoe UI"/>
                      <w:bCs/>
                      <w:sz w:val="21"/>
                      <w:szCs w:val="21"/>
                      <w:shd w:val="clear" w:color="auto" w:fill="FFFFFF"/>
                    </w:rPr>
                    <w:t>。吸入粉尘对眼睛、皮肤和呼吸道有刺激性，可能引发结膜炎、支气管炎</w:t>
                  </w:r>
                </w:p>
              </w:tc>
              <w:tc>
                <w:tcPr>
                  <w:tcW w:w="1632" w:type="dxa"/>
                  <w:tcBorders>
                    <w:tl2br w:val="nil"/>
                    <w:tr2bl w:val="nil"/>
                  </w:tcBorders>
                  <w:vAlign w:val="center"/>
                </w:tcPr>
                <w:p w14:paraId="550B90ED">
                  <w:pPr>
                    <w:pStyle w:val="14"/>
                    <w:keepNext w:val="0"/>
                    <w:keepLines w:val="0"/>
                    <w:suppressLineNumbers w:val="0"/>
                    <w:spacing w:before="0" w:beforeLines="0" w:beforeAutospacing="0" w:after="0" w:afterAutospacing="0" w:line="276" w:lineRule="auto"/>
                    <w:ind w:left="0" w:right="0"/>
                    <w:jc w:val="center"/>
                    <w:rPr>
                      <w:rFonts w:hint="default" w:ascii="Segoe UI" w:hAnsi="Segoe UI" w:cs="Segoe UI"/>
                      <w:bCs/>
                      <w:sz w:val="21"/>
                      <w:szCs w:val="21"/>
                      <w:shd w:val="clear" w:color="auto" w:fill="FFFFFF"/>
                    </w:rPr>
                  </w:pPr>
                  <w:r>
                    <w:rPr>
                      <w:rFonts w:hint="eastAsia" w:ascii="Segoe UI" w:hAnsi="Segoe UI" w:cs="Segoe UI"/>
                      <w:bCs/>
                      <w:sz w:val="21"/>
                      <w:szCs w:val="21"/>
                      <w:shd w:val="clear" w:color="auto" w:fill="FFFFFF"/>
                    </w:rPr>
                    <w:t>易燃，</w:t>
                  </w:r>
                  <w:r>
                    <w:rPr>
                      <w:rFonts w:hint="default" w:ascii="Segoe UI" w:hAnsi="Segoe UI" w:cs="Segoe UI"/>
                      <w:bCs/>
                      <w:sz w:val="21"/>
                      <w:szCs w:val="21"/>
                      <w:shd w:val="clear" w:color="auto" w:fill="FFFFFF"/>
                    </w:rPr>
                    <w:t>其粉末与空气可形成爆炸性混合物</w:t>
                  </w:r>
                </w:p>
              </w:tc>
            </w:tr>
            <w:tr w14:paraId="45F540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46779B04">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4</w:t>
                  </w:r>
                </w:p>
              </w:tc>
              <w:tc>
                <w:tcPr>
                  <w:tcW w:w="1067" w:type="dxa"/>
                  <w:tcBorders>
                    <w:tl2br w:val="nil"/>
                    <w:tr2bl w:val="nil"/>
                  </w:tcBorders>
                  <w:vAlign w:val="center"/>
                </w:tcPr>
                <w:p w14:paraId="1845902D">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铁粉</w:t>
                  </w:r>
                </w:p>
              </w:tc>
              <w:tc>
                <w:tcPr>
                  <w:tcW w:w="2989" w:type="dxa"/>
                  <w:tcBorders>
                    <w:tl2br w:val="nil"/>
                    <w:tr2bl w:val="nil"/>
                  </w:tcBorders>
                  <w:vAlign w:val="center"/>
                </w:tcPr>
                <w:p w14:paraId="397A6BA3">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灰色金属粉末。溶于稀酸，不溶于水。化学性质较活泼，在潮湿空气中易氧化（生锈）</w:t>
                  </w:r>
                </w:p>
              </w:tc>
              <w:tc>
                <w:tcPr>
                  <w:tcW w:w="2044" w:type="dxa"/>
                  <w:tcBorders>
                    <w:tl2br w:val="nil"/>
                    <w:tr2bl w:val="nil"/>
                  </w:tcBorders>
                  <w:shd w:val="clear" w:color="auto" w:fill="auto"/>
                  <w:vAlign w:val="center"/>
                </w:tcPr>
                <w:p w14:paraId="0A112BBE">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低急性毒性（大鼠经口LD₅₀:30g/kg）。吸入铁粉粉尘是主要风险，长期接触可能导致良性铁尘肺</w:t>
                  </w:r>
                </w:p>
              </w:tc>
              <w:tc>
                <w:tcPr>
                  <w:tcW w:w="1632" w:type="dxa"/>
                  <w:tcBorders>
                    <w:tl2br w:val="nil"/>
                    <w:tr2bl w:val="nil"/>
                  </w:tcBorders>
                  <w:vAlign w:val="center"/>
                </w:tcPr>
                <w:p w14:paraId="4D8DB9DC">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本身不易自燃，但细粉尘在空气中达到一定浓度时，遇明火、火花或高温有粉尘爆炸风险。与强氧化剂剧烈反应</w:t>
                  </w:r>
                </w:p>
              </w:tc>
            </w:tr>
            <w:tr w14:paraId="32E24C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623CF5D9">
                  <w:pPr>
                    <w:pStyle w:val="14"/>
                    <w:keepNext w:val="0"/>
                    <w:keepLines w:val="0"/>
                    <w:suppressLineNumbers w:val="0"/>
                    <w:spacing w:before="0" w:beforeLines="0" w:beforeAutospacing="0" w:after="0" w:afterAutospacing="0" w:line="276" w:lineRule="auto"/>
                    <w:ind w:left="0" w:right="0"/>
                    <w:jc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5</w:t>
                  </w:r>
                </w:p>
              </w:tc>
              <w:tc>
                <w:tcPr>
                  <w:tcW w:w="1067" w:type="dxa"/>
                  <w:tcBorders>
                    <w:tl2br w:val="nil"/>
                    <w:tr2bl w:val="nil"/>
                  </w:tcBorders>
                  <w:vAlign w:val="center"/>
                </w:tcPr>
                <w:p w14:paraId="715BD53D">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酒精</w:t>
                  </w:r>
                </w:p>
              </w:tc>
              <w:tc>
                <w:tcPr>
                  <w:tcW w:w="2989" w:type="dxa"/>
                  <w:tcBorders>
                    <w:tl2br w:val="nil"/>
                    <w:tr2bl w:val="nil"/>
                  </w:tcBorders>
                  <w:vAlign w:val="center"/>
                </w:tcPr>
                <w:p w14:paraId="3FF248FE">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无色液体，有酒香。熔点为-114.1℃，沸点为78.3℃，相对密度（水=1）为0.79。能与水混溶，也可混溶于醚、氯仿、甘油等多数有机溶剂中</w:t>
                  </w:r>
                </w:p>
              </w:tc>
              <w:tc>
                <w:tcPr>
                  <w:tcW w:w="2044" w:type="dxa"/>
                  <w:tcBorders>
                    <w:tl2br w:val="nil"/>
                    <w:tr2bl w:val="nil"/>
                  </w:tcBorders>
                  <w:shd w:val="clear" w:color="auto" w:fill="auto"/>
                  <w:vAlign w:val="center"/>
                </w:tcPr>
                <w:p w14:paraId="2C5EC3A0">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属微毒类，其急性毒性数据为：兔经口LD50为7060mg/kg，大鼠吸入LC50为37620mg/m³（10小时）</w:t>
                  </w:r>
                </w:p>
              </w:tc>
              <w:tc>
                <w:tcPr>
                  <w:tcW w:w="1632" w:type="dxa"/>
                  <w:tcBorders>
                    <w:tl2br w:val="nil"/>
                    <w:tr2bl w:val="nil"/>
                  </w:tcBorders>
                  <w:vAlign w:val="center"/>
                </w:tcPr>
                <w:p w14:paraId="1BCBF172">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其蒸气与空气可形成爆炸性混合物。遇明火、高热能引起燃烧爆炸。蒸气比空气重，能在较低处扩散，遇火源会回燃</w:t>
                  </w:r>
                </w:p>
              </w:tc>
            </w:tr>
            <w:tr w14:paraId="6BB4FC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218505C9">
                  <w:pPr>
                    <w:pStyle w:val="14"/>
                    <w:keepNext w:val="0"/>
                    <w:keepLines w:val="0"/>
                    <w:suppressLineNumbers w:val="0"/>
                    <w:spacing w:before="0" w:beforeLines="0" w:beforeAutospacing="0" w:after="0" w:afterAutospacing="0" w:line="276" w:lineRule="auto"/>
                    <w:ind w:left="0" w:right="0"/>
                    <w:jc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6</w:t>
                  </w:r>
                </w:p>
              </w:tc>
              <w:tc>
                <w:tcPr>
                  <w:tcW w:w="1067" w:type="dxa"/>
                  <w:tcBorders>
                    <w:tl2br w:val="nil"/>
                    <w:tr2bl w:val="nil"/>
                  </w:tcBorders>
                  <w:vAlign w:val="center"/>
                </w:tcPr>
                <w:p w14:paraId="2547E383">
                  <w:pPr>
                    <w:keepNext w:val="0"/>
                    <w:keepLines w:val="0"/>
                    <w:suppressLineNumbers w:val="0"/>
                    <w:spacing w:before="0" w:beforeLines="0" w:beforeAutospacing="0" w:after="0" w:afterAutospacing="0" w:line="276" w:lineRule="auto"/>
                    <w:ind w:left="0" w:leftChars="0" w:right="0" w:rightChars="0"/>
                    <w:jc w:val="center"/>
                    <w:rPr>
                      <w:rFonts w:hint="default" w:ascii="Times New Roman" w:hAnsi="Times New Roman" w:cs="Times New Roman"/>
                      <w:bCs/>
                      <w:sz w:val="21"/>
                      <w:szCs w:val="21"/>
                    </w:rPr>
                  </w:pPr>
                  <w:r>
                    <w:rPr>
                      <w:rFonts w:hint="eastAsia" w:ascii="Times New Roman" w:hAnsi="Times New Roman" w:eastAsia="宋体" w:cs="Times New Roman"/>
                      <w:szCs w:val="21"/>
                    </w:rPr>
                    <w:t>胰酪大豆胨琼脂培养基</w:t>
                  </w:r>
                </w:p>
              </w:tc>
              <w:tc>
                <w:tcPr>
                  <w:tcW w:w="2989" w:type="dxa"/>
                  <w:tcBorders>
                    <w:tl2br w:val="nil"/>
                    <w:tr2bl w:val="nil"/>
                  </w:tcBorders>
                  <w:vAlign w:val="center"/>
                </w:tcPr>
                <w:p w14:paraId="1B797D8F">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淡黄色凝胶固体。主要成分为胰蛋白胨（15.0g/L）、大豆胨（5.0g/L）、氯化钠（5.0g/L）和琼脂（15.0g/L）。其pH值为7.3±0.2（25℃）</w:t>
                  </w:r>
                </w:p>
              </w:tc>
              <w:tc>
                <w:tcPr>
                  <w:tcW w:w="2044" w:type="dxa"/>
                  <w:tcBorders>
                    <w:tl2br w:val="nil"/>
                    <w:tr2bl w:val="nil"/>
                  </w:tcBorders>
                  <w:shd w:val="clear" w:color="auto" w:fill="auto"/>
                  <w:vAlign w:val="center"/>
                </w:tcPr>
                <w:p w14:paraId="6F84D710">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基本无害，由微生物生长的营养物质组成，不含毒性成分</w:t>
                  </w:r>
                </w:p>
              </w:tc>
              <w:tc>
                <w:tcPr>
                  <w:tcW w:w="1632" w:type="dxa"/>
                  <w:tcBorders>
                    <w:tl2br w:val="nil"/>
                    <w:tr2bl w:val="nil"/>
                  </w:tcBorders>
                  <w:vAlign w:val="center"/>
                </w:tcPr>
                <w:p w14:paraId="5886B41A">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不易燃易爆</w:t>
                  </w:r>
                </w:p>
              </w:tc>
            </w:tr>
            <w:tr w14:paraId="71FE37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25F48752">
                  <w:pPr>
                    <w:pStyle w:val="14"/>
                    <w:keepNext w:val="0"/>
                    <w:keepLines w:val="0"/>
                    <w:suppressLineNumbers w:val="0"/>
                    <w:spacing w:before="0" w:beforeLines="0" w:beforeAutospacing="0" w:after="0" w:afterAutospacing="0" w:line="276" w:lineRule="auto"/>
                    <w:ind w:left="0" w:right="0"/>
                    <w:jc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7</w:t>
                  </w:r>
                </w:p>
              </w:tc>
              <w:tc>
                <w:tcPr>
                  <w:tcW w:w="1067" w:type="dxa"/>
                  <w:tcBorders>
                    <w:tl2br w:val="nil"/>
                    <w:tr2bl w:val="nil"/>
                  </w:tcBorders>
                  <w:vAlign w:val="center"/>
                </w:tcPr>
                <w:p w14:paraId="7561FF86">
                  <w:pPr>
                    <w:keepNext w:val="0"/>
                    <w:keepLines w:val="0"/>
                    <w:suppressLineNumbers w:val="0"/>
                    <w:spacing w:before="0" w:beforeLines="0" w:beforeAutospacing="0" w:after="0" w:afterAutospacing="0" w:line="276" w:lineRule="auto"/>
                    <w:ind w:left="0" w:leftChars="0" w:right="0" w:rightChars="0"/>
                    <w:jc w:val="center"/>
                    <w:rPr>
                      <w:rFonts w:hint="default" w:ascii="Times New Roman" w:hAnsi="Times New Roman" w:cs="Times New Roman"/>
                      <w:bCs/>
                      <w:sz w:val="21"/>
                      <w:szCs w:val="21"/>
                    </w:rPr>
                  </w:pPr>
                  <w:r>
                    <w:rPr>
                      <w:rFonts w:hint="eastAsia" w:ascii="Times New Roman" w:hAnsi="Times New Roman" w:eastAsia="宋体" w:cs="Times New Roman"/>
                      <w:szCs w:val="21"/>
                    </w:rPr>
                    <w:t>沙氏葡萄糖琼脂培养基</w:t>
                  </w:r>
                </w:p>
              </w:tc>
              <w:tc>
                <w:tcPr>
                  <w:tcW w:w="2989" w:type="dxa"/>
                  <w:tcBorders>
                    <w:tl2br w:val="nil"/>
                    <w:tr2bl w:val="nil"/>
                  </w:tcBorders>
                  <w:vAlign w:val="center"/>
                </w:tcPr>
                <w:p w14:paraId="3D04A427">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淡黄色凝胶固体。主要成分为动物组织胃蛋白酶水解物和胰酪胨等量混合物（10.0g/L）、葡萄糖（40.0g/L）和琼脂（15.0g/L）。其pH值为5.6±0.2（25℃），呈酸性</w:t>
                  </w:r>
                </w:p>
              </w:tc>
              <w:tc>
                <w:tcPr>
                  <w:tcW w:w="2044" w:type="dxa"/>
                  <w:tcBorders>
                    <w:tl2br w:val="nil"/>
                    <w:tr2bl w:val="nil"/>
                  </w:tcBorders>
                  <w:shd w:val="clear" w:color="auto" w:fill="auto"/>
                  <w:vAlign w:val="center"/>
                </w:tcPr>
                <w:p w14:paraId="15FA3C3E">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 w:val="0"/>
                      <w:bCs/>
                      <w:i w:val="0"/>
                      <w:iCs w:val="0"/>
                      <w:caps w:val="0"/>
                      <w:spacing w:val="0"/>
                      <w:sz w:val="21"/>
                      <w:szCs w:val="21"/>
                      <w:shd w:val="clear"/>
                    </w:rPr>
                    <w:t>基本无害</w:t>
                  </w:r>
                </w:p>
              </w:tc>
              <w:tc>
                <w:tcPr>
                  <w:tcW w:w="1632" w:type="dxa"/>
                  <w:tcBorders>
                    <w:tl2br w:val="nil"/>
                    <w:tr2bl w:val="nil"/>
                  </w:tcBorders>
                  <w:vAlign w:val="center"/>
                </w:tcPr>
                <w:p w14:paraId="4DFCAA5A">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 w:val="0"/>
                      <w:bCs/>
                      <w:i w:val="0"/>
                      <w:iCs w:val="0"/>
                      <w:caps w:val="0"/>
                      <w:spacing w:val="0"/>
                      <w:sz w:val="21"/>
                      <w:szCs w:val="21"/>
                      <w:shd w:val="clear"/>
                    </w:rPr>
                    <w:t>不易燃易爆</w:t>
                  </w:r>
                </w:p>
              </w:tc>
            </w:tr>
            <w:tr w14:paraId="1A0B58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789BB453">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8</w:t>
                  </w:r>
                </w:p>
              </w:tc>
              <w:tc>
                <w:tcPr>
                  <w:tcW w:w="1067" w:type="dxa"/>
                  <w:tcBorders>
                    <w:tl2br w:val="nil"/>
                    <w:tr2bl w:val="nil"/>
                  </w:tcBorders>
                  <w:vAlign w:val="center"/>
                </w:tcPr>
                <w:p w14:paraId="42E86267">
                  <w:pPr>
                    <w:keepNext w:val="0"/>
                    <w:keepLines w:val="0"/>
                    <w:suppressLineNumbers w:val="0"/>
                    <w:spacing w:before="0" w:beforeLines="0" w:beforeAutospacing="0" w:after="0" w:afterAutospacing="0" w:line="276" w:lineRule="auto"/>
                    <w:ind w:left="0" w:leftChars="0" w:right="0" w:rightChars="0"/>
                    <w:jc w:val="center"/>
                    <w:rPr>
                      <w:rFonts w:hint="default" w:ascii="Times New Roman" w:hAnsi="Times New Roman" w:cs="Times New Roman"/>
                      <w:bCs/>
                      <w:sz w:val="21"/>
                      <w:szCs w:val="21"/>
                    </w:rPr>
                  </w:pPr>
                  <w:r>
                    <w:rPr>
                      <w:rFonts w:hint="eastAsia" w:ascii="Times New Roman" w:hAnsi="Times New Roman" w:eastAsia="宋体" w:cs="Times New Roman"/>
                      <w:szCs w:val="21"/>
                    </w:rPr>
                    <w:t>胰酪大豆胨液体培养基</w:t>
                  </w:r>
                </w:p>
              </w:tc>
              <w:tc>
                <w:tcPr>
                  <w:tcW w:w="2989" w:type="dxa"/>
                  <w:tcBorders>
                    <w:tl2br w:val="nil"/>
                    <w:tr2bl w:val="nil"/>
                  </w:tcBorders>
                  <w:vAlign w:val="center"/>
                </w:tcPr>
                <w:p w14:paraId="612A0B3E">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淡黄色透明液体。主要成分为胰蛋白胨（17.0g/L）、大豆胨（3.0g/L）、氯化钠（5.0g/L）、磷酸氢二钾（2.5g/L）和葡萄糖（2.5g/L）。其pH值为7.3±0.2（25℃）</w:t>
                  </w:r>
                </w:p>
              </w:tc>
              <w:tc>
                <w:tcPr>
                  <w:tcW w:w="2044" w:type="dxa"/>
                  <w:tcBorders>
                    <w:tl2br w:val="nil"/>
                    <w:tr2bl w:val="nil"/>
                  </w:tcBorders>
                  <w:shd w:val="clear" w:color="auto" w:fill="auto"/>
                  <w:vAlign w:val="center"/>
                </w:tcPr>
                <w:p w14:paraId="6A60366F">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基本无害</w:t>
                  </w:r>
                </w:p>
              </w:tc>
              <w:tc>
                <w:tcPr>
                  <w:tcW w:w="1632" w:type="dxa"/>
                  <w:tcBorders>
                    <w:tl2br w:val="nil"/>
                    <w:tr2bl w:val="nil"/>
                  </w:tcBorders>
                  <w:vAlign w:val="center"/>
                </w:tcPr>
                <w:p w14:paraId="545BB605">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不易燃易爆</w:t>
                  </w:r>
                </w:p>
              </w:tc>
            </w:tr>
            <w:tr w14:paraId="47831D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146E25DB">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9</w:t>
                  </w:r>
                </w:p>
              </w:tc>
              <w:tc>
                <w:tcPr>
                  <w:tcW w:w="1067" w:type="dxa"/>
                  <w:tcBorders>
                    <w:tl2br w:val="nil"/>
                    <w:tr2bl w:val="nil"/>
                  </w:tcBorders>
                  <w:vAlign w:val="center"/>
                </w:tcPr>
                <w:p w14:paraId="1D16D7B2">
                  <w:pPr>
                    <w:keepNext w:val="0"/>
                    <w:keepLines w:val="0"/>
                    <w:suppressLineNumbers w:val="0"/>
                    <w:spacing w:before="0" w:beforeLines="0" w:beforeAutospacing="0" w:after="0" w:afterAutospacing="0" w:line="276" w:lineRule="auto"/>
                    <w:ind w:left="0" w:leftChars="0" w:right="0" w:rightChars="0"/>
                    <w:jc w:val="center"/>
                    <w:rPr>
                      <w:rFonts w:hint="default" w:ascii="Times New Roman" w:hAnsi="Times New Roman" w:cs="Times New Roman"/>
                      <w:bCs/>
                      <w:sz w:val="21"/>
                      <w:szCs w:val="21"/>
                    </w:rPr>
                  </w:pPr>
                  <w:r>
                    <w:rPr>
                      <w:rFonts w:hint="eastAsia" w:ascii="Times New Roman" w:hAnsi="Times New Roman" w:eastAsia="宋体" w:cs="Times New Roman"/>
                      <w:szCs w:val="21"/>
                    </w:rPr>
                    <w:t>麦康凯液体培养基</w:t>
                  </w:r>
                </w:p>
              </w:tc>
              <w:tc>
                <w:tcPr>
                  <w:tcW w:w="2989" w:type="dxa"/>
                  <w:tcBorders>
                    <w:tl2br w:val="nil"/>
                    <w:tr2bl w:val="nil"/>
                  </w:tcBorders>
                  <w:vAlign w:val="center"/>
                </w:tcPr>
                <w:p w14:paraId="62578534">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紫色透明液体。主要成分为明胶胰酶水解物（20.0g/L）、乳糖（10.0g/L）、牛胆盐（5.0g/L，抑制革兰氏阳性菌）和pH指示剂溴甲酚紫（0.01g/L）。其pH值为7.3±0.2（25℃）。当大肠菌群发酵乳糖产酸时，培养基颜色会由紫色变为黄色</w:t>
                  </w:r>
                </w:p>
              </w:tc>
              <w:tc>
                <w:tcPr>
                  <w:tcW w:w="2044" w:type="dxa"/>
                  <w:tcBorders>
                    <w:tl2br w:val="nil"/>
                    <w:tr2bl w:val="nil"/>
                  </w:tcBorders>
                  <w:shd w:val="clear" w:color="auto" w:fill="auto"/>
                  <w:vAlign w:val="center"/>
                </w:tcPr>
                <w:p w14:paraId="17FDBFB0">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基本无害</w:t>
                  </w:r>
                </w:p>
              </w:tc>
              <w:tc>
                <w:tcPr>
                  <w:tcW w:w="1632" w:type="dxa"/>
                  <w:tcBorders>
                    <w:tl2br w:val="nil"/>
                    <w:tr2bl w:val="nil"/>
                  </w:tcBorders>
                  <w:vAlign w:val="center"/>
                </w:tcPr>
                <w:p w14:paraId="7D3CF626">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不易燃易爆</w:t>
                  </w:r>
                </w:p>
              </w:tc>
            </w:tr>
            <w:tr w14:paraId="6041A9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037F16FF">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10</w:t>
                  </w:r>
                </w:p>
              </w:tc>
              <w:tc>
                <w:tcPr>
                  <w:tcW w:w="1067" w:type="dxa"/>
                  <w:tcBorders>
                    <w:tl2br w:val="nil"/>
                    <w:tr2bl w:val="nil"/>
                  </w:tcBorders>
                  <w:vAlign w:val="center"/>
                </w:tcPr>
                <w:p w14:paraId="65B21AA1">
                  <w:pPr>
                    <w:keepNext w:val="0"/>
                    <w:keepLines w:val="0"/>
                    <w:suppressLineNumbers w:val="0"/>
                    <w:spacing w:before="0" w:beforeLines="0" w:beforeAutospacing="0" w:after="0" w:afterAutospacing="0" w:line="276" w:lineRule="auto"/>
                    <w:ind w:left="0" w:right="0"/>
                    <w:jc w:val="center"/>
                    <w:rPr>
                      <w:rFonts w:hint="default"/>
                    </w:rPr>
                  </w:pPr>
                  <w:r>
                    <w:rPr>
                      <w:rFonts w:hint="eastAsia" w:ascii="Times New Roman" w:hAnsi="Times New Roman" w:eastAsia="宋体" w:cs="Times New Roman"/>
                      <w:szCs w:val="21"/>
                    </w:rPr>
                    <w:t>麦康凯琼脂培养基</w:t>
                  </w:r>
                </w:p>
              </w:tc>
              <w:tc>
                <w:tcPr>
                  <w:tcW w:w="2989" w:type="dxa"/>
                  <w:tcBorders>
                    <w:tl2br w:val="nil"/>
                    <w:tr2bl w:val="nil"/>
                  </w:tcBorders>
                  <w:vAlign w:val="center"/>
                </w:tcPr>
                <w:p w14:paraId="2930E484">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红色凝胶固体。主要成分为明胶胰酶水解物（17.0g/L）、胨（3.0g/L）、乳糖（10.0g/L）、氯化钠（5.0g/L）、脱氧胆酸钠（1.5g/L，抑制革兰氏阳性菌）、中性红（30.0mg/L，pH指示剂）、结晶紫（1.0mg/L，抑制革兰氏阳性菌）和琼脂（13.5g/L）。其pH值为7.1±0.2（25℃）。发酵乳糖的菌落会呈粉红或红色</w:t>
                  </w:r>
                </w:p>
              </w:tc>
              <w:tc>
                <w:tcPr>
                  <w:tcW w:w="2044" w:type="dxa"/>
                  <w:tcBorders>
                    <w:tl2br w:val="nil"/>
                    <w:tr2bl w:val="nil"/>
                  </w:tcBorders>
                  <w:shd w:val="clear" w:color="auto" w:fill="auto"/>
                  <w:vAlign w:val="center"/>
                </w:tcPr>
                <w:p w14:paraId="5CC84E6E">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基本无害</w:t>
                  </w:r>
                </w:p>
              </w:tc>
              <w:tc>
                <w:tcPr>
                  <w:tcW w:w="1632" w:type="dxa"/>
                  <w:tcBorders>
                    <w:tl2br w:val="nil"/>
                    <w:tr2bl w:val="nil"/>
                  </w:tcBorders>
                  <w:vAlign w:val="center"/>
                </w:tcPr>
                <w:p w14:paraId="0FD08265">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不易燃易爆</w:t>
                  </w:r>
                </w:p>
              </w:tc>
            </w:tr>
            <w:tr w14:paraId="54E78C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4" w:type="dxa"/>
                  <w:tcBorders>
                    <w:tl2br w:val="nil"/>
                    <w:tr2bl w:val="nil"/>
                  </w:tcBorders>
                  <w:vAlign w:val="center"/>
                </w:tcPr>
                <w:p w14:paraId="17965B80">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11</w:t>
                  </w:r>
                </w:p>
              </w:tc>
              <w:tc>
                <w:tcPr>
                  <w:tcW w:w="1067" w:type="dxa"/>
                  <w:tcBorders>
                    <w:tl2br w:val="nil"/>
                    <w:tr2bl w:val="nil"/>
                  </w:tcBorders>
                  <w:vAlign w:val="center"/>
                </w:tcPr>
                <w:p w14:paraId="34D6BBD2">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pH-7氯化钠蛋白胨缓冲液（干粉）</w:t>
                  </w:r>
                </w:p>
              </w:tc>
              <w:tc>
                <w:tcPr>
                  <w:tcW w:w="2989" w:type="dxa"/>
                  <w:tcBorders>
                    <w:tl2br w:val="nil"/>
                    <w:tr2bl w:val="nil"/>
                  </w:tcBorders>
                  <w:vAlign w:val="center"/>
                </w:tcPr>
                <w:p w14:paraId="1C660B99">
                  <w:pPr>
                    <w:keepNext w:val="0"/>
                    <w:keepLines w:val="0"/>
                    <w:suppressLineNumbers w:val="0"/>
                    <w:spacing w:before="0" w:beforeLines="0" w:beforeAutospacing="0" w:after="0" w:afterAutospacing="0" w:line="276"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干燥粉末。每升培养基所含的成分为：磷酸二氢钾（3.56g）、无水磷酸氢二钠（5.77g，构成磷酸盐缓冲对）、氯化钠（4.3g，维持渗透压）和蛋白胨（1.0g）。溶解并灭菌后，其pH值为7.0</w:t>
                  </w:r>
                  <w:r>
                    <w:rPr>
                      <w:rFonts w:hint="default" w:ascii="Times New Roman" w:hAnsi="Times New Roman" w:eastAsia="宋体" w:cs="Times New Roman"/>
                      <w:bCs/>
                      <w:szCs w:val="21"/>
                      <w:lang w:val="en-US" w:eastAsia="zh-CN"/>
                    </w:rPr>
                    <w:t>±</w:t>
                  </w:r>
                  <w:r>
                    <w:rPr>
                      <w:rFonts w:hint="default" w:ascii="Times New Roman" w:hAnsi="Times New Roman" w:eastAsia="宋体" w:cs="Times New Roman"/>
                      <w:bCs/>
                      <w:szCs w:val="21"/>
                    </w:rPr>
                    <w:t>0.2</w:t>
                  </w:r>
                </w:p>
              </w:tc>
              <w:tc>
                <w:tcPr>
                  <w:tcW w:w="2044" w:type="dxa"/>
                  <w:tcBorders>
                    <w:tl2br w:val="nil"/>
                    <w:tr2bl w:val="nil"/>
                  </w:tcBorders>
                  <w:shd w:val="clear" w:color="auto" w:fill="auto"/>
                  <w:vAlign w:val="center"/>
                </w:tcPr>
                <w:p w14:paraId="18A53BB9">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基本无害</w:t>
                  </w:r>
                </w:p>
              </w:tc>
              <w:tc>
                <w:tcPr>
                  <w:tcW w:w="1632" w:type="dxa"/>
                  <w:tcBorders>
                    <w:tl2br w:val="nil"/>
                    <w:tr2bl w:val="nil"/>
                  </w:tcBorders>
                  <w:vAlign w:val="center"/>
                </w:tcPr>
                <w:p w14:paraId="4433AF39">
                  <w:pPr>
                    <w:pStyle w:val="14"/>
                    <w:keepNext w:val="0"/>
                    <w:keepLines w:val="0"/>
                    <w:suppressLineNumbers w:val="0"/>
                    <w:spacing w:before="0" w:beforeLines="0" w:beforeAutospacing="0" w:after="0" w:afterAutospacing="0" w:line="276"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不易燃易爆</w:t>
                  </w:r>
                </w:p>
              </w:tc>
            </w:tr>
          </w:tbl>
          <w:p w14:paraId="2492317C">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rPr>
              <w:t>6</w:t>
            </w:r>
            <w:r>
              <w:rPr>
                <w:rFonts w:hint="default" w:ascii="Times New Roman" w:hAnsi="Times New Roman" w:eastAsia="宋体" w:cs="Times New Roman"/>
                <w:b/>
                <w:bCs/>
                <w:sz w:val="24"/>
                <w:szCs w:val="24"/>
              </w:rPr>
              <w:t>、公用工程</w:t>
            </w:r>
          </w:p>
          <w:p w14:paraId="08E2E5F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（1）给水</w:t>
            </w:r>
          </w:p>
          <w:p w14:paraId="1C08CC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rPr>
              <w:t>本项目</w:t>
            </w:r>
            <w:r>
              <w:rPr>
                <w:rFonts w:hint="default" w:ascii="Times New Roman" w:hAnsi="Times New Roman" w:eastAsia="宋体" w:cs="Times New Roman"/>
                <w:sz w:val="24"/>
              </w:rPr>
              <w:t>用水</w:t>
            </w:r>
            <w:r>
              <w:rPr>
                <w:rFonts w:hint="eastAsia" w:ascii="Times New Roman" w:hAnsi="Times New Roman" w:eastAsia="宋体" w:cs="Times New Roman"/>
                <w:sz w:val="24"/>
              </w:rPr>
              <w:t>包括生活用水、后段清洗用水和保洁用水，新鲜水用水量约为7.82</w:t>
            </w:r>
            <w:r>
              <w:rPr>
                <w:rFonts w:hint="default" w:ascii="Times New Roman" w:hAnsi="Times New Roman" w:eastAsia="宋体" w:cs="Times New Roman"/>
                <w:sz w:val="24"/>
                <w:szCs w:val="28"/>
              </w:rPr>
              <w:t>m</w:t>
            </w:r>
            <w:r>
              <w:rPr>
                <w:rFonts w:hint="default"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/d</w:t>
            </w:r>
            <w:r>
              <w:rPr>
                <w:rFonts w:hint="eastAsia" w:ascii="Times New Roman" w:hAnsi="Times New Roman" w:eastAsia="宋体" w:cs="Times New Roman"/>
                <w:sz w:val="24"/>
              </w:rPr>
              <w:t>（</w:t>
            </w:r>
            <w:r>
              <w:rPr>
                <w:rFonts w:hint="eastAsia" w:ascii="Times New Roman" w:hAnsi="Times New Roman" w:eastAsia="宋体" w:cs="Times New Roman"/>
                <w:bCs/>
                <w:sz w:val="24"/>
                <w:szCs w:val="24"/>
              </w:rPr>
              <w:t>2346</w:t>
            </w:r>
            <w:r>
              <w:rPr>
                <w:rFonts w:hint="eastAsia" w:ascii="Times New Roman" w:hAnsi="Times New Roman" w:eastAsia="宋体" w:cs="Times New Roman"/>
                <w:sz w:val="24"/>
              </w:rPr>
              <w:t>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/a）。项目用水由市政供水管网供给。</w:t>
            </w:r>
          </w:p>
          <w:p w14:paraId="7F98717D">
            <w:pPr>
              <w:keepNext w:val="0"/>
              <w:keepLines w:val="0"/>
              <w:suppressLineNumbers w:val="0"/>
              <w:spacing w:before="0" w:beforeAutospacing="0" w:after="0" w:afterAutospacing="0" w:line="360" w:lineRule="auto"/>
              <w:ind w:left="0" w:right="0" w:firstLine="470" w:firstLineChars="196"/>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①生活</w:t>
            </w:r>
            <w:r>
              <w:rPr>
                <w:rFonts w:hint="eastAsia" w:ascii="Times New Roman" w:hAnsi="Times New Roman" w:eastAsia="宋体" w:cs="Times New Roman"/>
                <w:sz w:val="24"/>
                <w:szCs w:val="24"/>
                <w:lang w:val="en-US" w:eastAsia="zh-CN"/>
              </w:rPr>
              <w:t>用水</w:t>
            </w:r>
          </w:p>
          <w:p w14:paraId="6D6F74E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根据建设单位提供资料，本项目劳动定员</w:t>
            </w:r>
            <w:r>
              <w:rPr>
                <w:rFonts w:hint="eastAsia" w:ascii="Times New Roman" w:hAnsi="Times New Roman" w:eastAsia="宋体" w:cs="Times New Roman"/>
                <w:sz w:val="24"/>
                <w:szCs w:val="28"/>
              </w:rPr>
              <w:t>150</w:t>
            </w:r>
            <w:r>
              <w:rPr>
                <w:rFonts w:hint="default" w:ascii="Times New Roman" w:hAnsi="Times New Roman" w:eastAsia="宋体" w:cs="Times New Roman"/>
                <w:sz w:val="24"/>
                <w:szCs w:val="28"/>
              </w:rPr>
              <w:t>人，根据《安徽省行业用水定额》（</w:t>
            </w:r>
            <w:r>
              <w:rPr>
                <w:rFonts w:hint="eastAsia" w:ascii="Times New Roman" w:hAnsi="Times New Roman" w:eastAsia="宋体" w:cs="Times New Roman"/>
                <w:sz w:val="24"/>
                <w:szCs w:val="28"/>
              </w:rPr>
              <w:t>G</w:t>
            </w:r>
            <w:r>
              <w:rPr>
                <w:rFonts w:hint="default" w:ascii="Times New Roman" w:hAnsi="Times New Roman" w:eastAsia="宋体" w:cs="Times New Roman"/>
                <w:sz w:val="24"/>
                <w:szCs w:val="28"/>
              </w:rPr>
              <w:t>B34/T679-</w:t>
            </w:r>
            <w:r>
              <w:rPr>
                <w:rFonts w:hint="eastAsia" w:ascii="Times New Roman" w:hAnsi="Times New Roman" w:eastAsia="宋体" w:cs="Times New Roman"/>
                <w:sz w:val="24"/>
                <w:szCs w:val="28"/>
              </w:rPr>
              <w:t>2025</w:t>
            </w:r>
            <w:r>
              <w:rPr>
                <w:rFonts w:hint="default" w:ascii="Times New Roman" w:hAnsi="Times New Roman" w:eastAsia="宋体" w:cs="Times New Roman"/>
                <w:sz w:val="24"/>
                <w:szCs w:val="28"/>
              </w:rPr>
              <w:t>），</w:t>
            </w:r>
            <w:r>
              <w:rPr>
                <w:rFonts w:hint="eastAsia" w:ascii="Times New Roman" w:hAnsi="Times New Roman" w:eastAsia="宋体" w:cs="Times New Roman"/>
                <w:sz w:val="24"/>
                <w:szCs w:val="28"/>
              </w:rPr>
              <w:t>办公人员生活</w:t>
            </w:r>
            <w:r>
              <w:rPr>
                <w:rFonts w:hint="default" w:ascii="Times New Roman" w:hAnsi="Times New Roman" w:eastAsia="宋体" w:cs="Times New Roman"/>
                <w:sz w:val="24"/>
                <w:szCs w:val="28"/>
              </w:rPr>
              <w:t>用水量以</w:t>
            </w:r>
            <w:r>
              <w:rPr>
                <w:rFonts w:hint="eastAsia" w:ascii="Times New Roman" w:hAnsi="Times New Roman" w:eastAsia="宋体" w:cs="Times New Roman"/>
                <w:sz w:val="24"/>
                <w:szCs w:val="28"/>
              </w:rPr>
              <w:t>15m</w:t>
            </w:r>
            <w:r>
              <w:rPr>
                <w:rFonts w:hint="eastAsia"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/（人·</w:t>
            </w:r>
            <w:r>
              <w:rPr>
                <w:rFonts w:hint="eastAsia" w:ascii="Times New Roman" w:hAnsi="Times New Roman" w:eastAsia="宋体" w:cs="Times New Roman"/>
                <w:sz w:val="24"/>
                <w:szCs w:val="28"/>
              </w:rPr>
              <w:t>a</w:t>
            </w:r>
            <w:r>
              <w:rPr>
                <w:rFonts w:hint="default" w:ascii="Times New Roman" w:hAnsi="Times New Roman" w:eastAsia="宋体" w:cs="Times New Roman"/>
                <w:sz w:val="24"/>
                <w:szCs w:val="28"/>
              </w:rPr>
              <w:t>）计，则</w:t>
            </w:r>
            <w:r>
              <w:rPr>
                <w:rFonts w:hint="eastAsia" w:ascii="Times New Roman" w:hAnsi="Times New Roman" w:eastAsia="宋体" w:cs="Times New Roman"/>
                <w:sz w:val="24"/>
                <w:szCs w:val="28"/>
              </w:rPr>
              <w:t>项目日</w:t>
            </w:r>
            <w:r>
              <w:rPr>
                <w:rFonts w:hint="default" w:ascii="Times New Roman" w:hAnsi="Times New Roman" w:eastAsia="宋体" w:cs="Times New Roman"/>
                <w:sz w:val="24"/>
                <w:szCs w:val="28"/>
              </w:rPr>
              <w:t>用水量为</w:t>
            </w:r>
            <w:r>
              <w:rPr>
                <w:rFonts w:hint="eastAsia" w:ascii="Times New Roman" w:hAnsi="Times New Roman" w:eastAsia="宋体" w:cs="Times New Roman"/>
                <w:sz w:val="24"/>
                <w:szCs w:val="28"/>
              </w:rPr>
              <w:t>7.5</w:t>
            </w:r>
            <w:r>
              <w:rPr>
                <w:rFonts w:hint="default" w:ascii="Times New Roman" w:hAnsi="Times New Roman" w:eastAsia="宋体" w:cs="Times New Roman"/>
                <w:sz w:val="24"/>
                <w:szCs w:val="28"/>
              </w:rPr>
              <w:t>m</w:t>
            </w:r>
            <w:r>
              <w:rPr>
                <w:rFonts w:hint="default"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/d，合计年用水量为</w:t>
            </w:r>
            <w:r>
              <w:rPr>
                <w:rFonts w:hint="eastAsia" w:ascii="Times New Roman" w:hAnsi="Times New Roman" w:eastAsia="宋体" w:cs="Times New Roman"/>
                <w:sz w:val="24"/>
                <w:szCs w:val="28"/>
              </w:rPr>
              <w:t>2250</w:t>
            </w:r>
            <w:r>
              <w:rPr>
                <w:rFonts w:hint="default" w:ascii="Times New Roman" w:hAnsi="Times New Roman" w:eastAsia="宋体" w:cs="Times New Roman"/>
                <w:sz w:val="24"/>
                <w:szCs w:val="28"/>
              </w:rPr>
              <w:t>m</w:t>
            </w:r>
            <w:r>
              <w:rPr>
                <w:rFonts w:hint="default"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/a。</w:t>
            </w:r>
          </w:p>
          <w:p w14:paraId="701838EC">
            <w:pPr>
              <w:pStyle w:val="53"/>
              <w:keepNext w:val="0"/>
              <w:keepLines w:val="0"/>
              <w:suppressLineNumbers w:val="0"/>
              <w:spacing w:before="0" w:beforeAutospacing="0" w:after="0" w:afterAutospacing="0" w:line="360" w:lineRule="auto"/>
              <w:jc w:val="both"/>
              <w:rPr>
                <w:rFonts w:hint="eastAsia" w:ascii="Times New Roman" w:hAnsi="Times New Roman" w:eastAsia="宋体" w:cs="Times New Roman"/>
                <w:lang w:eastAsia="zh-CN"/>
              </w:rPr>
            </w:pPr>
            <w:r>
              <w:rPr>
                <w:rFonts w:hint="eastAsia" w:ascii="Times New Roman" w:hAnsi="Times New Roman" w:cs="Times New Roman"/>
                <w:lang w:val="en-US" w:eastAsia="zh-CN"/>
              </w:rPr>
              <w:t>②</w:t>
            </w:r>
            <w:r>
              <w:rPr>
                <w:rFonts w:hint="eastAsia" w:ascii="Times New Roman" w:hAnsi="Times New Roman" w:cs="Times New Roman"/>
              </w:rPr>
              <w:t>后段清洗</w:t>
            </w:r>
            <w:r>
              <w:rPr>
                <w:rFonts w:hint="eastAsia" w:ascii="Times New Roman" w:hAnsi="Times New Roman" w:cs="Times New Roman"/>
                <w:lang w:val="en-US" w:eastAsia="zh-CN"/>
              </w:rPr>
              <w:t>用水</w:t>
            </w:r>
          </w:p>
          <w:p w14:paraId="3FB5ECCC">
            <w:pPr>
              <w:pStyle w:val="53"/>
              <w:keepNext w:val="0"/>
              <w:keepLines w:val="0"/>
              <w:suppressLineNumbers w:val="0"/>
              <w:spacing w:before="0" w:beforeAutospacing="0" w:after="0" w:afterAutospacing="0" w:line="360" w:lineRule="auto"/>
              <w:jc w:val="both"/>
              <w:rPr>
                <w:rFonts w:hint="default"/>
              </w:rPr>
            </w:pPr>
            <w:r>
              <w:rPr>
                <w:rFonts w:hint="eastAsia" w:ascii="Times New Roman" w:hAnsi="Times New Roman" w:cs="Times New Roman"/>
                <w:lang w:eastAsia="zh-CN"/>
              </w:rPr>
              <w:t>质检室</w:t>
            </w:r>
            <w:r>
              <w:rPr>
                <w:rFonts w:hint="default" w:ascii="Times New Roman" w:hAnsi="Times New Roman" w:cs="Times New Roman"/>
              </w:rPr>
              <w:t>清洗实验器皿和实验装置时有废水产生，</w:t>
            </w:r>
            <w:r>
              <w:rPr>
                <w:rFonts w:hint="eastAsia" w:ascii="Times New Roman" w:hAnsi="Times New Roman" w:cs="Times New Roman"/>
                <w:lang w:eastAsia="zh-CN"/>
              </w:rPr>
              <w:t>质检室</w:t>
            </w:r>
            <w:r>
              <w:rPr>
                <w:rFonts w:hint="default" w:ascii="Times New Roman" w:hAnsi="Times New Roman" w:cs="Times New Roman"/>
              </w:rPr>
              <w:t>一次、二次清洗废液作危险废物处理，收集暂存于危险废物暂存间，定期委托有资质单位</w:t>
            </w:r>
            <w:r>
              <w:rPr>
                <w:rFonts w:hint="eastAsia" w:ascii="Times New Roman" w:hAnsi="Times New Roman" w:cs="Times New Roman"/>
              </w:rPr>
              <w:t>处置。</w:t>
            </w:r>
            <w:r>
              <w:rPr>
                <w:rFonts w:hint="default" w:ascii="Times New Roman" w:hAnsi="Times New Roman" w:cs="Times New Roman"/>
              </w:rPr>
              <w:t>本项目经一次</w:t>
            </w:r>
            <w:r>
              <w:rPr>
                <w:rFonts w:hint="eastAsia" w:ascii="Times New Roman" w:hAnsi="Times New Roman" w:cs="Times New Roman"/>
              </w:rPr>
              <w:t>、</w:t>
            </w:r>
            <w:r>
              <w:rPr>
                <w:rFonts w:hint="default" w:ascii="Times New Roman" w:hAnsi="Times New Roman" w:cs="Times New Roman"/>
              </w:rPr>
              <w:t>二次清洗后的后段清洗废水中特征污染物</w:t>
            </w:r>
            <w:r>
              <w:rPr>
                <w:rFonts w:hint="eastAsia" w:ascii="Times New Roman" w:hAnsi="Times New Roman" w:cs="Times New Roman"/>
                <w:lang w:val="en-US" w:eastAsia="zh-CN"/>
              </w:rPr>
              <w:t>浓度较低</w:t>
            </w:r>
            <w:r>
              <w:rPr>
                <w:rFonts w:hint="eastAsia" w:ascii="Times New Roman" w:hAnsi="Times New Roman" w:cs="Times New Roman"/>
              </w:rPr>
              <w:t>，后段清洗废水经pH调节后</w:t>
            </w:r>
            <w:r>
              <w:rPr>
                <w:rFonts w:hint="default" w:ascii="Times New Roman" w:cs="Times New Roman" w:hAnsiTheme="minorEastAsia"/>
                <w:bCs/>
                <w:szCs w:val="24"/>
              </w:rPr>
              <w:t>排入</w:t>
            </w:r>
            <w:r>
              <w:rPr>
                <w:rFonts w:hint="eastAsia" w:ascii="Times New Roman" w:hAnsi="Times New Roman"/>
                <w:kern w:val="0"/>
                <w:szCs w:val="24"/>
              </w:rPr>
              <w:t>山南新区污水处理厂</w:t>
            </w:r>
            <w:r>
              <w:rPr>
                <w:rFonts w:hint="default" w:ascii="Times New Roman" w:cs="Times New Roman" w:hAnsiTheme="minorEastAsia"/>
                <w:bCs/>
                <w:szCs w:val="24"/>
              </w:rPr>
              <w:t>进一步处理</w:t>
            </w:r>
            <w:r>
              <w:rPr>
                <w:rFonts w:hint="eastAsia"/>
              </w:rPr>
              <w:t>。</w:t>
            </w:r>
          </w:p>
          <w:p w14:paraId="35E35C1D">
            <w:pPr>
              <w:pStyle w:val="53"/>
              <w:keepNext w:val="0"/>
              <w:keepLines w:val="0"/>
              <w:suppressLineNumbers w:val="0"/>
              <w:spacing w:before="0" w:beforeAutospacing="0" w:after="0" w:afterAutospacing="0" w:line="360" w:lineRule="auto"/>
              <w:jc w:val="both"/>
              <w:rPr>
                <w:rFonts w:hint="default" w:ascii="Times New Roman" w:hAnsi="Times New Roman" w:cs="Times New Roman"/>
              </w:rPr>
            </w:pPr>
            <w:r>
              <w:rPr>
                <w:rFonts w:hint="eastAsia"/>
                <w:lang w:val="en-US" w:eastAsia="zh-CN"/>
              </w:rPr>
              <w:t>参照同类型实验室后段清洗废水水质指标，</w:t>
            </w:r>
            <w:r>
              <w:rPr>
                <w:rFonts w:hint="eastAsia"/>
              </w:rPr>
              <w:t>项目</w:t>
            </w:r>
            <w:r>
              <w:rPr>
                <w:rFonts w:hint="default" w:ascii="Times New Roman" w:hAnsi="Times New Roman" w:cs="Times New Roman"/>
              </w:rPr>
              <w:t>后段清洗废水水质指标</w:t>
            </w:r>
            <w:r>
              <w:rPr>
                <w:rFonts w:hint="eastAsia" w:ascii="Times New Roman" w:hAnsi="Times New Roman" w:cs="Times New Roman"/>
              </w:rPr>
              <w:t>取</w:t>
            </w:r>
            <w:r>
              <w:rPr>
                <w:rFonts w:hint="default" w:ascii="Times New Roman" w:hAnsi="Times New Roman" w:cs="Times New Roman"/>
              </w:rPr>
              <w:t>：pH4～</w:t>
            </w:r>
            <w:r>
              <w:rPr>
                <w:rFonts w:hint="eastAsia" w:ascii="Times New Roman" w:hAnsi="Times New Roman" w:cs="Times New Roman"/>
              </w:rPr>
              <w:t>6</w:t>
            </w:r>
            <w:r>
              <w:rPr>
                <w:rFonts w:hint="default" w:ascii="Times New Roman" w:hAnsi="Times New Roman" w:cs="Times New Roman"/>
              </w:rPr>
              <w:t>，</w:t>
            </w:r>
            <w:r>
              <w:rPr>
                <w:rFonts w:hint="eastAsia" w:ascii="Times New Roman" w:cs="Times New Roman" w:hAnsiTheme="minorEastAsia"/>
                <w:bCs/>
                <w:szCs w:val="24"/>
              </w:rPr>
              <w:t>COD</w:t>
            </w:r>
            <w:r>
              <w:rPr>
                <w:rFonts w:hint="eastAsia" w:ascii="Times New Roman" w:cs="Times New Roman" w:hAnsiTheme="minorEastAsia"/>
                <w:bCs/>
                <w:szCs w:val="24"/>
                <w:vertAlign w:val="subscript"/>
              </w:rPr>
              <w:t>Cr</w:t>
            </w:r>
            <w:r>
              <w:rPr>
                <w:rFonts w:hint="default" w:ascii="Times New Roman" w:hAnsi="Times New Roman" w:cs="Times New Roman"/>
              </w:rPr>
              <w:t>≤300mg/L，</w:t>
            </w:r>
            <w:r>
              <w:rPr>
                <w:rFonts w:hint="default" w:ascii="Times New Roman" w:hAnsi="Times New Roman" w:cs="Times New Roman"/>
                <w:bCs/>
                <w:spacing w:val="-6"/>
              </w:rPr>
              <w:t>NH</w:t>
            </w:r>
            <w:r>
              <w:rPr>
                <w:rFonts w:hint="default" w:ascii="Times New Roman" w:hAnsi="Times New Roman" w:cs="Times New Roman"/>
                <w:bCs/>
                <w:spacing w:val="-6"/>
                <w:vertAlign w:val="subscript"/>
              </w:rPr>
              <w:t>3</w:t>
            </w:r>
            <w:r>
              <w:rPr>
                <w:rFonts w:hint="default" w:ascii="Times New Roman" w:hAnsi="Times New Roman" w:cs="Times New Roman"/>
                <w:bCs/>
                <w:spacing w:val="-6"/>
              </w:rPr>
              <w:t>-N</w:t>
            </w:r>
            <w:r>
              <w:rPr>
                <w:rFonts w:hint="default" w:ascii="Times New Roman" w:hAnsi="Times New Roman" w:cs="Times New Roman"/>
                <w:spacing w:val="-6"/>
              </w:rPr>
              <w:t>≤</w:t>
            </w:r>
            <w:r>
              <w:rPr>
                <w:rFonts w:hint="eastAsia" w:ascii="Times New Roman" w:hAnsi="Times New Roman" w:cs="Times New Roman"/>
                <w:spacing w:val="-6"/>
              </w:rPr>
              <w:t>25</w:t>
            </w:r>
            <w:r>
              <w:rPr>
                <w:rFonts w:hint="default" w:ascii="Times New Roman" w:hAnsi="Times New Roman" w:cs="Times New Roman"/>
                <w:spacing w:val="-6"/>
              </w:rPr>
              <w:t>mg/L，SS≤2</w:t>
            </w:r>
            <w:r>
              <w:rPr>
                <w:rFonts w:hint="eastAsia" w:ascii="Times New Roman" w:hAnsi="Times New Roman" w:cs="Times New Roman"/>
                <w:spacing w:val="-6"/>
              </w:rPr>
              <w:t>70</w:t>
            </w:r>
            <w:r>
              <w:rPr>
                <w:rFonts w:hint="default" w:ascii="Times New Roman" w:hAnsi="Times New Roman" w:cs="Times New Roman"/>
                <w:spacing w:val="-6"/>
              </w:rPr>
              <w:t>mg/L</w:t>
            </w:r>
            <w:r>
              <w:rPr>
                <w:rFonts w:hint="eastAsia" w:ascii="Times New Roman" w:hAnsi="Times New Roman" w:cs="Times New Roman"/>
                <w:spacing w:val="-6"/>
                <w:lang w:eastAsia="zh-CN"/>
              </w:rPr>
              <w:t>，</w:t>
            </w:r>
            <w:r>
              <w:rPr>
                <w:rFonts w:hint="eastAsia" w:ascii="Times New Roman" w:hAnsi="Times New Roman" w:cs="Times New Roman"/>
                <w:spacing w:val="-6"/>
                <w:lang w:val="en-US" w:eastAsia="zh-CN"/>
              </w:rPr>
              <w:t>粪大肠菌群数</w:t>
            </w:r>
            <w:r>
              <w:rPr>
                <w:rFonts w:hint="default" w:ascii="Times New Roman" w:hAnsi="Times New Roman" w:cs="Times New Roman"/>
                <w:spacing w:val="-6"/>
              </w:rPr>
              <w:t>≤</w:t>
            </w:r>
            <w:r>
              <w:rPr>
                <w:rFonts w:hint="eastAsia" w:ascii="Times New Roman" w:hAnsi="Times New Roman" w:cs="Times New Roman"/>
                <w:spacing w:val="-6"/>
                <w:lang w:val="en-US" w:eastAsia="zh-CN"/>
              </w:rPr>
              <w:t>1500个</w:t>
            </w:r>
            <w:r>
              <w:rPr>
                <w:rFonts w:hint="default" w:ascii="Times New Roman" w:hAnsi="Times New Roman" w:cs="Times New Roman"/>
                <w:spacing w:val="-6"/>
              </w:rPr>
              <w:t>/L。</w:t>
            </w:r>
            <w:r>
              <w:rPr>
                <w:rFonts w:hint="eastAsia" w:ascii="Times New Roman" w:hAnsi="Times New Roman" w:cs="Times New Roman"/>
                <w:spacing w:val="-6"/>
                <w:lang w:eastAsia="zh-CN"/>
              </w:rPr>
              <w:t>质检室</w:t>
            </w:r>
            <w:r>
              <w:rPr>
                <w:rFonts w:hint="default" w:ascii="Times New Roman" w:hAnsi="Times New Roman" w:cs="Times New Roman"/>
                <w:spacing w:val="-6"/>
              </w:rPr>
              <w:t>后段清洗用水量0.02m</w:t>
            </w:r>
            <w:r>
              <w:rPr>
                <w:rFonts w:hint="eastAsia" w:ascii="Times New Roman" w:hAnsi="Times New Roman" w:cs="Times New Roman"/>
                <w:spacing w:val="-6"/>
                <w:vertAlign w:val="superscript"/>
              </w:rPr>
              <w:t>3</w:t>
            </w:r>
            <w:r>
              <w:rPr>
                <w:rFonts w:hint="default" w:ascii="Times New Roman" w:hAnsi="Times New Roman" w:cs="Times New Roman"/>
                <w:spacing w:val="-6"/>
              </w:rPr>
              <w:t>/d（6m</w:t>
            </w:r>
            <w:r>
              <w:rPr>
                <w:rFonts w:hint="eastAsia" w:ascii="Times New Roman" w:hAnsi="Times New Roman" w:cs="Times New Roman"/>
                <w:spacing w:val="-6"/>
                <w:vertAlign w:val="superscript"/>
              </w:rPr>
              <w:t>3</w:t>
            </w:r>
            <w:r>
              <w:rPr>
                <w:rFonts w:hint="default" w:ascii="Times New Roman" w:hAnsi="Times New Roman" w:cs="Times New Roman"/>
                <w:spacing w:val="-6"/>
              </w:rPr>
              <w:t>/a）</w:t>
            </w:r>
            <w:r>
              <w:rPr>
                <w:rFonts w:hint="default" w:ascii="Times New Roman" w:hAnsi="Times New Roman" w:cs="Times New Roman"/>
              </w:rPr>
              <w:t>。</w:t>
            </w:r>
          </w:p>
          <w:p w14:paraId="54CB4BA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8"/>
              </w:rPr>
            </w:pPr>
            <w:r>
              <w:rPr>
                <w:rFonts w:hint="eastAsia" w:ascii="Times New Roman" w:hAnsi="Times New Roman" w:eastAsia="宋体" w:cs="Times New Roman"/>
                <w:sz w:val="24"/>
                <w:szCs w:val="28"/>
                <w:lang w:val="en-US" w:eastAsia="zh-CN"/>
              </w:rPr>
              <w:t>③</w:t>
            </w:r>
            <w:r>
              <w:rPr>
                <w:rFonts w:hint="eastAsia" w:ascii="Times New Roman" w:hAnsi="Times New Roman" w:eastAsia="宋体" w:cs="Times New Roman"/>
                <w:sz w:val="24"/>
                <w:szCs w:val="28"/>
              </w:rPr>
              <w:t>保洁用水</w:t>
            </w:r>
          </w:p>
          <w:p w14:paraId="0A316B5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8"/>
              </w:rPr>
            </w:pPr>
            <w:r>
              <w:rPr>
                <w:rFonts w:hint="eastAsia" w:ascii="Times New Roman" w:hAnsi="Times New Roman" w:eastAsia="宋体" w:cs="Times New Roman"/>
                <w:sz w:val="24"/>
                <w:szCs w:val="28"/>
              </w:rPr>
              <w:t>项目运营期间主要对项目办公区和干燥剂生产区地面进行清洗，每5天清洗一次。</w:t>
            </w:r>
            <w:r>
              <w:rPr>
                <w:rFonts w:hint="eastAsia" w:ascii="Times New Roman" w:hAnsi="Times New Roman" w:eastAsia="宋体" w:cs="Times New Roman"/>
                <w:kern w:val="0"/>
                <w:sz w:val="24"/>
                <w:szCs w:val="24"/>
              </w:rPr>
              <w:t>结合《建筑给水排水设计标准》（GB50015-2019）按2-3L/m</w:t>
            </w:r>
            <w:r>
              <w:rPr>
                <w:rFonts w:hint="eastAsia" w:ascii="Times New Roman" w:hAnsi="Times New Roman" w:eastAsia="宋体" w:cs="Times New Roman"/>
                <w:kern w:val="0"/>
                <w:sz w:val="24"/>
                <w:szCs w:val="24"/>
                <w:vertAlign w:val="superscript"/>
              </w:rPr>
              <w:t>2</w:t>
            </w:r>
            <w:r>
              <w:rPr>
                <w:rFonts w:hint="eastAsia" w:ascii="Times New Roman" w:hAnsi="Times New Roman" w:eastAsia="宋体" w:cs="Times New Roman"/>
                <w:kern w:val="0"/>
                <w:sz w:val="24"/>
                <w:szCs w:val="24"/>
              </w:rPr>
              <w:t>计算，本项目按3L/m</w:t>
            </w:r>
            <w:r>
              <w:rPr>
                <w:rFonts w:hint="eastAsia" w:ascii="Times New Roman" w:hAnsi="Times New Roman" w:eastAsia="宋体" w:cs="Times New Roman"/>
                <w:kern w:val="0"/>
                <w:sz w:val="24"/>
                <w:szCs w:val="24"/>
                <w:vertAlign w:val="superscript"/>
              </w:rPr>
              <w:t>2</w:t>
            </w:r>
            <w:r>
              <w:rPr>
                <w:rFonts w:hint="eastAsia" w:ascii="Times New Roman" w:hAnsi="Times New Roman" w:eastAsia="宋体" w:cs="Times New Roman"/>
                <w:kern w:val="0"/>
                <w:sz w:val="24"/>
                <w:szCs w:val="24"/>
              </w:rPr>
              <w:t>计算</w:t>
            </w:r>
            <w:r>
              <w:rPr>
                <w:rFonts w:hint="eastAsia" w:ascii="Times New Roman" w:hAnsi="Times New Roman" w:eastAsia="宋体" w:cs="Times New Roman"/>
                <w:sz w:val="24"/>
                <w:szCs w:val="28"/>
              </w:rPr>
              <w:t>，保洁面积约为500</w:t>
            </w:r>
            <w:r>
              <w:rPr>
                <w:rFonts w:hint="default" w:ascii="Times New Roman" w:hAnsi="Times New Roman" w:eastAsia="宋体" w:cs="Times New Roman"/>
                <w:sz w:val="24"/>
                <w:szCs w:val="28"/>
              </w:rPr>
              <w:t>m</w:t>
            </w:r>
            <w:r>
              <w:rPr>
                <w:rFonts w:hint="default" w:ascii="Times New Roman" w:hAnsi="Times New Roman" w:eastAsia="宋体" w:cs="Times New Roman"/>
                <w:sz w:val="24"/>
                <w:szCs w:val="28"/>
                <w:vertAlign w:val="superscript"/>
              </w:rPr>
              <w:t>2</w:t>
            </w:r>
            <w:r>
              <w:rPr>
                <w:rFonts w:hint="eastAsia" w:ascii="Times New Roman" w:hAnsi="Times New Roman" w:eastAsia="宋体" w:cs="Times New Roman"/>
                <w:sz w:val="24"/>
                <w:szCs w:val="28"/>
              </w:rPr>
              <w:t>，保洁用水量约为0.3m</w:t>
            </w:r>
            <w:r>
              <w:rPr>
                <w:rFonts w:hint="eastAsia"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/d</w:t>
            </w:r>
            <w:r>
              <w:rPr>
                <w:rFonts w:hint="eastAsia" w:ascii="Times New Roman" w:hAnsi="Times New Roman" w:eastAsia="宋体" w:cs="Times New Roman"/>
                <w:sz w:val="24"/>
                <w:szCs w:val="28"/>
              </w:rPr>
              <w:t>（90m</w:t>
            </w:r>
            <w:r>
              <w:rPr>
                <w:rFonts w:hint="eastAsia"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/a</w:t>
            </w:r>
            <w:r>
              <w:rPr>
                <w:rFonts w:hint="eastAsia" w:ascii="Times New Roman" w:hAnsi="Times New Roman" w:eastAsia="宋体" w:cs="Times New Roman"/>
                <w:sz w:val="24"/>
                <w:szCs w:val="28"/>
              </w:rPr>
              <w:t>）。</w:t>
            </w:r>
          </w:p>
          <w:p w14:paraId="7A8D34C3">
            <w:pPr>
              <w:keepNext w:val="0"/>
              <w:keepLines w:val="0"/>
              <w:suppressLineNumbers w:val="0"/>
              <w:tabs>
                <w:tab w:val="left" w:pos="2339"/>
              </w:tabs>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（2）排水</w:t>
            </w:r>
          </w:p>
          <w:p w14:paraId="0A04298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项</w:t>
            </w:r>
            <w:r>
              <w:rPr>
                <w:rFonts w:hint="eastAsia" w:ascii="Times New Roman" w:hAnsi="Times New Roman" w:eastAsia="宋体" w:cs="Times New Roman"/>
                <w:bCs/>
                <w:sz w:val="24"/>
                <w:szCs w:val="24"/>
              </w:rPr>
              <w:t>目区排水实行雨污分流制。</w:t>
            </w:r>
            <w:r>
              <w:rPr>
                <w:rFonts w:hint="default" w:ascii="Times New Roman" w:hAnsi="宋体"/>
                <w:sz w:val="24"/>
                <w:szCs w:val="24"/>
              </w:rPr>
              <w:t>雨水经园区内雨水管排入园区雨水管网。</w:t>
            </w:r>
            <w:r>
              <w:rPr>
                <w:rFonts w:hint="eastAsia" w:ascii="Times New Roman" w:hAnsi="Times New Roman" w:eastAsia="宋体" w:cs="Times New Roman"/>
                <w:bCs/>
                <w:sz w:val="24"/>
                <w:szCs w:val="24"/>
              </w:rPr>
              <w:t>本项目废水主要为</w:t>
            </w:r>
            <w:r>
              <w:rPr>
                <w:rFonts w:hint="eastAsia" w:ascii="Times New Roman" w:hAnsi="Times New Roman" w:eastAsia="宋体" w:cs="Times New Roman"/>
                <w:sz w:val="24"/>
              </w:rPr>
              <w:t>生活污水、后段清洗废水和保洁废水</w:t>
            </w:r>
            <w:r>
              <w:rPr>
                <w:rFonts w:hint="eastAsia" w:ascii="Times New Roman" w:hAnsi="Times New Roman" w:eastAsia="宋体" w:cs="Times New Roman"/>
                <w:bCs/>
                <w:sz w:val="24"/>
                <w:szCs w:val="24"/>
              </w:rPr>
              <w:t>，产生量约为6.633</w:t>
            </w:r>
            <w:r>
              <w:rPr>
                <w:rFonts w:hint="eastAsia" w:ascii="Times New Roman" w:hAnsi="Times New Roman" w:eastAsia="宋体" w:cs="Times New Roman"/>
                <w:sz w:val="24"/>
              </w:rPr>
              <w:t>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/d</w:t>
            </w:r>
            <w:r>
              <w:rPr>
                <w:rFonts w:hint="eastAsia" w:ascii="Times New Roman" w:hAnsi="Times New Roman" w:eastAsia="宋体" w:cs="Times New Roman"/>
                <w:bCs/>
                <w:sz w:val="24"/>
                <w:szCs w:val="24"/>
              </w:rPr>
              <w:t>（1989.9</w:t>
            </w:r>
            <w:r>
              <w:rPr>
                <w:rFonts w:hint="eastAsia" w:ascii="Times New Roman" w:hAnsi="Times New Roman" w:eastAsia="宋体" w:cs="Times New Roman"/>
                <w:sz w:val="24"/>
              </w:rPr>
              <w:t>m</w:t>
            </w:r>
            <w:r>
              <w:rPr>
                <w:rFonts w:hint="eastAsia" w:ascii="Times New Roman" w:hAnsi="Times New Roman" w:eastAsia="宋体" w:cs="Times New Roman"/>
                <w:sz w:val="24"/>
                <w:vertAlign w:val="superscript"/>
              </w:rPr>
              <w:t>3</w:t>
            </w:r>
            <w:r>
              <w:rPr>
                <w:rFonts w:hint="eastAsia" w:ascii="Times New Roman" w:hAnsi="Times New Roman" w:eastAsia="宋体" w:cs="Times New Roman"/>
                <w:bCs/>
                <w:sz w:val="24"/>
                <w:szCs w:val="24"/>
              </w:rPr>
              <w:t>/a）。</w:t>
            </w:r>
            <w:r>
              <w:rPr>
                <w:rFonts w:hint="eastAsia" w:ascii="Times New Roman" w:hAnsi="Times New Roman" w:eastAsia="宋体" w:cs="Times New Roman"/>
                <w:sz w:val="24"/>
              </w:rPr>
              <w:t>后段清洗废水和保洁废水经pH调节后与经化粪池处理后的</w:t>
            </w:r>
            <w:r>
              <w:rPr>
                <w:rFonts w:hint="default" w:ascii="Times New Roman" w:hAnsi="Times New Roman" w:eastAsia="宋体" w:cs="Times New Roman"/>
                <w:bCs/>
                <w:sz w:val="24"/>
                <w:szCs w:val="24"/>
              </w:rPr>
              <w:t>生活污水</w:t>
            </w:r>
            <w:r>
              <w:rPr>
                <w:rFonts w:hint="eastAsia" w:ascii="Times New Roman" w:hAnsi="Times New Roman" w:eastAsia="宋体" w:cs="Times New Roman"/>
                <w:bCs/>
                <w:sz w:val="24"/>
                <w:szCs w:val="24"/>
              </w:rPr>
              <w:t>一起</w:t>
            </w:r>
            <w:r>
              <w:rPr>
                <w:rFonts w:hint="default" w:ascii="Times New Roman" w:hAnsi="Times New Roman" w:eastAsia="宋体" w:cs="Times New Roman"/>
                <w:bCs/>
                <w:sz w:val="24"/>
                <w:szCs w:val="24"/>
              </w:rPr>
              <w:t>排入</w:t>
            </w:r>
            <w:r>
              <w:rPr>
                <w:rFonts w:hint="eastAsia" w:ascii="Times New Roman" w:hAnsi="Times New Roman" w:eastAsia="宋体" w:cs="Times New Roman"/>
                <w:bCs/>
                <w:sz w:val="24"/>
                <w:szCs w:val="24"/>
              </w:rPr>
              <w:t>山南新区污水处理厂</w:t>
            </w:r>
            <w:r>
              <w:rPr>
                <w:rFonts w:hint="default" w:ascii="Times New Roman" w:hAnsi="Times New Roman" w:eastAsia="宋体" w:cs="Times New Roman"/>
                <w:bCs/>
                <w:sz w:val="24"/>
                <w:szCs w:val="24"/>
              </w:rPr>
              <w:t>，尾水经</w:t>
            </w:r>
            <w:r>
              <w:rPr>
                <w:rFonts w:hint="eastAsia" w:ascii="Times New Roman" w:hAnsi="Times New Roman" w:eastAsia="宋体" w:cs="Times New Roman"/>
                <w:bCs/>
                <w:sz w:val="24"/>
                <w:szCs w:val="24"/>
              </w:rPr>
              <w:t>山南新区污水处理厂</w:t>
            </w:r>
            <w:r>
              <w:rPr>
                <w:rFonts w:hint="default" w:ascii="Times New Roman" w:hAnsi="Times New Roman" w:eastAsia="宋体" w:cs="Times New Roman"/>
                <w:bCs/>
                <w:sz w:val="24"/>
                <w:szCs w:val="24"/>
              </w:rPr>
              <w:t>处理达《城镇污水处理厂污染物排放标准》（GB18918-2002）中一级A标准，最终排放到淮河。</w:t>
            </w:r>
          </w:p>
          <w:p w14:paraId="0E2030E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本项目水平衡图见下图：</w:t>
            </w:r>
          </w:p>
          <w:p w14:paraId="3B6E9F29">
            <w:pPr>
              <w:pStyle w:val="3"/>
              <w:suppressLineNumbers w:val="0"/>
              <w:spacing w:before="0" w:beforeAutospacing="0" w:after="0" w:afterAutospacing="0" w:line="360" w:lineRule="auto"/>
              <w:ind w:left="0" w:right="0"/>
              <w:jc w:val="center"/>
              <w:rPr>
                <w:rFonts w:hint="default"/>
              </w:rPr>
            </w:pPr>
            <w:r>
              <w:rPr>
                <w:rFonts w:hint="default" w:ascii="Times New Roman" w:hAnsi="宋体"/>
                <w:bCs w:val="0"/>
                <w:sz w:val="24"/>
                <w:szCs w:val="24"/>
              </w:rPr>
              <mc:AlternateContent>
                <mc:Choice Requires="wpc">
                  <w:drawing>
                    <wp:inline distT="0" distB="0" distL="114300" distR="114300">
                      <wp:extent cx="4874260" cy="3649980"/>
                      <wp:effectExtent l="0" t="0" r="0" b="0"/>
                      <wp:docPr id="43" name="画布 3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3258"/>
                              <wps:cNvCnPr/>
                              <wps:spPr>
                                <a:xfrm>
                                  <a:off x="468630" y="596900"/>
                                  <a:ext cx="467360" cy="635"/>
                                </a:xfrm>
                                <a:prstGeom prst="straightConnector1">
                                  <a:avLst/>
                                </a:prstGeom>
                                <a:ln w="9525" cap="flat" cmpd="sng">
                                  <a:solidFill>
                                    <a:srgbClr val="000000"/>
                                  </a:solidFill>
                                  <a:prstDash val="solid"/>
                                  <a:headEnd type="none" w="med" len="med"/>
                                  <a:tailEnd type="none" w="med" len="med"/>
                                </a:ln>
                              </wps:spPr>
                              <wps:bodyPr/>
                            </wps:wsp>
                            <wps:wsp>
                              <wps:cNvPr id="3" name="Text Box 3259"/>
                              <wps:cNvSpPr txBox="1"/>
                              <wps:spPr>
                                <a:xfrm>
                                  <a:off x="935355" y="489585"/>
                                  <a:ext cx="680720"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221106">
                                    <w:pPr>
                                      <w:jc w:val="center"/>
                                      <w:rPr>
                                        <w:rFonts w:ascii="Times New Roman" w:hAnsi="Times New Roman" w:eastAsia="黑体"/>
                                        <w:sz w:val="18"/>
                                        <w:szCs w:val="18"/>
                                      </w:rPr>
                                    </w:pPr>
                                    <w:r>
                                      <w:rPr>
                                        <w:rFonts w:ascii="Times New Roman" w:hAnsi="黑体" w:eastAsia="黑体"/>
                                        <w:sz w:val="18"/>
                                        <w:szCs w:val="18"/>
                                      </w:rPr>
                                      <w:t>生活用水</w:t>
                                    </w:r>
                                  </w:p>
                                </w:txbxContent>
                              </wps:txbx>
                              <wps:bodyPr lIns="0" tIns="0" rIns="0" bIns="0" anchor="ctr" anchorCtr="0" upright="1"/>
                            </wps:wsp>
                            <wps:wsp>
                              <wps:cNvPr id="4" name="AutoShape 3260"/>
                              <wps:cNvCnPr/>
                              <wps:spPr>
                                <a:xfrm>
                                  <a:off x="1616075" y="597535"/>
                                  <a:ext cx="396240" cy="635"/>
                                </a:xfrm>
                                <a:prstGeom prst="straightConnector1">
                                  <a:avLst/>
                                </a:prstGeom>
                                <a:ln w="9525" cap="flat" cmpd="sng">
                                  <a:solidFill>
                                    <a:srgbClr val="000000"/>
                                  </a:solidFill>
                                  <a:prstDash val="solid"/>
                                  <a:headEnd type="none" w="med" len="med"/>
                                  <a:tailEnd type="triangle" w="sm" len="med"/>
                                </a:ln>
                              </wps:spPr>
                              <wps:bodyPr/>
                            </wps:wsp>
                            <wps:wsp>
                              <wps:cNvPr id="5" name="Text Box 3261"/>
                              <wps:cNvSpPr txBox="1"/>
                              <wps:spPr>
                                <a:xfrm>
                                  <a:off x="2026920" y="489585"/>
                                  <a:ext cx="683895"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85F378">
                                    <w:pPr>
                                      <w:jc w:val="center"/>
                                      <w:rPr>
                                        <w:rFonts w:ascii="Times New Roman" w:hAnsi="Times New Roman" w:eastAsia="黑体"/>
                                        <w:sz w:val="18"/>
                                        <w:szCs w:val="18"/>
                                      </w:rPr>
                                    </w:pPr>
                                    <w:r>
                                      <w:rPr>
                                        <w:rFonts w:ascii="Times New Roman" w:hAnsi="黑体" w:eastAsia="黑体"/>
                                        <w:sz w:val="18"/>
                                        <w:szCs w:val="18"/>
                                      </w:rPr>
                                      <w:t>化粪池</w:t>
                                    </w:r>
                                  </w:p>
                                </w:txbxContent>
                              </wps:txbx>
                              <wps:bodyPr lIns="0" tIns="0" rIns="0" bIns="0" anchor="ctr" anchorCtr="0" upright="1"/>
                            </wps:wsp>
                            <wps:wsp>
                              <wps:cNvPr id="6" name="Text Box 3264"/>
                              <wps:cNvSpPr txBox="1"/>
                              <wps:spPr>
                                <a:xfrm>
                                  <a:off x="3752850" y="2929255"/>
                                  <a:ext cx="680720" cy="187960"/>
                                </a:xfrm>
                                <a:prstGeom prst="rect">
                                  <a:avLst/>
                                </a:prstGeom>
                                <a:noFill/>
                                <a:ln>
                                  <a:noFill/>
                                </a:ln>
                              </wps:spPr>
                              <wps:txbx>
                                <w:txbxContent>
                                  <w:p w14:paraId="15C10A52">
                                    <w:pPr>
                                      <w:jc w:val="center"/>
                                      <w:rPr>
                                        <w:rFonts w:ascii="Times New Roman" w:hAnsi="Times New Roman" w:eastAsia="黑体"/>
                                        <w:sz w:val="18"/>
                                        <w:szCs w:val="18"/>
                                      </w:rPr>
                                    </w:pPr>
                                    <w:r>
                                      <w:rPr>
                                        <w:rFonts w:hint="eastAsia" w:ascii="Times New Roman" w:hAnsi="黑体" w:eastAsia="黑体"/>
                                        <w:sz w:val="18"/>
                                        <w:szCs w:val="18"/>
                                      </w:rPr>
                                      <w:t>高塘湖</w:t>
                                    </w:r>
                                  </w:p>
                                </w:txbxContent>
                              </wps:txbx>
                              <wps:bodyPr lIns="0" tIns="0" rIns="0" bIns="0" anchor="ctr" anchorCtr="0" upright="1"/>
                            </wps:wsp>
                            <wps:wsp>
                              <wps:cNvPr id="7" name="Text Box 3265"/>
                              <wps:cNvSpPr txBox="1"/>
                              <wps:spPr>
                                <a:xfrm>
                                  <a:off x="436245" y="369570"/>
                                  <a:ext cx="499745" cy="245745"/>
                                </a:xfrm>
                                <a:prstGeom prst="rect">
                                  <a:avLst/>
                                </a:prstGeom>
                                <a:noFill/>
                                <a:ln>
                                  <a:noFill/>
                                </a:ln>
                              </wps:spPr>
                              <wps:txbx>
                                <w:txbxContent>
                                  <w:p w14:paraId="530A9F0D">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7.5</w:t>
                                    </w:r>
                                  </w:p>
                                </w:txbxContent>
                              </wps:txbx>
                              <wps:bodyPr lIns="0" tIns="0" rIns="0" bIns="0" anchor="ctr" anchorCtr="0" upright="1"/>
                            </wps:wsp>
                            <wps:wsp>
                              <wps:cNvPr id="8" name="AutoShape 3270"/>
                              <wps:cNvCnPr/>
                              <wps:spPr>
                                <a:xfrm>
                                  <a:off x="4114800" y="2569210"/>
                                  <a:ext cx="635" cy="360045"/>
                                </a:xfrm>
                                <a:prstGeom prst="straightConnector1">
                                  <a:avLst/>
                                </a:prstGeom>
                                <a:ln w="9525" cap="flat" cmpd="sng">
                                  <a:solidFill>
                                    <a:srgbClr val="000000"/>
                                  </a:solidFill>
                                  <a:prstDash val="solid"/>
                                  <a:headEnd type="none" w="med" len="med"/>
                                  <a:tailEnd type="triangle" w="sm" len="med"/>
                                </a:ln>
                              </wps:spPr>
                              <wps:bodyPr/>
                            </wps:wsp>
                            <wps:wsp>
                              <wps:cNvPr id="9" name="Text Box 3274"/>
                              <wps:cNvSpPr txBox="1"/>
                              <wps:spPr>
                                <a:xfrm>
                                  <a:off x="210185" y="83185"/>
                                  <a:ext cx="499745" cy="191770"/>
                                </a:xfrm>
                                <a:prstGeom prst="rect">
                                  <a:avLst/>
                                </a:prstGeom>
                                <a:noFill/>
                                <a:ln>
                                  <a:noFill/>
                                </a:ln>
                              </wps:spPr>
                              <wps:txbx>
                                <w:txbxContent>
                                  <w:p w14:paraId="6186DD94">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7.82</w:t>
                                    </w:r>
                                  </w:p>
                                </w:txbxContent>
                              </wps:txbx>
                              <wps:bodyPr lIns="0" tIns="0" rIns="0" bIns="0" anchor="ctr" anchorCtr="0" upright="1"/>
                            </wps:wsp>
                            <wps:wsp>
                              <wps:cNvPr id="10" name="AutoShape 3275"/>
                              <wps:cNvCnPr/>
                              <wps:spPr>
                                <a:xfrm rot="-5400000">
                                  <a:off x="1241425" y="277495"/>
                                  <a:ext cx="210820" cy="205740"/>
                                </a:xfrm>
                                <a:prstGeom prst="curvedConnector3">
                                  <a:avLst>
                                    <a:gd name="adj1" fmla="val 49694"/>
                                  </a:avLst>
                                </a:prstGeom>
                                <a:ln w="9525" cap="flat" cmpd="sng">
                                  <a:solidFill>
                                    <a:srgbClr val="000000"/>
                                  </a:solidFill>
                                  <a:prstDash val="dash"/>
                                  <a:headEnd type="none" w="med" len="med"/>
                                  <a:tailEnd type="triangle" w="sm" len="med"/>
                                </a:ln>
                              </wps:spPr>
                              <wps:bodyPr/>
                            </wps:wsp>
                            <wps:wsp>
                              <wps:cNvPr id="13" name="Text Box 3276"/>
                              <wps:cNvSpPr txBox="1"/>
                              <wps:spPr>
                                <a:xfrm>
                                  <a:off x="1284605" y="83185"/>
                                  <a:ext cx="532130" cy="195580"/>
                                </a:xfrm>
                                <a:prstGeom prst="rect">
                                  <a:avLst/>
                                </a:prstGeom>
                                <a:noFill/>
                                <a:ln>
                                  <a:noFill/>
                                </a:ln>
                              </wps:spPr>
                              <wps:txbx>
                                <w:txbxContent>
                                  <w:p w14:paraId="454AE162">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1.125</w:t>
                                    </w:r>
                                  </w:p>
                                </w:txbxContent>
                              </wps:txbx>
                              <wps:bodyPr lIns="0" tIns="0" rIns="0" bIns="0" anchor="ctr" anchorCtr="0" upright="1"/>
                            </wps:wsp>
                            <wps:wsp>
                              <wps:cNvPr id="15" name="Text Box 3277"/>
                              <wps:cNvSpPr txBox="1"/>
                              <wps:spPr>
                                <a:xfrm>
                                  <a:off x="1459230" y="304800"/>
                                  <a:ext cx="680720" cy="275590"/>
                                </a:xfrm>
                                <a:prstGeom prst="rect">
                                  <a:avLst/>
                                </a:prstGeom>
                                <a:noFill/>
                                <a:ln>
                                  <a:noFill/>
                                </a:ln>
                              </wps:spPr>
                              <wps:txbx>
                                <w:txbxContent>
                                  <w:p w14:paraId="30D6005C">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6.375</w:t>
                                    </w:r>
                                  </w:p>
                                </w:txbxContent>
                              </wps:txbx>
                              <wps:bodyPr lIns="0" tIns="0" rIns="0" bIns="0" anchor="ctr" anchorCtr="0" upright="1"/>
                            </wps:wsp>
                            <wps:wsp>
                              <wps:cNvPr id="16" name="AutoShape 3288"/>
                              <wps:cNvCnPr/>
                              <wps:spPr>
                                <a:xfrm>
                                  <a:off x="460375" y="298450"/>
                                  <a:ext cx="635" cy="1619885"/>
                                </a:xfrm>
                                <a:prstGeom prst="straightConnector1">
                                  <a:avLst/>
                                </a:prstGeom>
                                <a:ln w="9525" cap="flat" cmpd="sng">
                                  <a:solidFill>
                                    <a:srgbClr val="000000"/>
                                  </a:solidFill>
                                  <a:prstDash val="solid"/>
                                  <a:headEnd type="none" w="med" len="med"/>
                                  <a:tailEnd type="none" w="med" len="med"/>
                                </a:ln>
                              </wps:spPr>
                              <wps:bodyPr/>
                            </wps:wsp>
                            <wps:wsp>
                              <wps:cNvPr id="17" name="Text Box 3262"/>
                              <wps:cNvSpPr txBox="1"/>
                              <wps:spPr>
                                <a:xfrm>
                                  <a:off x="3566795" y="2291715"/>
                                  <a:ext cx="109855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13AA6E">
                                    <w:pPr>
                                      <w:jc w:val="center"/>
                                      <w:rPr>
                                        <w:rFonts w:ascii="Times New Roman" w:hAnsi="Times New Roman" w:eastAsia="黑体"/>
                                        <w:sz w:val="18"/>
                                        <w:szCs w:val="18"/>
                                      </w:rPr>
                                    </w:pPr>
                                    <w:r>
                                      <w:rPr>
                                        <w:rFonts w:hint="eastAsia" w:ascii="Times New Roman" w:hAnsi="黑体" w:eastAsia="黑体"/>
                                        <w:sz w:val="18"/>
                                        <w:szCs w:val="18"/>
                                      </w:rPr>
                                      <w:t>山南新区</w:t>
                                    </w:r>
                                    <w:r>
                                      <w:rPr>
                                        <w:rFonts w:ascii="Times New Roman" w:hAnsi="黑体" w:eastAsia="黑体"/>
                                        <w:sz w:val="18"/>
                                        <w:szCs w:val="18"/>
                                      </w:rPr>
                                      <w:t>污水处理厂</w:t>
                                    </w:r>
                                  </w:p>
                                </w:txbxContent>
                              </wps:txbx>
                              <wps:bodyPr lIns="0" tIns="0" rIns="0" bIns="0" anchor="ctr" anchorCtr="0" upright="1"/>
                            </wps:wsp>
                            <wps:wsp>
                              <wps:cNvPr id="18" name="AutoShape 3258"/>
                              <wps:cNvCnPr/>
                              <wps:spPr>
                                <a:xfrm>
                                  <a:off x="461010" y="1290320"/>
                                  <a:ext cx="467360" cy="635"/>
                                </a:xfrm>
                                <a:prstGeom prst="straightConnector1">
                                  <a:avLst/>
                                </a:prstGeom>
                                <a:ln w="9525" cap="flat" cmpd="sng">
                                  <a:solidFill>
                                    <a:srgbClr val="000000"/>
                                  </a:solidFill>
                                  <a:prstDash val="solid"/>
                                  <a:headEnd type="none" w="med" len="med"/>
                                  <a:tailEnd type="none" w="med" len="med"/>
                                </a:ln>
                              </wps:spPr>
                              <wps:bodyPr/>
                            </wps:wsp>
                            <wps:wsp>
                              <wps:cNvPr id="19" name="Text Box 3259"/>
                              <wps:cNvSpPr txBox="1"/>
                              <wps:spPr>
                                <a:xfrm>
                                  <a:off x="927735" y="1183005"/>
                                  <a:ext cx="881380"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5C2BC0">
                                    <w:pPr>
                                      <w:jc w:val="center"/>
                                      <w:rPr>
                                        <w:rFonts w:ascii="Times New Roman" w:hAnsi="Times New Roman" w:eastAsia="黑体"/>
                                        <w:sz w:val="18"/>
                                        <w:szCs w:val="18"/>
                                      </w:rPr>
                                    </w:pPr>
                                    <w:r>
                                      <w:rPr>
                                        <w:rFonts w:hint="eastAsia" w:ascii="Times New Roman" w:hAnsi="黑体" w:eastAsia="黑体"/>
                                        <w:sz w:val="18"/>
                                        <w:szCs w:val="18"/>
                                      </w:rPr>
                                      <w:t>后段</w:t>
                                    </w:r>
                                    <w:r>
                                      <w:rPr>
                                        <w:rFonts w:ascii="Times New Roman" w:hAnsi="黑体" w:eastAsia="黑体"/>
                                        <w:sz w:val="18"/>
                                        <w:szCs w:val="18"/>
                                      </w:rPr>
                                      <w:t>清洗</w:t>
                                    </w:r>
                                    <w:r>
                                      <w:rPr>
                                        <w:rFonts w:hint="eastAsia" w:ascii="Times New Roman" w:hAnsi="黑体" w:eastAsia="黑体"/>
                                        <w:sz w:val="18"/>
                                        <w:szCs w:val="18"/>
                                        <w:lang w:val="en-US" w:eastAsia="zh-CN"/>
                                      </w:rPr>
                                      <w:t>用</w:t>
                                    </w:r>
                                    <w:r>
                                      <w:rPr>
                                        <w:rFonts w:ascii="Times New Roman" w:hAnsi="黑体" w:eastAsia="黑体"/>
                                        <w:sz w:val="18"/>
                                        <w:szCs w:val="18"/>
                                      </w:rPr>
                                      <w:t>水</w:t>
                                    </w:r>
                                  </w:p>
                                </w:txbxContent>
                              </wps:txbx>
                              <wps:bodyPr lIns="0" tIns="0" rIns="0" bIns="0" anchor="ctr" anchorCtr="0" upright="1"/>
                            </wps:wsp>
                            <wps:wsp>
                              <wps:cNvPr id="20" name="Text Box 3265"/>
                              <wps:cNvSpPr txBox="1"/>
                              <wps:spPr>
                                <a:xfrm>
                                  <a:off x="436245" y="1062990"/>
                                  <a:ext cx="499745" cy="245745"/>
                                </a:xfrm>
                                <a:prstGeom prst="rect">
                                  <a:avLst/>
                                </a:prstGeom>
                                <a:noFill/>
                                <a:ln>
                                  <a:noFill/>
                                </a:ln>
                              </wps:spPr>
                              <wps:txbx>
                                <w:txbxContent>
                                  <w:p w14:paraId="150F5201">
                                    <w:pPr>
                                      <w:jc w:val="center"/>
                                      <w:rPr>
                                        <w:rFonts w:hint="default" w:ascii="Times New Roman" w:hAnsi="Times New Roman" w:eastAsia="黑体"/>
                                        <w:color w:val="000000"/>
                                        <w:sz w:val="18"/>
                                        <w:szCs w:val="18"/>
                                        <w:lang w:val="en-US"/>
                                      </w:rPr>
                                    </w:pPr>
                                    <w:r>
                                      <w:rPr>
                                        <w:rFonts w:hint="default" w:ascii="Times New Roman" w:hAnsi="Times New Roman" w:eastAsia="黑体"/>
                                        <w:color w:val="000000"/>
                                        <w:sz w:val="18"/>
                                        <w:szCs w:val="18"/>
                                        <w:lang w:val="en-US"/>
                                      </w:rPr>
                                      <w:t>0.02</w:t>
                                    </w:r>
                                  </w:p>
                                </w:txbxContent>
                              </wps:txbx>
                              <wps:bodyPr lIns="0" tIns="0" rIns="0" bIns="0" anchor="ctr" anchorCtr="0" upright="1"/>
                            </wps:wsp>
                            <wps:wsp>
                              <wps:cNvPr id="22" name="Text Box 3271"/>
                              <wps:cNvSpPr txBox="1"/>
                              <wps:spPr>
                                <a:xfrm>
                                  <a:off x="1655445" y="1062990"/>
                                  <a:ext cx="680720" cy="319405"/>
                                </a:xfrm>
                                <a:prstGeom prst="rect">
                                  <a:avLst/>
                                </a:prstGeom>
                                <a:noFill/>
                                <a:ln>
                                  <a:noFill/>
                                </a:ln>
                              </wps:spPr>
                              <wps:txbx>
                                <w:txbxContent>
                                  <w:p w14:paraId="1524BA1C">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0.018</w:t>
                                    </w:r>
                                  </w:p>
                                </w:txbxContent>
                              </wps:txbx>
                              <wps:bodyPr lIns="0" tIns="0" rIns="0" bIns="0" anchor="ctr" anchorCtr="0" upright="1"/>
                            </wps:wsp>
                            <wps:wsp>
                              <wps:cNvPr id="23" name="AutoShape 3275"/>
                              <wps:cNvCnPr/>
                              <wps:spPr>
                                <a:xfrm rot="-5400000">
                                  <a:off x="1233805" y="970915"/>
                                  <a:ext cx="210820" cy="205740"/>
                                </a:xfrm>
                                <a:prstGeom prst="curvedConnector3">
                                  <a:avLst>
                                    <a:gd name="adj1" fmla="val 49694"/>
                                  </a:avLst>
                                </a:prstGeom>
                                <a:ln w="9525" cap="flat" cmpd="sng">
                                  <a:solidFill>
                                    <a:srgbClr val="000000"/>
                                  </a:solidFill>
                                  <a:prstDash val="dash"/>
                                  <a:headEnd type="none" w="med" len="med"/>
                                  <a:tailEnd type="triangle" w="sm" len="med"/>
                                </a:ln>
                              </wps:spPr>
                              <wps:bodyPr/>
                            </wps:wsp>
                            <wps:wsp>
                              <wps:cNvPr id="24" name="Text Box 3276"/>
                              <wps:cNvSpPr txBox="1"/>
                              <wps:spPr>
                                <a:xfrm>
                                  <a:off x="1276985" y="776605"/>
                                  <a:ext cx="532130" cy="195580"/>
                                </a:xfrm>
                                <a:prstGeom prst="rect">
                                  <a:avLst/>
                                </a:prstGeom>
                                <a:noFill/>
                                <a:ln>
                                  <a:noFill/>
                                </a:ln>
                              </wps:spPr>
                              <wps:txbx>
                                <w:txbxContent>
                                  <w:p w14:paraId="335A2D63">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0.002</w:t>
                                    </w:r>
                                  </w:p>
                                </w:txbxContent>
                              </wps:txbx>
                              <wps:bodyPr lIns="0" tIns="0" rIns="0" bIns="0" anchor="ctr" anchorCtr="0" upright="1"/>
                            </wps:wsp>
                            <wps:wsp>
                              <wps:cNvPr id="25" name="AutoShape 3260"/>
                              <wps:cNvCnPr/>
                              <wps:spPr>
                                <a:xfrm>
                                  <a:off x="1816100" y="1304925"/>
                                  <a:ext cx="396240" cy="635"/>
                                </a:xfrm>
                                <a:prstGeom prst="straightConnector1">
                                  <a:avLst/>
                                </a:prstGeom>
                                <a:ln w="9525" cap="flat" cmpd="sng">
                                  <a:solidFill>
                                    <a:srgbClr val="000000"/>
                                  </a:solidFill>
                                  <a:prstDash val="solid"/>
                                  <a:headEnd type="none" w="med" len="med"/>
                                  <a:tailEnd type="triangle" w="sm" len="med"/>
                                </a:ln>
                              </wps:spPr>
                              <wps:bodyPr/>
                            </wps:wsp>
                            <wps:wsp>
                              <wps:cNvPr id="26" name="Text Box 3261"/>
                              <wps:cNvSpPr txBox="1"/>
                              <wps:spPr>
                                <a:xfrm>
                                  <a:off x="2205990" y="1196975"/>
                                  <a:ext cx="683895"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89E15C">
                                    <w:pPr>
                                      <w:jc w:val="center"/>
                                      <w:rPr>
                                        <w:rFonts w:ascii="Times New Roman" w:hAnsi="Times New Roman" w:eastAsia="黑体"/>
                                        <w:sz w:val="18"/>
                                        <w:szCs w:val="18"/>
                                      </w:rPr>
                                    </w:pPr>
                                    <w:r>
                                      <w:rPr>
                                        <w:rFonts w:hint="eastAsia" w:ascii="Times New Roman" w:hAnsi="黑体" w:eastAsia="黑体"/>
                                        <w:sz w:val="18"/>
                                        <w:szCs w:val="18"/>
                                      </w:rPr>
                                      <w:t>pH调节</w:t>
                                    </w:r>
                                  </w:p>
                                </w:txbxContent>
                              </wps:txbx>
                              <wps:bodyPr lIns="0" tIns="0" rIns="0" bIns="0" anchor="ctr" anchorCtr="0" upright="1"/>
                            </wps:wsp>
                            <wps:wsp>
                              <wps:cNvPr id="27" name="AutoShape 3258"/>
                              <wps:cNvCnPr/>
                              <wps:spPr>
                                <a:xfrm>
                                  <a:off x="462280" y="2254250"/>
                                  <a:ext cx="467360" cy="635"/>
                                </a:xfrm>
                                <a:prstGeom prst="straightConnector1">
                                  <a:avLst/>
                                </a:prstGeom>
                                <a:ln w="9525" cap="flat" cmpd="sng">
                                  <a:solidFill>
                                    <a:srgbClr val="000000"/>
                                  </a:solidFill>
                                  <a:prstDash val="solid"/>
                                  <a:headEnd type="none" w="med" len="med"/>
                                  <a:tailEnd type="none" w="med" len="med"/>
                                </a:ln>
                              </wps:spPr>
                              <wps:bodyPr/>
                            </wps:wsp>
                            <wps:wsp>
                              <wps:cNvPr id="28" name="Text Box 3259"/>
                              <wps:cNvSpPr txBox="1"/>
                              <wps:spPr>
                                <a:xfrm>
                                  <a:off x="929005" y="1796415"/>
                                  <a:ext cx="680085"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6C0557">
                                    <w:pPr>
                                      <w:jc w:val="center"/>
                                      <w:rPr>
                                        <w:rFonts w:ascii="Times New Roman" w:hAnsi="Times New Roman" w:eastAsia="黑体"/>
                                        <w:sz w:val="18"/>
                                        <w:szCs w:val="18"/>
                                      </w:rPr>
                                    </w:pPr>
                                    <w:r>
                                      <w:rPr>
                                        <w:rFonts w:hint="eastAsia" w:ascii="Times New Roman" w:hAnsi="黑体" w:eastAsia="黑体"/>
                                        <w:sz w:val="18"/>
                                        <w:szCs w:val="18"/>
                                      </w:rPr>
                                      <w:t>保洁</w:t>
                                    </w:r>
                                    <w:r>
                                      <w:rPr>
                                        <w:rFonts w:hint="eastAsia" w:ascii="Times New Roman" w:hAnsi="黑体" w:eastAsia="黑体"/>
                                        <w:sz w:val="18"/>
                                        <w:szCs w:val="18"/>
                                        <w:lang w:val="en-US" w:eastAsia="zh-CN"/>
                                      </w:rPr>
                                      <w:t>用水</w:t>
                                    </w:r>
                                  </w:p>
                                </w:txbxContent>
                              </wps:txbx>
                              <wps:bodyPr lIns="0" tIns="0" rIns="0" bIns="0" anchor="ctr" anchorCtr="0" upright="1"/>
                            </wps:wsp>
                            <wps:wsp>
                              <wps:cNvPr id="29" name="Text Box 3265"/>
                              <wps:cNvSpPr txBox="1"/>
                              <wps:spPr>
                                <a:xfrm>
                                  <a:off x="429895" y="1714500"/>
                                  <a:ext cx="499745" cy="245745"/>
                                </a:xfrm>
                                <a:prstGeom prst="rect">
                                  <a:avLst/>
                                </a:prstGeom>
                                <a:noFill/>
                                <a:ln>
                                  <a:noFill/>
                                </a:ln>
                              </wps:spPr>
                              <wps:txbx>
                                <w:txbxContent>
                                  <w:p w14:paraId="29B87E87">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0.3</w:t>
                                    </w:r>
                                  </w:p>
                                </w:txbxContent>
                              </wps:txbx>
                              <wps:bodyPr lIns="0" tIns="0" rIns="0" bIns="0" anchor="ctr" anchorCtr="0" upright="1"/>
                            </wps:wsp>
                            <wps:wsp>
                              <wps:cNvPr id="30" name="AutoShape 3275"/>
                              <wps:cNvCnPr/>
                              <wps:spPr>
                                <a:xfrm rot="-5400000">
                                  <a:off x="1235075" y="1584325"/>
                                  <a:ext cx="210820" cy="205740"/>
                                </a:xfrm>
                                <a:prstGeom prst="curvedConnector3">
                                  <a:avLst>
                                    <a:gd name="adj1" fmla="val 49694"/>
                                  </a:avLst>
                                </a:prstGeom>
                                <a:ln w="9525" cap="flat" cmpd="sng">
                                  <a:solidFill>
                                    <a:srgbClr val="000000"/>
                                  </a:solidFill>
                                  <a:prstDash val="dash"/>
                                  <a:headEnd type="none" w="med" len="med"/>
                                  <a:tailEnd type="triangle" w="sm" len="med"/>
                                </a:ln>
                              </wps:spPr>
                              <wps:bodyPr/>
                            </wps:wsp>
                            <wps:wsp>
                              <wps:cNvPr id="31" name="Text Box 3276"/>
                              <wps:cNvSpPr txBox="1"/>
                              <wps:spPr>
                                <a:xfrm>
                                  <a:off x="1278255" y="1390015"/>
                                  <a:ext cx="532130" cy="195580"/>
                                </a:xfrm>
                                <a:prstGeom prst="rect">
                                  <a:avLst/>
                                </a:prstGeom>
                                <a:noFill/>
                                <a:ln>
                                  <a:noFill/>
                                </a:ln>
                              </wps:spPr>
                              <wps:txbx>
                                <w:txbxContent>
                                  <w:p w14:paraId="70715513">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0.06</w:t>
                                    </w:r>
                                  </w:p>
                                </w:txbxContent>
                              </wps:txbx>
                              <wps:bodyPr lIns="0" tIns="0" rIns="0" bIns="0" anchor="ctr" anchorCtr="0" upright="1"/>
                            </wps:wsp>
                            <wps:wsp>
                              <wps:cNvPr id="32" name="自选图形 1606"/>
                              <wps:cNvCnPr/>
                              <wps:spPr>
                                <a:xfrm flipV="1">
                                  <a:off x="1609090" y="1412875"/>
                                  <a:ext cx="939165" cy="491490"/>
                                </a:xfrm>
                                <a:prstGeom prst="bentConnector2">
                                  <a:avLst/>
                                </a:prstGeom>
                                <a:ln w="9525" cap="flat" cmpd="sng">
                                  <a:solidFill>
                                    <a:srgbClr val="000000"/>
                                  </a:solidFill>
                                  <a:prstDash val="solid"/>
                                  <a:miter/>
                                  <a:headEnd type="none" w="med" len="med"/>
                                  <a:tailEnd type="triangle" w="sm" len="med"/>
                                </a:ln>
                              </wps:spPr>
                              <wps:bodyPr/>
                            </wps:wsp>
                            <wps:wsp>
                              <wps:cNvPr id="33" name="自选图形 1607"/>
                              <wps:cNvCnPr/>
                              <wps:spPr>
                                <a:xfrm>
                                  <a:off x="2889885" y="1304925"/>
                                  <a:ext cx="1226185" cy="986790"/>
                                </a:xfrm>
                                <a:prstGeom prst="bentConnector2">
                                  <a:avLst/>
                                </a:prstGeom>
                                <a:ln w="9525" cap="flat" cmpd="sng">
                                  <a:solidFill>
                                    <a:srgbClr val="000000"/>
                                  </a:solidFill>
                                  <a:prstDash val="solid"/>
                                  <a:miter/>
                                  <a:headEnd type="none" w="med" len="med"/>
                                  <a:tailEnd type="triangle" w="sm" len="med"/>
                                </a:ln>
                              </wps:spPr>
                              <wps:bodyPr/>
                            </wps:wsp>
                            <wps:wsp>
                              <wps:cNvPr id="34" name="自选图形 1608"/>
                              <wps:cNvCnPr/>
                              <wps:spPr>
                                <a:xfrm>
                                  <a:off x="2710815" y="597535"/>
                                  <a:ext cx="1405255" cy="1694180"/>
                                </a:xfrm>
                                <a:prstGeom prst="bentConnector2">
                                  <a:avLst/>
                                </a:prstGeom>
                                <a:ln w="9525" cap="flat" cmpd="sng">
                                  <a:solidFill>
                                    <a:srgbClr val="000000"/>
                                  </a:solidFill>
                                  <a:prstDash val="solid"/>
                                  <a:miter/>
                                  <a:headEnd type="none" w="med" len="med"/>
                                  <a:tailEnd type="triangle" w="sm" len="med"/>
                                </a:ln>
                              </wps:spPr>
                              <wps:bodyPr/>
                            </wps:wsp>
                            <wps:wsp>
                              <wps:cNvPr id="35" name="Text Box 3264"/>
                              <wps:cNvSpPr txBox="1"/>
                              <wps:spPr>
                                <a:xfrm>
                                  <a:off x="3754120" y="3441700"/>
                                  <a:ext cx="680720" cy="187960"/>
                                </a:xfrm>
                                <a:prstGeom prst="rect">
                                  <a:avLst/>
                                </a:prstGeom>
                                <a:noFill/>
                                <a:ln>
                                  <a:noFill/>
                                </a:ln>
                              </wps:spPr>
                              <wps:txbx>
                                <w:txbxContent>
                                  <w:p w14:paraId="63D47FB7">
                                    <w:pPr>
                                      <w:jc w:val="center"/>
                                      <w:rPr>
                                        <w:rFonts w:ascii="Times New Roman" w:hAnsi="Times New Roman" w:eastAsia="黑体"/>
                                        <w:sz w:val="18"/>
                                        <w:szCs w:val="18"/>
                                      </w:rPr>
                                    </w:pPr>
                                    <w:r>
                                      <w:rPr>
                                        <w:rFonts w:hint="eastAsia" w:ascii="Times New Roman" w:hAnsi="黑体" w:eastAsia="黑体"/>
                                        <w:sz w:val="18"/>
                                        <w:szCs w:val="18"/>
                                      </w:rPr>
                                      <w:t>淮河</w:t>
                                    </w:r>
                                  </w:p>
                                </w:txbxContent>
                              </wps:txbx>
                              <wps:bodyPr lIns="0" tIns="0" rIns="0" bIns="0" anchor="ctr" anchorCtr="0" upright="1"/>
                            </wps:wsp>
                            <wps:wsp>
                              <wps:cNvPr id="36" name="AutoShape 3270"/>
                              <wps:cNvCnPr/>
                              <wps:spPr>
                                <a:xfrm>
                                  <a:off x="4116070" y="3081655"/>
                                  <a:ext cx="635" cy="360045"/>
                                </a:xfrm>
                                <a:prstGeom prst="straightConnector1">
                                  <a:avLst/>
                                </a:prstGeom>
                                <a:ln w="9525" cap="flat" cmpd="sng">
                                  <a:solidFill>
                                    <a:srgbClr val="000000"/>
                                  </a:solidFill>
                                  <a:prstDash val="solid"/>
                                  <a:headEnd type="none" w="med" len="med"/>
                                  <a:tailEnd type="triangle" w="sm" len="med"/>
                                </a:ln>
                              </wps:spPr>
                              <wps:bodyPr/>
                            </wps:wsp>
                            <wps:wsp>
                              <wps:cNvPr id="37" name="Text Box 3276"/>
                              <wps:cNvSpPr txBox="1"/>
                              <wps:spPr>
                                <a:xfrm>
                                  <a:off x="3030220" y="1124585"/>
                                  <a:ext cx="532130" cy="195580"/>
                                </a:xfrm>
                                <a:prstGeom prst="rect">
                                  <a:avLst/>
                                </a:prstGeom>
                                <a:noFill/>
                                <a:ln>
                                  <a:noFill/>
                                </a:ln>
                              </wps:spPr>
                              <wps:txbx>
                                <w:txbxContent>
                                  <w:p w14:paraId="3FD64212">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0.258</w:t>
                                    </w:r>
                                  </w:p>
                                </w:txbxContent>
                              </wps:txbx>
                              <wps:bodyPr lIns="0" tIns="0" rIns="0" bIns="0" anchor="ctr" anchorCtr="0" upright="1"/>
                            </wps:wsp>
                            <wps:wsp>
                              <wps:cNvPr id="38" name="Text Box 3276"/>
                              <wps:cNvSpPr txBox="1"/>
                              <wps:spPr>
                                <a:xfrm>
                                  <a:off x="3034665" y="419735"/>
                                  <a:ext cx="532130" cy="195580"/>
                                </a:xfrm>
                                <a:prstGeom prst="rect">
                                  <a:avLst/>
                                </a:prstGeom>
                                <a:noFill/>
                                <a:ln>
                                  <a:noFill/>
                                </a:ln>
                              </wps:spPr>
                              <wps:txbx>
                                <w:txbxContent>
                                  <w:p w14:paraId="2AB43EF7">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6.375</w:t>
                                    </w:r>
                                  </w:p>
                                </w:txbxContent>
                              </wps:txbx>
                              <wps:bodyPr lIns="0" tIns="0" rIns="0" bIns="0" anchor="ctr" anchorCtr="0" upright="1"/>
                            </wps:wsp>
                            <wps:wsp>
                              <wps:cNvPr id="39" name="Text Box 3276"/>
                              <wps:cNvSpPr txBox="1"/>
                              <wps:spPr>
                                <a:xfrm>
                                  <a:off x="1723390" y="1739265"/>
                                  <a:ext cx="532130" cy="195580"/>
                                </a:xfrm>
                                <a:prstGeom prst="rect">
                                  <a:avLst/>
                                </a:prstGeom>
                                <a:noFill/>
                                <a:ln>
                                  <a:noFill/>
                                </a:ln>
                              </wps:spPr>
                              <wps:txbx>
                                <w:txbxContent>
                                  <w:p w14:paraId="56BFF5CA">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0.24</w:t>
                                    </w:r>
                                  </w:p>
                                </w:txbxContent>
                              </wps:txbx>
                              <wps:bodyPr lIns="0" tIns="0" rIns="0" bIns="0" anchor="ctr" anchorCtr="0" upright="1"/>
                            </wps:wsp>
                            <wps:wsp>
                              <wps:cNvPr id="40" name="Text Box 3276"/>
                              <wps:cNvSpPr txBox="1"/>
                              <wps:spPr>
                                <a:xfrm>
                                  <a:off x="4004945" y="1972310"/>
                                  <a:ext cx="532130" cy="195580"/>
                                </a:xfrm>
                                <a:prstGeom prst="rect">
                                  <a:avLst/>
                                </a:prstGeom>
                                <a:noFill/>
                                <a:ln>
                                  <a:noFill/>
                                </a:ln>
                              </wps:spPr>
                              <wps:txbx>
                                <w:txbxContent>
                                  <w:p w14:paraId="1A08A304">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6.633</w:t>
                                    </w:r>
                                  </w:p>
                                </w:txbxContent>
                              </wps:txbx>
                              <wps:bodyPr lIns="0" tIns="0" rIns="0" bIns="0" anchor="ctr" anchorCtr="0" upright="1"/>
                            </wps:wsp>
                            <wps:wsp>
                              <wps:cNvPr id="41" name="Text Box 3276"/>
                              <wps:cNvSpPr txBox="1"/>
                              <wps:spPr>
                                <a:xfrm>
                                  <a:off x="4012565" y="2668270"/>
                                  <a:ext cx="532130" cy="195580"/>
                                </a:xfrm>
                                <a:prstGeom prst="rect">
                                  <a:avLst/>
                                </a:prstGeom>
                                <a:noFill/>
                                <a:ln>
                                  <a:noFill/>
                                </a:ln>
                              </wps:spPr>
                              <wps:txbx>
                                <w:txbxContent>
                                  <w:p w14:paraId="14D8C30C">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6.633</w:t>
                                    </w:r>
                                  </w:p>
                                </w:txbxContent>
                              </wps:txbx>
                              <wps:bodyPr lIns="0" tIns="0" rIns="0" bIns="0" anchor="ctr" anchorCtr="0" upright="1"/>
                            </wps:wsp>
                            <wps:wsp>
                              <wps:cNvPr id="42" name="Text Box 3276"/>
                              <wps:cNvSpPr txBox="1"/>
                              <wps:spPr>
                                <a:xfrm>
                                  <a:off x="4004945" y="3147695"/>
                                  <a:ext cx="532130" cy="195580"/>
                                </a:xfrm>
                                <a:prstGeom prst="rect">
                                  <a:avLst/>
                                </a:prstGeom>
                                <a:noFill/>
                                <a:ln>
                                  <a:noFill/>
                                </a:ln>
                              </wps:spPr>
                              <wps:txbx>
                                <w:txbxContent>
                                  <w:p w14:paraId="0F3E811E">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6.633</w:t>
                                    </w:r>
                                  </w:p>
                                </w:txbxContent>
                              </wps:txbx>
                              <wps:bodyPr lIns="0" tIns="0" rIns="0" bIns="0" anchor="ctr" anchorCtr="0" upright="1"/>
                            </wps:wsp>
                            <wps:wsp>
                              <wps:cNvPr id="102" name="Text Box 3259"/>
                              <wps:cNvSpPr txBox="1"/>
                              <wps:spPr>
                                <a:xfrm>
                                  <a:off x="927100" y="2155190"/>
                                  <a:ext cx="992505"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5F4166">
                                    <w:pPr>
                                      <w:jc w:val="center"/>
                                      <w:rPr>
                                        <w:rFonts w:ascii="Times New Roman" w:hAnsi="Times New Roman" w:eastAsia="黑体"/>
                                        <w:sz w:val="18"/>
                                        <w:szCs w:val="18"/>
                                      </w:rPr>
                                    </w:pPr>
                                    <w:r>
                                      <w:rPr>
                                        <w:rFonts w:hint="eastAsia" w:ascii="Times New Roman" w:hAnsi="黑体" w:eastAsia="黑体"/>
                                        <w:sz w:val="18"/>
                                        <w:szCs w:val="18"/>
                                        <w:lang w:val="en-US" w:eastAsia="zh-CN"/>
                                      </w:rPr>
                                      <w:t>一次、二次</w:t>
                                    </w:r>
                                    <w:r>
                                      <w:rPr>
                                        <w:rFonts w:ascii="Times New Roman" w:hAnsi="黑体" w:eastAsia="黑体"/>
                                        <w:sz w:val="18"/>
                                        <w:szCs w:val="18"/>
                                      </w:rPr>
                                      <w:t>清洗</w:t>
                                    </w:r>
                                    <w:r>
                                      <w:rPr>
                                        <w:rFonts w:hint="eastAsia" w:ascii="Times New Roman" w:hAnsi="黑体" w:eastAsia="黑体"/>
                                        <w:sz w:val="18"/>
                                        <w:szCs w:val="18"/>
                                        <w:lang w:val="en-US" w:eastAsia="zh-CN"/>
                                      </w:rPr>
                                      <w:t>用</w:t>
                                    </w:r>
                                    <w:r>
                                      <w:rPr>
                                        <w:rFonts w:ascii="Times New Roman" w:hAnsi="黑体" w:eastAsia="黑体"/>
                                        <w:sz w:val="18"/>
                                        <w:szCs w:val="18"/>
                                      </w:rPr>
                                      <w:t>水</w:t>
                                    </w:r>
                                  </w:p>
                                </w:txbxContent>
                              </wps:txbx>
                              <wps:bodyPr lIns="0" tIns="0" rIns="0" bIns="0" anchor="ctr" anchorCtr="0" upright="1"/>
                            </wps:wsp>
                            <wps:wsp>
                              <wps:cNvPr id="103" name="Text Box 3265"/>
                              <wps:cNvSpPr txBox="1"/>
                              <wps:spPr>
                                <a:xfrm>
                                  <a:off x="476250" y="2064385"/>
                                  <a:ext cx="499745" cy="245745"/>
                                </a:xfrm>
                                <a:prstGeom prst="rect">
                                  <a:avLst/>
                                </a:prstGeom>
                                <a:noFill/>
                                <a:ln>
                                  <a:noFill/>
                                </a:ln>
                              </wps:spPr>
                              <wps:txbx>
                                <w:txbxContent>
                                  <w:p w14:paraId="351D330C">
                                    <w:pPr>
                                      <w:jc w:val="center"/>
                                      <w:rPr>
                                        <w:rFonts w:hint="eastAsia" w:ascii="Times New Roman" w:hAnsi="Times New Roman" w:eastAsia="黑体"/>
                                        <w:color w:val="000000"/>
                                        <w:sz w:val="18"/>
                                        <w:szCs w:val="18"/>
                                        <w:lang w:val="en-US" w:eastAsia="zh-CN"/>
                                      </w:rPr>
                                    </w:pPr>
                                    <w:r>
                                      <w:rPr>
                                        <w:rFonts w:hint="eastAsia" w:ascii="Times New Roman" w:hAnsi="Times New Roman" w:eastAsia="黑体"/>
                                        <w:color w:val="000000"/>
                                        <w:sz w:val="18"/>
                                        <w:szCs w:val="18"/>
                                      </w:rPr>
                                      <w:t>0.0</w:t>
                                    </w:r>
                                    <w:r>
                                      <w:rPr>
                                        <w:rFonts w:hint="eastAsia" w:ascii="Times New Roman" w:hAnsi="Times New Roman" w:eastAsia="黑体"/>
                                        <w:color w:val="000000"/>
                                        <w:sz w:val="18"/>
                                        <w:szCs w:val="18"/>
                                        <w:lang w:val="en-US" w:eastAsia="zh-CN"/>
                                      </w:rPr>
                                      <w:t>4</w:t>
                                    </w:r>
                                  </w:p>
                                </w:txbxContent>
                              </wps:txbx>
                              <wps:bodyPr lIns="0" tIns="0" rIns="0" bIns="0" anchor="ctr" anchorCtr="0" upright="1"/>
                            </wps:wsp>
                            <wps:wsp>
                              <wps:cNvPr id="105" name="直接箭头连接符 105"/>
                              <wps:cNvCnPr/>
                              <wps:spPr>
                                <a:xfrm flipV="1">
                                  <a:off x="1930400" y="2254250"/>
                                  <a:ext cx="508635" cy="0"/>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06" name="Text Box 3265"/>
                              <wps:cNvSpPr txBox="1"/>
                              <wps:spPr>
                                <a:xfrm>
                                  <a:off x="1880870" y="2060575"/>
                                  <a:ext cx="499745" cy="245745"/>
                                </a:xfrm>
                                <a:prstGeom prst="rect">
                                  <a:avLst/>
                                </a:prstGeom>
                                <a:noFill/>
                                <a:ln>
                                  <a:noFill/>
                                </a:ln>
                              </wps:spPr>
                              <wps:txbx>
                                <w:txbxContent>
                                  <w:p w14:paraId="1F3F8BC1">
                                    <w:pPr>
                                      <w:jc w:val="center"/>
                                      <w:rPr>
                                        <w:rFonts w:hint="eastAsia" w:ascii="Times New Roman" w:hAnsi="Times New Roman" w:eastAsia="黑体"/>
                                        <w:color w:val="000000"/>
                                        <w:sz w:val="18"/>
                                        <w:szCs w:val="18"/>
                                        <w:lang w:val="en-US" w:eastAsia="zh-CN"/>
                                      </w:rPr>
                                    </w:pPr>
                                    <w:r>
                                      <w:rPr>
                                        <w:rFonts w:hint="eastAsia" w:ascii="Times New Roman" w:hAnsi="Times New Roman" w:eastAsia="黑体"/>
                                        <w:color w:val="000000"/>
                                        <w:sz w:val="18"/>
                                        <w:szCs w:val="18"/>
                                      </w:rPr>
                                      <w:t>0.0</w:t>
                                    </w:r>
                                    <w:r>
                                      <w:rPr>
                                        <w:rFonts w:hint="eastAsia" w:ascii="Times New Roman" w:hAnsi="Times New Roman" w:eastAsia="黑体"/>
                                        <w:color w:val="000000"/>
                                        <w:sz w:val="18"/>
                                        <w:szCs w:val="18"/>
                                        <w:lang w:val="en-US" w:eastAsia="zh-CN"/>
                                      </w:rPr>
                                      <w:t>4</w:t>
                                    </w:r>
                                  </w:p>
                                </w:txbxContent>
                              </wps:txbx>
                              <wps:bodyPr lIns="0" tIns="0" rIns="0" bIns="0" anchor="ctr" anchorCtr="0" upright="1"/>
                            </wps:wsp>
                            <wps:wsp>
                              <wps:cNvPr id="107" name="Text Box 3264"/>
                              <wps:cNvSpPr txBox="1"/>
                              <wps:spPr>
                                <a:xfrm>
                                  <a:off x="2188845" y="2148840"/>
                                  <a:ext cx="1117600" cy="187960"/>
                                </a:xfrm>
                                <a:prstGeom prst="rect">
                                  <a:avLst/>
                                </a:prstGeom>
                                <a:noFill/>
                                <a:ln>
                                  <a:noFill/>
                                </a:ln>
                              </wps:spPr>
                              <wps:txbx>
                                <w:txbxContent>
                                  <w:p w14:paraId="0E810AFD">
                                    <w:pPr>
                                      <w:jc w:val="center"/>
                                      <w:rPr>
                                        <w:rFonts w:hint="default" w:ascii="Times New Roman" w:hAnsi="Times New Roman" w:eastAsia="黑体"/>
                                        <w:sz w:val="18"/>
                                        <w:szCs w:val="18"/>
                                        <w:lang w:val="en-US" w:eastAsia="zh-CN"/>
                                      </w:rPr>
                                    </w:pPr>
                                    <w:r>
                                      <w:rPr>
                                        <w:rFonts w:hint="eastAsia" w:ascii="Times New Roman" w:hAnsi="黑体" w:eastAsia="黑体"/>
                                        <w:sz w:val="18"/>
                                        <w:szCs w:val="18"/>
                                        <w:lang w:val="en-US" w:eastAsia="zh-CN"/>
                                      </w:rPr>
                                      <w:t>作危废处理</w:t>
                                    </w:r>
                                  </w:p>
                                </w:txbxContent>
                              </wps:txbx>
                              <wps:bodyPr lIns="0" tIns="0" rIns="0" bIns="0" anchor="ctr" anchorCtr="0" upright="1"/>
                            </wps:wsp>
                            <wps:wsp>
                              <wps:cNvPr id="104" name="AutoShape 3258"/>
                              <wps:cNvCnPr/>
                              <wps:spPr>
                                <a:xfrm>
                                  <a:off x="465455" y="1916430"/>
                                  <a:ext cx="467360" cy="635"/>
                                </a:xfrm>
                                <a:prstGeom prst="straightConnector1">
                                  <a:avLst/>
                                </a:prstGeom>
                                <a:ln w="9525" cap="flat" cmpd="sng">
                                  <a:solidFill>
                                    <a:srgbClr val="000000"/>
                                  </a:solidFill>
                                  <a:prstDash val="solid"/>
                                  <a:headEnd type="none" w="med" len="med"/>
                                  <a:tailEnd type="none" w="med" len="med"/>
                                </a:ln>
                              </wps:spPr>
                              <wps:bodyPr/>
                            </wps:wsp>
                            <wps:wsp>
                              <wps:cNvPr id="110" name="Text Box 3259"/>
                              <wps:cNvSpPr txBox="1"/>
                              <wps:spPr>
                                <a:xfrm>
                                  <a:off x="933450" y="2719705"/>
                                  <a:ext cx="881380"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E8E07C">
                                    <w:pPr>
                                      <w:jc w:val="center"/>
                                      <w:rPr>
                                        <w:rFonts w:hint="default" w:ascii="Times New Roman" w:hAnsi="Times New Roman" w:eastAsia="黑体"/>
                                        <w:sz w:val="18"/>
                                        <w:szCs w:val="18"/>
                                        <w:lang w:val="en-US" w:eastAsia="zh-CN"/>
                                      </w:rPr>
                                    </w:pPr>
                                    <w:r>
                                      <w:rPr>
                                        <w:rFonts w:hint="eastAsia" w:ascii="Times New Roman" w:hAnsi="黑体" w:eastAsia="黑体"/>
                                        <w:sz w:val="18"/>
                                        <w:szCs w:val="18"/>
                                        <w:lang w:val="en-US" w:eastAsia="zh-CN"/>
                                      </w:rPr>
                                      <w:t>实验用水</w:t>
                                    </w:r>
                                  </w:p>
                                </w:txbxContent>
                              </wps:txbx>
                              <wps:bodyPr lIns="0" tIns="0" rIns="0" bIns="0" anchor="ctr" anchorCtr="0" upright="1"/>
                            </wps:wsp>
                            <wps:wsp>
                              <wps:cNvPr id="111" name="Text Box 3265"/>
                              <wps:cNvSpPr txBox="1"/>
                              <wps:spPr>
                                <a:xfrm>
                                  <a:off x="1831975" y="2628265"/>
                                  <a:ext cx="499745" cy="245745"/>
                                </a:xfrm>
                                <a:prstGeom prst="rect">
                                  <a:avLst/>
                                </a:prstGeom>
                                <a:noFill/>
                                <a:ln>
                                  <a:noFill/>
                                </a:ln>
                              </wps:spPr>
                              <wps:txbx>
                                <w:txbxContent>
                                  <w:p w14:paraId="23CF3C56">
                                    <w:pPr>
                                      <w:jc w:val="center"/>
                                      <w:rPr>
                                        <w:rFonts w:hint="default" w:ascii="Times New Roman" w:hAnsi="Times New Roman" w:eastAsia="黑体"/>
                                        <w:color w:val="000000"/>
                                        <w:sz w:val="18"/>
                                        <w:szCs w:val="18"/>
                                        <w:lang w:val="en-US" w:eastAsia="zh-CN"/>
                                      </w:rPr>
                                    </w:pPr>
                                    <w:r>
                                      <w:rPr>
                                        <w:rFonts w:hint="eastAsia" w:ascii="Times New Roman" w:hAnsi="Times New Roman" w:eastAsia="黑体"/>
                                        <w:color w:val="000000"/>
                                        <w:sz w:val="18"/>
                                        <w:szCs w:val="18"/>
                                        <w:lang w:val="en-US" w:eastAsia="zh-CN"/>
                                      </w:rPr>
                                      <w:t>0.005</w:t>
                                    </w:r>
                                  </w:p>
                                </w:txbxContent>
                              </wps:txbx>
                              <wps:bodyPr lIns="0" tIns="0" rIns="0" bIns="0" anchor="ctr" anchorCtr="0" upright="1"/>
                            </wps:wsp>
                            <wps:wsp>
                              <wps:cNvPr id="112" name="Text Box 3264"/>
                              <wps:cNvSpPr txBox="1"/>
                              <wps:spPr>
                                <a:xfrm>
                                  <a:off x="2073275" y="2712085"/>
                                  <a:ext cx="1117600" cy="187960"/>
                                </a:xfrm>
                                <a:prstGeom prst="rect">
                                  <a:avLst/>
                                </a:prstGeom>
                                <a:noFill/>
                                <a:ln>
                                  <a:noFill/>
                                </a:ln>
                              </wps:spPr>
                              <wps:txbx>
                                <w:txbxContent>
                                  <w:p w14:paraId="738AC083">
                                    <w:pPr>
                                      <w:jc w:val="center"/>
                                      <w:rPr>
                                        <w:rFonts w:hint="default" w:ascii="Times New Roman" w:hAnsi="Times New Roman" w:eastAsia="黑体"/>
                                        <w:sz w:val="18"/>
                                        <w:szCs w:val="18"/>
                                        <w:lang w:val="en-US" w:eastAsia="zh-CN"/>
                                      </w:rPr>
                                    </w:pPr>
                                    <w:r>
                                      <w:rPr>
                                        <w:rFonts w:hint="eastAsia" w:ascii="Times New Roman" w:hAnsi="黑体" w:eastAsia="黑体"/>
                                        <w:sz w:val="18"/>
                                        <w:szCs w:val="18"/>
                                        <w:lang w:val="en-US" w:eastAsia="zh-CN"/>
                                      </w:rPr>
                                      <w:t>作危废处理</w:t>
                                    </w:r>
                                  </w:p>
                                </w:txbxContent>
                              </wps:txbx>
                              <wps:bodyPr lIns="0" tIns="0" rIns="0" bIns="0" anchor="ctr" anchorCtr="0" upright="1"/>
                            </wps:wsp>
                            <wps:wsp>
                              <wps:cNvPr id="113" name="直接箭头连接符 113"/>
                              <wps:cNvCnPr/>
                              <wps:spPr>
                                <a:xfrm flipV="1">
                                  <a:off x="1822450" y="2830830"/>
                                  <a:ext cx="508635" cy="0"/>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14" name="AutoShape 3258"/>
                              <wps:cNvCnPr/>
                              <wps:spPr>
                                <a:xfrm>
                                  <a:off x="457835" y="2838450"/>
                                  <a:ext cx="467360" cy="635"/>
                                </a:xfrm>
                                <a:prstGeom prst="straightConnector1">
                                  <a:avLst/>
                                </a:prstGeom>
                                <a:ln w="9525" cap="flat" cmpd="sng">
                                  <a:solidFill>
                                    <a:srgbClr val="000000"/>
                                  </a:solidFill>
                                  <a:prstDash val="solid"/>
                                  <a:headEnd type="none" w="med" len="med"/>
                                  <a:tailEnd type="none" w="med" len="med"/>
                                </a:ln>
                              </wps:spPr>
                              <wps:bodyPr/>
                            </wps:wsp>
                            <wps:wsp>
                              <wps:cNvPr id="116" name="Text Box 3265"/>
                              <wps:cNvSpPr txBox="1"/>
                              <wps:spPr>
                                <a:xfrm>
                                  <a:off x="433705" y="2649855"/>
                                  <a:ext cx="499745" cy="245745"/>
                                </a:xfrm>
                                <a:prstGeom prst="rect">
                                  <a:avLst/>
                                </a:prstGeom>
                                <a:noFill/>
                                <a:ln>
                                  <a:noFill/>
                                </a:ln>
                              </wps:spPr>
                              <wps:txbx>
                                <w:txbxContent>
                                  <w:p w14:paraId="72245792">
                                    <w:pPr>
                                      <w:jc w:val="center"/>
                                      <w:rPr>
                                        <w:rFonts w:hint="default" w:ascii="Times New Roman" w:hAnsi="Times New Roman" w:eastAsia="黑体"/>
                                        <w:color w:val="000000"/>
                                        <w:sz w:val="18"/>
                                        <w:szCs w:val="18"/>
                                        <w:lang w:val="en-US" w:eastAsia="zh-CN"/>
                                      </w:rPr>
                                    </w:pPr>
                                    <w:r>
                                      <w:rPr>
                                        <w:rFonts w:hint="eastAsia" w:ascii="Times New Roman" w:hAnsi="Times New Roman" w:eastAsia="黑体"/>
                                        <w:color w:val="000000"/>
                                        <w:sz w:val="18"/>
                                        <w:szCs w:val="18"/>
                                      </w:rPr>
                                      <w:t>0.0</w:t>
                                    </w:r>
                                    <w:r>
                                      <w:rPr>
                                        <w:rFonts w:hint="eastAsia" w:ascii="Times New Roman" w:hAnsi="Times New Roman" w:eastAsia="黑体"/>
                                        <w:color w:val="000000"/>
                                        <w:sz w:val="18"/>
                                        <w:szCs w:val="18"/>
                                        <w:lang w:val="en-US" w:eastAsia="zh-CN"/>
                                      </w:rPr>
                                      <w:t>05</w:t>
                                    </w:r>
                                  </w:p>
                                </w:txbxContent>
                              </wps:txbx>
                              <wps:bodyPr lIns="0" tIns="0" rIns="0" bIns="0" anchor="ctr" anchorCtr="0" upright="1"/>
                            </wps:wsp>
                            <wps:wsp>
                              <wps:cNvPr id="117" name="AutoShape 3288"/>
                              <wps:cNvCnPr/>
                              <wps:spPr>
                                <a:xfrm>
                                  <a:off x="464185" y="2254885"/>
                                  <a:ext cx="635" cy="1007745"/>
                                </a:xfrm>
                                <a:prstGeom prst="straightConnector1">
                                  <a:avLst/>
                                </a:prstGeom>
                                <a:ln w="9525" cap="flat" cmpd="sng">
                                  <a:solidFill>
                                    <a:srgbClr val="000000"/>
                                  </a:solidFill>
                                  <a:prstDash val="solid"/>
                                  <a:headEnd type="none" w="med" len="med"/>
                                  <a:tailEnd type="none" w="med" len="med"/>
                                </a:ln>
                              </wps:spPr>
                              <wps:bodyPr/>
                            </wps:wsp>
                            <wps:wsp>
                              <wps:cNvPr id="118" name="Text Box 3274"/>
                              <wps:cNvSpPr txBox="1"/>
                              <wps:spPr>
                                <a:xfrm>
                                  <a:off x="173355" y="3267075"/>
                                  <a:ext cx="1087120" cy="191770"/>
                                </a:xfrm>
                                <a:prstGeom prst="rect">
                                  <a:avLst/>
                                </a:prstGeom>
                                <a:noFill/>
                                <a:ln>
                                  <a:noFill/>
                                </a:ln>
                              </wps:spPr>
                              <wps:txbx>
                                <w:txbxContent>
                                  <w:p w14:paraId="1E68FB4A">
                                    <w:pPr>
                                      <w:jc w:val="center"/>
                                      <w:rPr>
                                        <w:rFonts w:hint="default" w:ascii="Times New Roman" w:hAnsi="Times New Roman" w:eastAsia="黑体"/>
                                        <w:color w:val="000000"/>
                                        <w:sz w:val="18"/>
                                        <w:szCs w:val="18"/>
                                        <w:lang w:val="en-US" w:eastAsia="zh-CN"/>
                                      </w:rPr>
                                    </w:pPr>
                                    <w:r>
                                      <w:rPr>
                                        <w:rFonts w:hint="eastAsia" w:ascii="Times New Roman" w:hAnsi="Times New Roman" w:eastAsia="黑体"/>
                                        <w:color w:val="000000"/>
                                        <w:sz w:val="18"/>
                                        <w:szCs w:val="18"/>
                                        <w:lang w:val="en-US" w:eastAsia="zh-CN"/>
                                      </w:rPr>
                                      <w:t>0.045（纯净水）</w:t>
                                    </w:r>
                                  </w:p>
                                </w:txbxContent>
                              </wps:txbx>
                              <wps:bodyPr lIns="0" tIns="0" rIns="0" bIns="0" anchor="ctr" anchorCtr="0" upright="1"/>
                            </wps:wsp>
                          </wpc:wpc>
                        </a:graphicData>
                      </a:graphic>
                    </wp:inline>
                  </w:drawing>
                </mc:Choice>
                <mc:Fallback>
                  <w:pict>
                    <v:group id="画布 3256" o:spid="_x0000_s1026" o:spt="203" style="height:287.4pt;width:383.8pt;" coordsize="4874260,3649980" editas="canvas" o:gfxdata="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">
                      <o:lock v:ext="edit" aspectratio="f"/>
                      <v:shape id="画布 3256" o:spid="_x0000_s1026" style="position:absolute;left:0;top:0;height:3649980;width:4874260;" filled="f" stroked="f" coordsize="21600,21600" o:gfxdata="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">
                        <v:fill on="f" focussize="0,0"/>
                        <v:stroke on="f"/>
                        <v:imagedata o:title=""/>
                        <o:lock v:ext="edit" aspectratio="t"/>
                      </v:shape>
                      <v:shape id="AutoShape 3258" o:spid="_x0000_s1026" o:spt="32" type="#_x0000_t32" style="position:absolute;left:468630;top:596900;height:635;width:467360;" filled="f" stroked="t" coordsize="21600,21600" o:gfxdata="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lJT&#10;g9YAAAAFAQAADwAAAAAAAAABACAAAAAiAAAAZHJzL2Rvd25yZXYueG1sUEsBAhQAFAAAAAgAh07i&#10;QGYuwm3rAQAA7gMAAA4AAAAAAAAAAQAgAAAAJQEAAGRycy9lMm9Eb2MueG1sUEsFBgAAAAAGAAYA&#10;WQEAAIIFAAAAAA==&#10;">
                        <v:fill on="f" focussize="0,0"/>
                        <v:stroke color="#000000" joinstyle="round"/>
                        <v:imagedata o:title=""/>
                        <o:lock v:ext="edit" aspectratio="f"/>
                      </v:shape>
                      <v:shape id="Text Box 3259" o:spid="_x0000_s1026" o:spt="202" type="#_x0000_t202" style="position:absolute;left:935355;top:489585;height:215900;width:680720;v-text-anchor:middle;" fillcolor="#FFFFFF" filled="t" stroked="t" coordsize="21600,21600" o:gfxdata="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SS&#10;i2jVAAAABQEAAA8AAAAAAAAAAQAgAAAAIgAAAGRycy9kb3ducmV2LnhtbFBLAQIUABQAAAAIAIdO&#10;4kBYezcJJgIAAIAEAAAOAAAAAAAAAAEAIAAAACQBAABkcnMvZTJvRG9jLnhtbFBLBQYAAAAABgAG&#10;AFkBAAC8BQAAAAA=&#10;">
                        <v:fill on="t" focussize="0,0"/>
                        <v:stroke color="#000000" joinstyle="miter"/>
                        <v:imagedata o:title=""/>
                        <o:lock v:ext="edit" aspectratio="f"/>
                        <v:textbox inset="0mm,0mm,0mm,0mm">
                          <w:txbxContent>
                            <w:p w14:paraId="78221106">
                              <w:pPr>
                                <w:jc w:val="center"/>
                                <w:rPr>
                                  <w:rFonts w:ascii="Times New Roman" w:hAnsi="Times New Roman" w:eastAsia="黑体"/>
                                  <w:sz w:val="18"/>
                                  <w:szCs w:val="18"/>
                                </w:rPr>
                              </w:pPr>
                              <w:r>
                                <w:rPr>
                                  <w:rFonts w:ascii="Times New Roman" w:hAnsi="黑体" w:eastAsia="黑体"/>
                                  <w:sz w:val="18"/>
                                  <w:szCs w:val="18"/>
                                </w:rPr>
                                <w:t>生活用水</w:t>
                              </w:r>
                            </w:p>
                          </w:txbxContent>
                        </v:textbox>
                      </v:shape>
                      <v:shape id="AutoShape 3260" o:spid="_x0000_s1026" o:spt="32" type="#_x0000_t32" style="position:absolute;left:1616075;top:597535;height:635;width:396240;" filled="f" stroked="t" coordsize="21600,21600" o:gfxdata="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Ow7s1wAAAAUBAAAPAAAAAAAAAAEAIAAAACIAAABkcnMvZG93bnJldi54bWxQ&#10;SwECFAAUAAAACACHTuJAOrvE/vgBAADyAwAADgAAAAAAAAABACAAAAAmAQAAZHJzL2Uyb0RvYy54&#10;bWxQSwUGAAAAAAYABgBZAQAAkAUAAAAA&#10;">
                        <v:fill on="f" focussize="0,0"/>
                        <v:stroke color="#000000" joinstyle="round" endarrow="block" endarrowwidth="narrow"/>
                        <v:imagedata o:title=""/>
                        <o:lock v:ext="edit" aspectratio="f"/>
                      </v:shape>
                      <v:shape id="Text Box 3261" o:spid="_x0000_s1026" o:spt="202" type="#_x0000_t202" style="position:absolute;left:2026920;top:489585;height:215900;width:683895;v-text-anchor:middle;" fillcolor="#FFFFFF" filled="t" stroked="t" coordsize="21600,21600" o:gfxdata="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SS&#10;i2jVAAAABQEAAA8AAAAAAAAAAQAgAAAAIgAAAGRycy9kb3ducmV2LnhtbFBLAQIUABQAAAAIAIdO&#10;4kAa7e6JJgIAAIEEAAAOAAAAAAAAAAEAIAAAACQBAABkcnMvZTJvRG9jLnhtbFBLBQYAAAAABgAG&#10;AFkBAAC8BQAAAAA=&#10;">
                        <v:fill on="t" focussize="0,0"/>
                        <v:stroke color="#000000" joinstyle="miter"/>
                        <v:imagedata o:title=""/>
                        <o:lock v:ext="edit" aspectratio="f"/>
                        <v:textbox inset="0mm,0mm,0mm,0mm">
                          <w:txbxContent>
                            <w:p w14:paraId="5685F378">
                              <w:pPr>
                                <w:jc w:val="center"/>
                                <w:rPr>
                                  <w:rFonts w:ascii="Times New Roman" w:hAnsi="Times New Roman" w:eastAsia="黑体"/>
                                  <w:sz w:val="18"/>
                                  <w:szCs w:val="18"/>
                                </w:rPr>
                              </w:pPr>
                              <w:r>
                                <w:rPr>
                                  <w:rFonts w:ascii="Times New Roman" w:hAnsi="黑体" w:eastAsia="黑体"/>
                                  <w:sz w:val="18"/>
                                  <w:szCs w:val="18"/>
                                </w:rPr>
                                <w:t>化粪池</w:t>
                              </w:r>
                            </w:p>
                          </w:txbxContent>
                        </v:textbox>
                      </v:shape>
                      <v:shape id="Text Box 3264" o:spid="_x0000_s1026" o:spt="202" type="#_x0000_t202" style="position:absolute;left:3752850;top:2929255;height:187960;width:68072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I7VqDWAAAABQEAAA8AAAAAAAAAAQAgAAAAIgAAAGRycy9kb3du&#10;cmV2LnhtbFBLAQIUABQAAAAIAIdO4kCBxRw5yAEAAJoDAAAOAAAAAAAAAAEAIAAAACUBAABkcnMv&#10;ZTJvRG9jLnhtbFBLBQYAAAAABgAGAFkBAABfBQAAAAA=&#10;">
                        <v:fill on="f" focussize="0,0"/>
                        <v:stroke on="f"/>
                        <v:imagedata o:title=""/>
                        <o:lock v:ext="edit" aspectratio="f"/>
                        <v:textbox inset="0mm,0mm,0mm,0mm">
                          <w:txbxContent>
                            <w:p w14:paraId="15C10A52">
                              <w:pPr>
                                <w:jc w:val="center"/>
                                <w:rPr>
                                  <w:rFonts w:ascii="Times New Roman" w:hAnsi="Times New Roman" w:eastAsia="黑体"/>
                                  <w:sz w:val="18"/>
                                  <w:szCs w:val="18"/>
                                </w:rPr>
                              </w:pPr>
                              <w:r>
                                <w:rPr>
                                  <w:rFonts w:hint="eastAsia" w:ascii="Times New Roman" w:hAnsi="黑体" w:eastAsia="黑体"/>
                                  <w:sz w:val="18"/>
                                  <w:szCs w:val="18"/>
                                </w:rPr>
                                <w:t>高塘湖</w:t>
                              </w:r>
                            </w:p>
                          </w:txbxContent>
                        </v:textbox>
                      </v:shape>
                      <v:shape id="Text Box 3265" o:spid="_x0000_s1026" o:spt="202" type="#_x0000_t202" style="position:absolute;left:436245;top:369570;height:245745;width:499745;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jtWoNYAAAAFAQAADwAAAAAAAAABACAAAAAiAAAAZHJzL2Rvd25yZXYueG1s&#10;UEsBAhQAFAAAAAgAh07iQEUUquXBAQAAmAMAAA4AAAAAAAAAAQAgAAAAJQEAAGRycy9lMm9Eb2Mu&#10;eG1sUEsFBgAAAAAGAAYAWQEAAFgFAAAAAA==&#10;">
                        <v:fill on="f" focussize="0,0"/>
                        <v:stroke on="f"/>
                        <v:imagedata o:title=""/>
                        <o:lock v:ext="edit" aspectratio="f"/>
                        <v:textbox inset="0mm,0mm,0mm,0mm">
                          <w:txbxContent>
                            <w:p w14:paraId="530A9F0D">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7.5</w:t>
                              </w:r>
                            </w:p>
                          </w:txbxContent>
                        </v:textbox>
                      </v:shape>
                      <v:shape id="AutoShape 3270" o:spid="_x0000_s1026" o:spt="32" type="#_x0000_t32" style="position:absolute;left:4114800;top:2569210;height:360045;width:635;" filled="f" stroked="t" coordsize="21600,21600" o:gfxdata="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M7DuzXAAAABQEAAA8AAAAAAAAAAQAgAAAAIgAAAGRycy9kb3ducmV2LnhtbFBL&#10;AQIUABQAAAAIAIdO4kANz2tu9wEAAPMDAAAOAAAAAAAAAAEAIAAAACYBAABkcnMvZTJvRG9jLnht&#10;bFBLBQYAAAAABgAGAFkBAACPBQAAAAA=&#10;">
                        <v:fill on="f" focussize="0,0"/>
                        <v:stroke color="#000000" joinstyle="round" endarrow="block" endarrowwidth="narrow"/>
                        <v:imagedata o:title=""/>
                        <o:lock v:ext="edit" aspectratio="f"/>
                      </v:shape>
                      <v:shape id="Text Box 3274" o:spid="_x0000_s1026" o:spt="202" type="#_x0000_t202" style="position:absolute;left:210185;top:83185;height:191770;width:499745;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jtWoNYAAAAFAQAADwAAAAAAAAABACAAAAAiAAAAZHJzL2Rvd25yZXYu&#10;eG1sUEsBAhQAFAAAAAgAh07iQGD0HcfEAQAAlwMAAA4AAAAAAAAAAQAgAAAAJQEAAGRycy9lMm9E&#10;b2MueG1sUEsFBgAAAAAGAAYAWQEAAFsFAAAAAA==&#10;">
                        <v:fill on="f" focussize="0,0"/>
                        <v:stroke on="f"/>
                        <v:imagedata o:title=""/>
                        <o:lock v:ext="edit" aspectratio="f"/>
                        <v:textbox inset="0mm,0mm,0mm,0mm">
                          <w:txbxContent>
                            <w:p w14:paraId="6186DD94">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7.82</w:t>
                              </w:r>
                            </w:p>
                          </w:txbxContent>
                        </v:textbox>
                      </v:shape>
                      <v:shape id="AutoShape 3275" o:spid="_x0000_s1026" o:spt="38" type="#_x0000_t38" style="position:absolute;left:1241425;top:277495;height:205740;width:210820;rotation:-5898240f;" filled="f" stroked="t" coordsize="21600,21600" o:gfxdata="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OTSRtUAAAAFAQAA&#10;DwAAAAAAAAABACAAAAAiAAAAZHJzL2Rvd25yZXYueG1sUEsBAhQAFAAAAAgAh07iQAGi6H8cAgAA&#10;LwQAAA4AAAAAAAAAAQAgAAAAJAEAAGRycy9lMm9Eb2MueG1sUEsFBgAAAAAGAAYAWQEAALIFAAAA&#10;AA==&#10;" adj="10734">
                        <v:fill on="f" focussize="0,0"/>
                        <v:stroke color="#000000" joinstyle="round" dashstyle="dash" endarrow="block" endarrowwidth="narrow"/>
                        <v:imagedata o:title=""/>
                        <o:lock v:ext="edit" aspectratio="f"/>
                      </v:shape>
                      <v:shape id="Text Box 3276" o:spid="_x0000_s1026" o:spt="202" type="#_x0000_t202" style="position:absolute;left:1284605;top:83185;height:195580;width:53213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O1ag1gAAAAUBAAAPAAAAAAAAAAEAIAAAACIAAABkcnMvZG93bnJl&#10;di54bWxQSwECFAAUAAAACACHTuJAuw0nm8YBAACZAwAADgAAAAAAAAABACAAAAAlAQAAZHJzL2Uy&#10;b0RvYy54bWxQSwUGAAAAAAYABgBZAQAAXQUAAAAA&#10;">
                        <v:fill on="f" focussize="0,0"/>
                        <v:stroke on="f"/>
                        <v:imagedata o:title=""/>
                        <o:lock v:ext="edit" aspectratio="f"/>
                        <v:textbox inset="0mm,0mm,0mm,0mm">
                          <w:txbxContent>
                            <w:p w14:paraId="454AE162">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1.125</w:t>
                              </w:r>
                            </w:p>
                          </w:txbxContent>
                        </v:textbox>
                      </v:shape>
                      <v:shape id="Text Box 3277" o:spid="_x0000_s1026" o:spt="202" type="#_x0000_t202" style="position:absolute;left:1459230;top:304800;height:275590;width:68072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O1ag1gAAAAUBAAAPAAAAAAAAAAEAIAAAACIAAABkcnMvZG93bnJl&#10;di54bWxQSwECFAAUAAAACACHTuJApIUK48YBAACaAwAADgAAAAAAAAABACAAAAAlAQAAZHJzL2Uy&#10;b0RvYy54bWxQSwUGAAAAAAYABgBZAQAAXQUAAAAA&#10;">
                        <v:fill on="f" focussize="0,0"/>
                        <v:stroke on="f"/>
                        <v:imagedata o:title=""/>
                        <o:lock v:ext="edit" aspectratio="f"/>
                        <v:textbox inset="0mm,0mm,0mm,0mm">
                          <w:txbxContent>
                            <w:p w14:paraId="30D6005C">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6.375</w:t>
                              </w:r>
                            </w:p>
                          </w:txbxContent>
                        </v:textbox>
                      </v:shape>
                      <v:shape id="AutoShape 3288" o:spid="_x0000_s1026" o:spt="32" type="#_x0000_t32" style="position:absolute;left:460375;top:298450;height:1619885;width:635;" filled="f" stroked="t" coordsize="21600,21600" o:gfxdata="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5SU4PWAAAABQEAAA8AAAAAAAAAAQAgAAAAIgAAAGRycy9kb3ducmV2LnhtbFBLAQIUABQAAAAI&#10;AIdO4kDdFXRV7wEAAPADAAAOAAAAAAAAAAEAIAAAACUBAABkcnMvZTJvRG9jLnhtbFBLBQYAAAAA&#10;BgAGAFkBAACGBQAAAAA=&#10;">
                        <v:fill on="f" focussize="0,0"/>
                        <v:stroke color="#000000" joinstyle="round"/>
                        <v:imagedata o:title=""/>
                        <o:lock v:ext="edit" aspectratio="f"/>
                      </v:shape>
                      <v:shape id="Text Box 3262" o:spid="_x0000_s1026" o:spt="202" type="#_x0000_t202" style="position:absolute;left:3566795;top:2291715;height:288290;width:1098550;v-text-anchor:middle;" fillcolor="#FFFFFF" filled="t" stroked="t" coordsize="21600,21600" o:gfxdata="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JKLaNUAAAAFAQAADwAAAAAAAAABACAAAAAiAAAAZHJzL2Rvd25yZXYueG1sUEsBAhQAFAAAAAgA&#10;h07iQHCdVJQoAgAAhAQAAA4AAAAAAAAAAQAgAAAAJAEAAGRycy9lMm9Eb2MueG1sUEsFBgAAAAAG&#10;AAYAWQEAAL4FAAAAAA==&#10;">
                        <v:fill on="t" focussize="0,0"/>
                        <v:stroke color="#000000" joinstyle="miter"/>
                        <v:imagedata o:title=""/>
                        <o:lock v:ext="edit" aspectratio="f"/>
                        <v:textbox inset="0mm,0mm,0mm,0mm">
                          <w:txbxContent>
                            <w:p w14:paraId="2E13AA6E">
                              <w:pPr>
                                <w:jc w:val="center"/>
                                <w:rPr>
                                  <w:rFonts w:ascii="Times New Roman" w:hAnsi="Times New Roman" w:eastAsia="黑体"/>
                                  <w:sz w:val="18"/>
                                  <w:szCs w:val="18"/>
                                </w:rPr>
                              </w:pPr>
                              <w:r>
                                <w:rPr>
                                  <w:rFonts w:hint="eastAsia" w:ascii="Times New Roman" w:hAnsi="黑体" w:eastAsia="黑体"/>
                                  <w:sz w:val="18"/>
                                  <w:szCs w:val="18"/>
                                </w:rPr>
                                <w:t>山南新区</w:t>
                              </w:r>
                              <w:r>
                                <w:rPr>
                                  <w:rFonts w:ascii="Times New Roman" w:hAnsi="黑体" w:eastAsia="黑体"/>
                                  <w:sz w:val="18"/>
                                  <w:szCs w:val="18"/>
                                </w:rPr>
                                <w:t>污水处理厂</w:t>
                              </w:r>
                            </w:p>
                          </w:txbxContent>
                        </v:textbox>
                      </v:shape>
                      <v:shape id="AutoShape 3258" o:spid="_x0000_s1026" o:spt="32" type="#_x0000_t32" style="position:absolute;left:461010;top:1290320;height:635;width:467360;" filled="f" stroked="t" coordsize="21600,21600" o:gfxdata="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S&#10;U4PWAAAABQEAAA8AAAAAAAAAAQAgAAAAIgAAAGRycy9kb3ducmV2LnhtbFBLAQIUABQAAAAIAIdO&#10;4kAmD2e+7AEAAPADAAAOAAAAAAAAAAEAIAAAACUBAABkcnMvZTJvRG9jLnhtbFBLBQYAAAAABgAG&#10;AFkBAACDBQAAAAA=&#10;">
                        <v:fill on="f" focussize="0,0"/>
                        <v:stroke color="#000000" joinstyle="round"/>
                        <v:imagedata o:title=""/>
                        <o:lock v:ext="edit" aspectratio="f"/>
                      </v:shape>
                      <v:shape id="Text Box 3259" o:spid="_x0000_s1026" o:spt="202" type="#_x0000_t202" style="position:absolute;left:927735;top:1183005;height:215900;width:881380;v-text-anchor:middle;" fillcolor="#FFFFFF" filled="t" stroked="t" coordsize="21600,21600" o:gfxdata="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SS&#10;i2jVAAAABQEAAA8AAAAAAAAAAQAgAAAAIgAAAGRycy9kb3ducmV2LnhtbFBLAQIUABQAAAAIAIdO&#10;4kAo7neNJgIAAIIEAAAOAAAAAAAAAAEAIAAAACQBAABkcnMvZTJvRG9jLnhtbFBLBQYAAAAABgAG&#10;AFkBAAC8BQAAAAA=&#10;">
                        <v:fill on="t" focussize="0,0"/>
                        <v:stroke color="#000000" joinstyle="miter"/>
                        <v:imagedata o:title=""/>
                        <o:lock v:ext="edit" aspectratio="f"/>
                        <v:textbox inset="0mm,0mm,0mm,0mm">
                          <w:txbxContent>
                            <w:p w14:paraId="2B5C2BC0">
                              <w:pPr>
                                <w:jc w:val="center"/>
                                <w:rPr>
                                  <w:rFonts w:ascii="Times New Roman" w:hAnsi="Times New Roman" w:eastAsia="黑体"/>
                                  <w:sz w:val="18"/>
                                  <w:szCs w:val="18"/>
                                </w:rPr>
                              </w:pPr>
                              <w:r>
                                <w:rPr>
                                  <w:rFonts w:hint="eastAsia" w:ascii="Times New Roman" w:hAnsi="黑体" w:eastAsia="黑体"/>
                                  <w:sz w:val="18"/>
                                  <w:szCs w:val="18"/>
                                </w:rPr>
                                <w:t>后段</w:t>
                              </w:r>
                              <w:r>
                                <w:rPr>
                                  <w:rFonts w:ascii="Times New Roman" w:hAnsi="黑体" w:eastAsia="黑体"/>
                                  <w:sz w:val="18"/>
                                  <w:szCs w:val="18"/>
                                </w:rPr>
                                <w:t>清洗</w:t>
                              </w:r>
                              <w:r>
                                <w:rPr>
                                  <w:rFonts w:hint="eastAsia" w:ascii="Times New Roman" w:hAnsi="黑体" w:eastAsia="黑体"/>
                                  <w:sz w:val="18"/>
                                  <w:szCs w:val="18"/>
                                  <w:lang w:val="en-US" w:eastAsia="zh-CN"/>
                                </w:rPr>
                                <w:t>用</w:t>
                              </w:r>
                              <w:r>
                                <w:rPr>
                                  <w:rFonts w:ascii="Times New Roman" w:hAnsi="黑体" w:eastAsia="黑体"/>
                                  <w:sz w:val="18"/>
                                  <w:szCs w:val="18"/>
                                </w:rPr>
                                <w:t>水</w:t>
                              </w:r>
                            </w:p>
                          </w:txbxContent>
                        </v:textbox>
                      </v:shape>
                      <v:shape id="Text Box 3265" o:spid="_x0000_s1026" o:spt="202" type="#_x0000_t202" style="position:absolute;left:436245;top:1062990;height:245745;width:499745;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I7VqDWAAAABQEAAA8AAAAAAAAAAQAgAAAAIgAAAGRycy9kb3ducmV2Lnht&#10;bFBLAQIUABQAAAAIAIdO4kAufrIxwgEAAJoDAAAOAAAAAAAAAAEAIAAAACUBAABkcnMvZTJvRG9j&#10;LnhtbFBLBQYAAAAABgAGAFkBAABZBQAAAAA=&#10;">
                        <v:fill on="f" focussize="0,0"/>
                        <v:stroke on="f"/>
                        <v:imagedata o:title=""/>
                        <o:lock v:ext="edit" aspectratio="f"/>
                        <v:textbox inset="0mm,0mm,0mm,0mm">
                          <w:txbxContent>
                            <w:p w14:paraId="150F5201">
                              <w:pPr>
                                <w:jc w:val="center"/>
                                <w:rPr>
                                  <w:rFonts w:hint="default" w:ascii="Times New Roman" w:hAnsi="Times New Roman" w:eastAsia="黑体"/>
                                  <w:color w:val="000000"/>
                                  <w:sz w:val="18"/>
                                  <w:szCs w:val="18"/>
                                  <w:lang w:val="en-US"/>
                                </w:rPr>
                              </w:pPr>
                              <w:r>
                                <w:rPr>
                                  <w:rFonts w:hint="default" w:ascii="Times New Roman" w:hAnsi="Times New Roman" w:eastAsia="黑体"/>
                                  <w:color w:val="000000"/>
                                  <w:sz w:val="18"/>
                                  <w:szCs w:val="18"/>
                                  <w:lang w:val="en-US"/>
                                </w:rPr>
                                <w:t>0.02</w:t>
                              </w:r>
                            </w:p>
                          </w:txbxContent>
                        </v:textbox>
                      </v:shape>
                      <v:shape id="Text Box 3271" o:spid="_x0000_s1026" o:spt="202" type="#_x0000_t202" style="position:absolute;left:1655445;top:1062990;height:319405;width:68072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O1ag1gAAAAUBAAAPAAAAAAAAAAEAIAAAACIAAABkcnMvZG93bnJl&#10;di54bWxQSwECFAAUAAAACACHTuJAUiDMksYBAACbAwAADgAAAAAAAAABACAAAAAlAQAAZHJzL2Uy&#10;b0RvYy54bWxQSwUGAAAAAAYABgBZAQAAXQUAAAAA&#10;">
                        <v:fill on="f" focussize="0,0"/>
                        <v:stroke on="f"/>
                        <v:imagedata o:title=""/>
                        <o:lock v:ext="edit" aspectratio="f"/>
                        <v:textbox inset="0mm,0mm,0mm,0mm">
                          <w:txbxContent>
                            <w:p w14:paraId="1524BA1C">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0.018</w:t>
                              </w:r>
                            </w:p>
                          </w:txbxContent>
                        </v:textbox>
                      </v:shape>
                      <v:shape id="AutoShape 3275" o:spid="_x0000_s1026" o:spt="38" type="#_x0000_t38" style="position:absolute;left:1233805;top:970915;height:205740;width:210820;rotation:-5898240f;" filled="f" stroked="t" coordsize="21600,21600" o:gfxdata="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5NJG1QAAAAUB&#10;AAAPAAAAAAAAAAEAIAAAACIAAABkcnMvZG93bnJldi54bWxQSwECFAAUAAAACACHTuJAxgsWMB4C&#10;AAAvBAAADgAAAAAAAAABACAAAAAkAQAAZHJzL2Uyb0RvYy54bWxQSwUGAAAAAAYABgBZAQAAtAUA&#10;AAAA&#10;" adj="10734">
                        <v:fill on="f" focussize="0,0"/>
                        <v:stroke color="#000000" joinstyle="round" dashstyle="dash" endarrow="block" endarrowwidth="narrow"/>
                        <v:imagedata o:title=""/>
                        <o:lock v:ext="edit" aspectratio="f"/>
                      </v:shape>
                      <v:shape id="Text Box 3276" o:spid="_x0000_s1026" o:spt="202" type="#_x0000_t202" style="position:absolute;left:1276985;top:776605;height:195580;width:53213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I7VqDWAAAABQEAAA8AAAAAAAAAAQAgAAAAIgAAAGRycy9kb3du&#10;cmV2LnhtbFBLAQIUABQAAAAIAIdO4kBySFdUyAEAAJoDAAAOAAAAAAAAAAEAIAAAACUBAABkcnMv&#10;ZTJvRG9jLnhtbFBLBQYAAAAABgAGAFkBAABfBQAAAAA=&#10;">
                        <v:fill on="f" focussize="0,0"/>
                        <v:stroke on="f"/>
                        <v:imagedata o:title=""/>
                        <o:lock v:ext="edit" aspectratio="f"/>
                        <v:textbox inset="0mm,0mm,0mm,0mm">
                          <w:txbxContent>
                            <w:p w14:paraId="335A2D63">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0.002</w:t>
                              </w:r>
                            </w:p>
                          </w:txbxContent>
                        </v:textbox>
                      </v:shape>
                      <v:shape id="AutoShape 3260" o:spid="_x0000_s1026" o:spt="32" type="#_x0000_t32" style="position:absolute;left:1816100;top:1304925;height:635;width:396240;" filled="f" stroked="t" coordsize="21600,21600" o:gfxdata="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zsO7NcAAAAFAQAADwAAAAAAAAABACAAAAAiAAAAZHJzL2Rvd25yZXYueG1sUEsB&#10;AhQAFAAAAAgAh07iQLmsmjH2AQAA9AMAAA4AAAAAAAAAAQAgAAAAJgEAAGRycy9lMm9Eb2MueG1s&#10;UEsFBgAAAAAGAAYAWQEAAI4FAAAAAA==&#10;">
                        <v:fill on="f" focussize="0,0"/>
                        <v:stroke color="#000000" joinstyle="round" endarrow="block" endarrowwidth="narrow"/>
                        <v:imagedata o:title=""/>
                        <o:lock v:ext="edit" aspectratio="f"/>
                      </v:shape>
                      <v:shape id="Text Box 3261" o:spid="_x0000_s1026" o:spt="202" type="#_x0000_t202" style="position:absolute;left:2205990;top:1196975;height:215900;width:683895;v-text-anchor:middle;" fillcolor="#FFFFFF" filled="t" stroked="t" coordsize="21600,21600" o:gfxdata="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JKLaNUAAAAFAQAADwAAAAAAAAABACAAAAAiAAAAZHJzL2Rvd25yZXYueG1sUEsBAhQAFAAAAAgA&#10;h07iQIRiGaIoAgAAgwQAAA4AAAAAAAAAAQAgAAAAJAEAAGRycy9lMm9Eb2MueG1sUEsFBgAAAAAG&#10;AAYAWQEAAL4FAAAAAA==&#10;">
                        <v:fill on="t" focussize="0,0"/>
                        <v:stroke color="#000000" joinstyle="miter"/>
                        <v:imagedata o:title=""/>
                        <o:lock v:ext="edit" aspectratio="f"/>
                        <v:textbox inset="0mm,0mm,0mm,0mm">
                          <w:txbxContent>
                            <w:p w14:paraId="0989E15C">
                              <w:pPr>
                                <w:jc w:val="center"/>
                                <w:rPr>
                                  <w:rFonts w:ascii="Times New Roman" w:hAnsi="Times New Roman" w:eastAsia="黑体"/>
                                  <w:sz w:val="18"/>
                                  <w:szCs w:val="18"/>
                                </w:rPr>
                              </w:pPr>
                              <w:r>
                                <w:rPr>
                                  <w:rFonts w:hint="eastAsia" w:ascii="Times New Roman" w:hAnsi="黑体" w:eastAsia="黑体"/>
                                  <w:sz w:val="18"/>
                                  <w:szCs w:val="18"/>
                                </w:rPr>
                                <w:t>pH调节</w:t>
                              </w:r>
                            </w:p>
                          </w:txbxContent>
                        </v:textbox>
                      </v:shape>
                      <v:shape id="AutoShape 3258" o:spid="_x0000_s1026" o:spt="32" type="#_x0000_t32" style="position:absolute;left:462280;top:2254250;height:635;width:467360;" filled="f" stroked="t" coordsize="21600,21600" o:gfxdata="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UlOD1gAAAAUBAAAPAAAAAAAAAAEAIAAAACIAAABkcnMvZG93bnJldi54bWxQSwECFAAUAAAACACH&#10;TuJAKtsNXe0BAADwAwAADgAAAAAAAAABACAAAAAlAQAAZHJzL2Uyb0RvYy54bWxQSwUGAAAAAAYA&#10;BgBZAQAAhAUAAAAA&#10;">
                        <v:fill on="f" focussize="0,0"/>
                        <v:stroke color="#000000" joinstyle="round"/>
                        <v:imagedata o:title=""/>
                        <o:lock v:ext="edit" aspectratio="f"/>
                      </v:shape>
                      <v:shape id="Text Box 3259" o:spid="_x0000_s1026" o:spt="202" type="#_x0000_t202" style="position:absolute;left:929005;top:1796415;height:215900;width:680085;v-text-anchor:middle;" fillcolor="#FFFFFF" filled="t" stroked="t" coordsize="21600,21600" o:gfxdata="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JKLaNUA&#10;AAAFAQAADwAAAAAAAAABACAAAAAiAAAAZHJzL2Rvd25yZXYueG1sUEsBAhQAFAAAAAgAh07iQC8Z&#10;TD4iAgAAggQAAA4AAAAAAAAAAQAgAAAAJAEAAGRycy9lMm9Eb2MueG1sUEsFBgAAAAAGAAYAWQEA&#10;ALgFAAAAAA==&#10;">
                        <v:fill on="t" focussize="0,0"/>
                        <v:stroke color="#000000" joinstyle="miter"/>
                        <v:imagedata o:title=""/>
                        <o:lock v:ext="edit" aspectratio="f"/>
                        <v:textbox inset="0mm,0mm,0mm,0mm">
                          <w:txbxContent>
                            <w:p w14:paraId="386C0557">
                              <w:pPr>
                                <w:jc w:val="center"/>
                                <w:rPr>
                                  <w:rFonts w:ascii="Times New Roman" w:hAnsi="Times New Roman" w:eastAsia="黑体"/>
                                  <w:sz w:val="18"/>
                                  <w:szCs w:val="18"/>
                                </w:rPr>
                              </w:pPr>
                              <w:r>
                                <w:rPr>
                                  <w:rFonts w:hint="eastAsia" w:ascii="Times New Roman" w:hAnsi="黑体" w:eastAsia="黑体"/>
                                  <w:sz w:val="18"/>
                                  <w:szCs w:val="18"/>
                                </w:rPr>
                                <w:t>保洁</w:t>
                              </w:r>
                              <w:r>
                                <w:rPr>
                                  <w:rFonts w:hint="eastAsia" w:ascii="Times New Roman" w:hAnsi="黑体" w:eastAsia="黑体"/>
                                  <w:sz w:val="18"/>
                                  <w:szCs w:val="18"/>
                                  <w:lang w:val="en-US" w:eastAsia="zh-CN"/>
                                </w:rPr>
                                <w:t>用水</w:t>
                              </w:r>
                            </w:p>
                          </w:txbxContent>
                        </v:textbox>
                      </v:shape>
                      <v:shape id="Text Box 3265" o:spid="_x0000_s1026" o:spt="202" type="#_x0000_t202" style="position:absolute;left:429895;top:1714500;height:245745;width:499745;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O1ag1gAAAAUBAAAPAAAAAAAAAAEAIAAAACIAAABkcnMvZG93bnJldi54&#10;bWxQSwECFAAUAAAACACHTuJAWjGhKcMBAACaAwAADgAAAAAAAAABACAAAAAlAQAAZHJzL2Uyb0Rv&#10;Yy54bWxQSwUGAAAAAAYABgBZAQAAWgUAAAAA&#10;">
                        <v:fill on="f" focussize="0,0"/>
                        <v:stroke on="f"/>
                        <v:imagedata o:title=""/>
                        <o:lock v:ext="edit" aspectratio="f"/>
                        <v:textbox inset="0mm,0mm,0mm,0mm">
                          <w:txbxContent>
                            <w:p w14:paraId="29B87E87">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0.3</w:t>
                              </w:r>
                            </w:p>
                          </w:txbxContent>
                        </v:textbox>
                      </v:shape>
                      <v:shape id="AutoShape 3275" o:spid="_x0000_s1026" o:spt="38" type="#_x0000_t38" style="position:absolute;left:1235075;top:1584325;height:205740;width:210820;rotation:-5898240f;" filled="f" stroked="t" coordsize="21600,21600" o:gfxdata="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zk0kbVAAAABQEA&#10;AA8AAAAAAAAAAQAgAAAAIgAAAGRycy9kb3ducmV2LnhtbFBLAQIUABQAAAAIAIdO4kBmocauHQIA&#10;ADAEAAAOAAAAAAAAAAEAIAAAACQBAABkcnMvZTJvRG9jLnhtbFBLBQYAAAAABgAGAFkBAACzBQAA&#10;AAA=&#10;" adj="10734">
                        <v:fill on="f" focussize="0,0"/>
                        <v:stroke color="#000000" joinstyle="round" dashstyle="dash" endarrow="block" endarrowwidth="narrow"/>
                        <v:imagedata o:title=""/>
                        <o:lock v:ext="edit" aspectratio="f"/>
                      </v:shape>
                      <v:shape id="Text Box 3276" o:spid="_x0000_s1026" o:spt="202" type="#_x0000_t202" style="position:absolute;left:1278255;top:1390015;height:195580;width:53213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O1ag1gAAAAUBAAAPAAAAAAAAAAEAIAAAACIAAABkcnMvZG93bnJl&#10;di54bWxQSwECFAAUAAAACACHTuJAWhUW68YBAACbAwAADgAAAAAAAAABACAAAAAlAQAAZHJzL2Uy&#10;b0RvYy54bWxQSwUGAAAAAAYABgBZAQAAXQUAAAAA&#10;">
                        <v:fill on="f" focussize="0,0"/>
                        <v:stroke on="f"/>
                        <v:imagedata o:title=""/>
                        <o:lock v:ext="edit" aspectratio="f"/>
                        <v:textbox inset="0mm,0mm,0mm,0mm">
                          <w:txbxContent>
                            <w:p w14:paraId="70715513">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0.06</w:t>
                              </w:r>
                            </w:p>
                          </w:txbxContent>
                        </v:textbox>
                      </v:shape>
                      <v:shape id="自选图形 1606" o:spid="_x0000_s1026" o:spt="33" type="#_x0000_t33" style="position:absolute;left:1609090;top:1412875;flip:y;height:491490;width:939165;" filled="f" stroked="t" coordsize="21600,21600" o:gfxdata="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XoYqdQAAAAFAQAADwAA&#10;AAAAAAABACAAAAAiAAAAZHJzL2Rvd25yZXYueG1sUEsBAhQAFAAAAAgAh07iQGdkK6IaAgAACgQA&#10;AA4AAAAAAAAAAQAgAAAAIwEAAGRycy9lMm9Eb2MueG1sUEsFBgAAAAAGAAYAWQEAAK8FAAAAAA==&#10;">
                        <v:fill on="f" focussize="0,0"/>
                        <v:stroke color="#000000" joinstyle="miter" endarrow="block" endarrowwidth="narrow"/>
                        <v:imagedata o:title=""/>
                        <o:lock v:ext="edit" aspectratio="f"/>
                      </v:shape>
                      <v:shape id="自选图形 1607" o:spid="_x0000_s1026" o:spt="33" type="#_x0000_t33" style="position:absolute;left:2889885;top:1304925;height:986790;width:1226185;" filled="f" stroked="t" coordsize="21600,21600" o:gfxdata="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OxALHTAAAABQEAAA8AAAAAAAAA&#10;AQAgAAAAIgAAAGRycy9kb3ducmV2LnhtbFBLAQIUABQAAAAIAIdO4kAJ/8XYFgIAAAEEAAAOAAAA&#10;AAAAAAEAIAAAACIBAABkcnMvZTJvRG9jLnhtbFBLBQYAAAAABgAGAFkBAACqBQAAAAA=&#10;">
                        <v:fill on="f" focussize="0,0"/>
                        <v:stroke color="#000000" joinstyle="miter" endarrow="block" endarrowwidth="narrow"/>
                        <v:imagedata o:title=""/>
                        <o:lock v:ext="edit" aspectratio="f"/>
                      </v:shape>
                      <v:shape id="自选图形 1608" o:spid="_x0000_s1026" o:spt="33" type="#_x0000_t33" style="position:absolute;left:2710815;top:597535;height:1694180;width:1405255;" filled="f" stroked="t" coordsize="21600,21600" o:gfxdata="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7EAsdMAAAAFAQAADwAAAAAA&#10;AAABACAAAAAiAAAAZHJzL2Rvd25yZXYueG1sUEsBAhQAFAAAAAgAh07iQIJl1BcYAgAAAQQAAA4A&#10;AAAAAAAAAQAgAAAAIgEAAGRycy9lMm9Eb2MueG1sUEsFBgAAAAAGAAYAWQEAAKwFAAAAAA==&#10;">
                        <v:fill on="f" focussize="0,0"/>
                        <v:stroke color="#000000" joinstyle="miter" endarrow="block" endarrowwidth="narrow"/>
                        <v:imagedata o:title=""/>
                        <o:lock v:ext="edit" aspectratio="f"/>
                      </v:shape>
                      <v:shape id="Text Box 3264" o:spid="_x0000_s1026" o:spt="202" type="#_x0000_t202" style="position:absolute;left:3754120;top:3441700;height:187960;width:68072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O1ag1gAAAAUBAAAPAAAAAAAAAAEAIAAAACIAAABkcnMvZG93bnJl&#10;di54bWxQSwECFAAUAAAACACHTuJAmos6KsYBAACbAwAADgAAAAAAAAABACAAAAAlAQAAZHJzL2Uy&#10;b0RvYy54bWxQSwUGAAAAAAYABgBZAQAAXQUAAAAA&#10;">
                        <v:fill on="f" focussize="0,0"/>
                        <v:stroke on="f"/>
                        <v:imagedata o:title=""/>
                        <o:lock v:ext="edit" aspectratio="f"/>
                        <v:textbox inset="0mm,0mm,0mm,0mm">
                          <w:txbxContent>
                            <w:p w14:paraId="63D47FB7">
                              <w:pPr>
                                <w:jc w:val="center"/>
                                <w:rPr>
                                  <w:rFonts w:ascii="Times New Roman" w:hAnsi="Times New Roman" w:eastAsia="黑体"/>
                                  <w:sz w:val="18"/>
                                  <w:szCs w:val="18"/>
                                </w:rPr>
                              </w:pPr>
                              <w:r>
                                <w:rPr>
                                  <w:rFonts w:hint="eastAsia" w:ascii="Times New Roman" w:hAnsi="黑体" w:eastAsia="黑体"/>
                                  <w:sz w:val="18"/>
                                  <w:szCs w:val="18"/>
                                </w:rPr>
                                <w:t>淮河</w:t>
                              </w:r>
                            </w:p>
                          </w:txbxContent>
                        </v:textbox>
                      </v:shape>
                      <v:shape id="AutoShape 3270" o:spid="_x0000_s1026" o:spt="32" type="#_x0000_t32" style="position:absolute;left:4116070;top:3081655;height:360045;width:635;" filled="f" stroked="t" coordsize="21600,21600" o:gfxdata="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M7DuzXAAAABQEAAA8AAAAAAAAAAQAgAAAAIgAAAGRycy9kb3ducmV2LnhtbFBL&#10;AQIUABQAAAAIAIdO4kBRFlQo9wEAAPQDAAAOAAAAAAAAAAEAIAAAACYBAABkcnMvZTJvRG9jLnht&#10;bFBLBQYAAAAABgAGAFkBAACPBQAAAAA=&#10;">
                        <v:fill on="f" focussize="0,0"/>
                        <v:stroke color="#000000" joinstyle="round" endarrow="block" endarrowwidth="narrow"/>
                        <v:imagedata o:title=""/>
                        <o:lock v:ext="edit" aspectratio="f"/>
                      </v:shape>
                      <v:shape id="Text Box 3276" o:spid="_x0000_s1026" o:spt="202" type="#_x0000_t202" style="position:absolute;left:3030220;top:1124585;height:195580;width:53213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I7VqDWAAAABQEAAA8AAAAAAAAAAQAgAAAAIgAAAGRycy9kb3du&#10;cmV2LnhtbFBLAQIUABQAAAAIAIdO4kAE6CetyAEAAJsDAAAOAAAAAAAAAAEAIAAAACUBAABkcnMv&#10;ZTJvRG9jLnhtbFBLBQYAAAAABgAGAFkBAABfBQAAAAA=&#10;">
                        <v:fill on="f" focussize="0,0"/>
                        <v:stroke on="f"/>
                        <v:imagedata o:title=""/>
                        <o:lock v:ext="edit" aspectratio="f"/>
                        <v:textbox inset="0mm,0mm,0mm,0mm">
                          <w:txbxContent>
                            <w:p w14:paraId="3FD64212">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0.258</w:t>
                              </w:r>
                            </w:p>
                          </w:txbxContent>
                        </v:textbox>
                      </v:shape>
                      <v:shape id="Text Box 3276" o:spid="_x0000_s1026" o:spt="202" type="#_x0000_t202" style="position:absolute;left:3034665;top:419735;height:195580;width:53213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I7VqDWAAAABQEAAA8AAAAAAAAAAQAgAAAAIgAAAGRycy9kb3du&#10;cmV2LnhtbFBLAQIUABQAAAAIAIdO4kDFCstpyAEAAJoDAAAOAAAAAAAAAAEAIAAAACUBAABkcnMv&#10;ZTJvRG9jLnhtbFBLBQYAAAAABgAGAFkBAABfBQAAAAA=&#10;">
                        <v:fill on="f" focussize="0,0"/>
                        <v:stroke on="f"/>
                        <v:imagedata o:title=""/>
                        <o:lock v:ext="edit" aspectratio="f"/>
                        <v:textbox inset="0mm,0mm,0mm,0mm">
                          <w:txbxContent>
                            <w:p w14:paraId="2AB43EF7">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6.375</w:t>
                              </w:r>
                            </w:p>
                          </w:txbxContent>
                        </v:textbox>
                      </v:shape>
                      <v:shape id="Text Box 3276" o:spid="_x0000_s1026" o:spt="202" type="#_x0000_t202" style="position:absolute;left:1723390;top:1739265;height:195580;width:53213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O1ag1gAAAAUBAAAPAAAAAAAAAAEAIAAAACIAAABkcnMvZG93bnJl&#10;di54bWxQSwECFAAUAAAACACHTuJAs8cH1MYBAACbAwAADgAAAAAAAAABACAAAAAlAQAAZHJzL2Uy&#10;b0RvYy54bWxQSwUGAAAAAAYABgBZAQAAXQUAAAAA&#10;">
                        <v:fill on="f" focussize="0,0"/>
                        <v:stroke on="f"/>
                        <v:imagedata o:title=""/>
                        <o:lock v:ext="edit" aspectratio="f"/>
                        <v:textbox inset="0mm,0mm,0mm,0mm">
                          <w:txbxContent>
                            <w:p w14:paraId="56BFF5CA">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0.24</w:t>
                              </w:r>
                            </w:p>
                          </w:txbxContent>
                        </v:textbox>
                      </v:shape>
                      <v:shape id="Text Box 3276" o:spid="_x0000_s1026" o:spt="202" type="#_x0000_t202" style="position:absolute;left:4004945;top:1972310;height:195580;width:53213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jtWoNYAAAAFAQAADwAAAAAAAAABACAAAAAiAAAAZHJzL2Rvd25y&#10;ZXYueG1sUEsBAhQAFAAAAAgAh07iQAaogW/HAQAAmwMAAA4AAAAAAAAAAQAgAAAAJQEAAGRycy9l&#10;Mm9Eb2MueG1sUEsFBgAAAAAGAAYAWQEAAF4FAAAAAA==&#10;">
                        <v:fill on="f" focussize="0,0"/>
                        <v:stroke on="f"/>
                        <v:imagedata o:title=""/>
                        <o:lock v:ext="edit" aspectratio="f"/>
                        <v:textbox inset="0mm,0mm,0mm,0mm">
                          <w:txbxContent>
                            <w:p w14:paraId="1A08A304">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6.633</w:t>
                              </w:r>
                            </w:p>
                          </w:txbxContent>
                        </v:textbox>
                      </v:shape>
                      <v:shape id="Text Box 3276" o:spid="_x0000_s1026" o:spt="202" type="#_x0000_t202" style="position:absolute;left:4012565;top:2668270;height:195580;width:53213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iO1ag1gAAAAUBAAAPAAAAAAAAAAEAIAAAACIAAABkcnMvZG93&#10;bnJldi54bWxQSwECFAAUAAAACACHTuJA03cnLskBAACbAwAADgAAAAAAAAABACAAAAAlAQAAZHJz&#10;L2Uyb0RvYy54bWxQSwUGAAAAAAYABgBZAQAAYAUAAAAA&#10;">
                        <v:fill on="f" focussize="0,0"/>
                        <v:stroke on="f"/>
                        <v:imagedata o:title=""/>
                        <o:lock v:ext="edit" aspectratio="f"/>
                        <v:textbox inset="0mm,0mm,0mm,0mm">
                          <w:txbxContent>
                            <w:p w14:paraId="14D8C30C">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6.633</w:t>
                              </w:r>
                            </w:p>
                          </w:txbxContent>
                        </v:textbox>
                      </v:shape>
                      <v:shape id="Text Box 3276" o:spid="_x0000_s1026" o:spt="202" type="#_x0000_t202" style="position:absolute;left:4004945;top:3147695;height:195580;width:53213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4jtWoNYAAAAFAQAADwAAAAAAAAABACAAAAAiAAAAZHJzL2Rv&#10;d25yZXYueG1sUEsBAhQAFAAAAAgAh07iQGErelnKAQAAmwMAAA4AAAAAAAAAAQAgAAAAJQEAAGRy&#10;cy9lMm9Eb2MueG1sUEsFBgAAAAAGAAYAWQEAAGEFAAAAAA==&#10;">
                        <v:fill on="f" focussize="0,0"/>
                        <v:stroke on="f"/>
                        <v:imagedata o:title=""/>
                        <o:lock v:ext="edit" aspectratio="f"/>
                        <v:textbox inset="0mm,0mm,0mm,0mm">
                          <w:txbxContent>
                            <w:p w14:paraId="0F3E811E">
                              <w:pPr>
                                <w:jc w:val="center"/>
                                <w:rPr>
                                  <w:rFonts w:ascii="Times New Roman" w:hAnsi="Times New Roman" w:eastAsia="黑体"/>
                                  <w:color w:val="000000"/>
                                  <w:sz w:val="18"/>
                                  <w:szCs w:val="18"/>
                                </w:rPr>
                              </w:pPr>
                              <w:r>
                                <w:rPr>
                                  <w:rFonts w:hint="eastAsia" w:ascii="Times New Roman" w:hAnsi="Times New Roman" w:eastAsia="黑体"/>
                                  <w:color w:val="000000"/>
                                  <w:sz w:val="18"/>
                                  <w:szCs w:val="18"/>
                                </w:rPr>
                                <w:t>6.633</w:t>
                              </w:r>
                            </w:p>
                          </w:txbxContent>
                        </v:textbox>
                      </v:shape>
                      <v:shape id="Text Box 3259" o:spid="_x0000_s1026" o:spt="202" type="#_x0000_t202" style="position:absolute;left:927100;top:2155190;height:215900;width:992505;v-text-anchor:middle;" fillcolor="#FFFFFF" filled="t" stroked="t" coordsize="21600,21600" o:gfxdata="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SSi2jVAAAA&#10;BQEAAA8AAAAAAAAAAQAgAAAAIgAAAGRycy9kb3ducmV2LnhtbFBLAQIUABQAAAAIAIdO4kAjq293&#10;IAIAAIMEAAAOAAAAAAAAAAEAIAAAACQBAABkcnMvZTJvRG9jLnhtbFBLBQYAAAAABgAGAFkBAAC2&#10;BQAAAAA=&#10;">
                        <v:fill on="t" focussize="0,0"/>
                        <v:stroke color="#000000" joinstyle="miter"/>
                        <v:imagedata o:title=""/>
                        <o:lock v:ext="edit" aspectratio="f"/>
                        <v:textbox inset="0mm,0mm,0mm,0mm">
                          <w:txbxContent>
                            <w:p w14:paraId="495F4166">
                              <w:pPr>
                                <w:jc w:val="center"/>
                                <w:rPr>
                                  <w:rFonts w:ascii="Times New Roman" w:hAnsi="Times New Roman" w:eastAsia="黑体"/>
                                  <w:sz w:val="18"/>
                                  <w:szCs w:val="18"/>
                                </w:rPr>
                              </w:pPr>
                              <w:r>
                                <w:rPr>
                                  <w:rFonts w:hint="eastAsia" w:ascii="Times New Roman" w:hAnsi="黑体" w:eastAsia="黑体"/>
                                  <w:sz w:val="18"/>
                                  <w:szCs w:val="18"/>
                                  <w:lang w:val="en-US" w:eastAsia="zh-CN"/>
                                </w:rPr>
                                <w:t>一次、二次</w:t>
                              </w:r>
                              <w:r>
                                <w:rPr>
                                  <w:rFonts w:ascii="Times New Roman" w:hAnsi="黑体" w:eastAsia="黑体"/>
                                  <w:sz w:val="18"/>
                                  <w:szCs w:val="18"/>
                                </w:rPr>
                                <w:t>清洗</w:t>
                              </w:r>
                              <w:r>
                                <w:rPr>
                                  <w:rFonts w:hint="eastAsia" w:ascii="Times New Roman" w:hAnsi="黑体" w:eastAsia="黑体"/>
                                  <w:sz w:val="18"/>
                                  <w:szCs w:val="18"/>
                                  <w:lang w:val="en-US" w:eastAsia="zh-CN"/>
                                </w:rPr>
                                <w:t>用</w:t>
                              </w:r>
                              <w:r>
                                <w:rPr>
                                  <w:rFonts w:ascii="Times New Roman" w:hAnsi="黑体" w:eastAsia="黑体"/>
                                  <w:sz w:val="18"/>
                                  <w:szCs w:val="18"/>
                                </w:rPr>
                                <w:t>水</w:t>
                              </w:r>
                            </w:p>
                          </w:txbxContent>
                        </v:textbox>
                      </v:shape>
                      <v:shape id="Text Box 3265" o:spid="_x0000_s1026" o:spt="202" type="#_x0000_t202" style="position:absolute;left:476250;top:2064385;height:245745;width:499745;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O1ag1gAAAAUBAAAPAAAAAAAAAAEAIAAAACIAAABkcnMvZG93bnJl&#10;di54bWxQSwECFAAUAAAACACHTuJA/r/ZiMYBAACbAwAADgAAAAAAAAABACAAAAAlAQAAZHJzL2Uy&#10;b0RvYy54bWxQSwUGAAAAAAYABgBZAQAAXQUAAAAA&#10;">
                        <v:fill on="f" focussize="0,0"/>
                        <v:stroke on="f"/>
                        <v:imagedata o:title=""/>
                        <o:lock v:ext="edit" aspectratio="f"/>
                        <v:textbox inset="0mm,0mm,0mm,0mm">
                          <w:txbxContent>
                            <w:p w14:paraId="351D330C">
                              <w:pPr>
                                <w:jc w:val="center"/>
                                <w:rPr>
                                  <w:rFonts w:hint="eastAsia" w:ascii="Times New Roman" w:hAnsi="Times New Roman" w:eastAsia="黑体"/>
                                  <w:color w:val="000000"/>
                                  <w:sz w:val="18"/>
                                  <w:szCs w:val="18"/>
                                  <w:lang w:val="en-US" w:eastAsia="zh-CN"/>
                                </w:rPr>
                              </w:pPr>
                              <w:r>
                                <w:rPr>
                                  <w:rFonts w:hint="eastAsia" w:ascii="Times New Roman" w:hAnsi="Times New Roman" w:eastAsia="黑体"/>
                                  <w:color w:val="000000"/>
                                  <w:sz w:val="18"/>
                                  <w:szCs w:val="18"/>
                                </w:rPr>
                                <w:t>0.0</w:t>
                              </w:r>
                              <w:r>
                                <w:rPr>
                                  <w:rFonts w:hint="eastAsia" w:ascii="Times New Roman" w:hAnsi="Times New Roman" w:eastAsia="黑体"/>
                                  <w:color w:val="000000"/>
                                  <w:sz w:val="18"/>
                                  <w:szCs w:val="18"/>
                                  <w:lang w:val="en-US" w:eastAsia="zh-CN"/>
                                </w:rPr>
                                <w:t>4</w:t>
                              </w:r>
                            </w:p>
                          </w:txbxContent>
                        </v:textbox>
                      </v:shape>
                      <v:shape id="_x0000_s1026" o:spid="_x0000_s1026" o:spt="32" type="#_x0000_t32" style="position:absolute;left:1930400;top:2254250;flip:y;height:0;width:508635;" filled="f" stroked="t" coordsize="21600,21600" o:gfxdata="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S3NbVAAAABQEAAA8AAAAA&#10;AAAAAQAgAAAAIgAAAGRycy9kb3ducmV2LnhtbFBLAQIUABQAAAAIAIdO4kAaa9oeFwIAAPQDAAAO&#10;AAAAAAAAAAEAIAAAACQBAABkcnMvZTJvRG9jLnhtbFBLBQYAAAAABgAGAFkBAACtBQAAAAA=&#10;">
                        <v:fill on="f" focussize="0,0"/>
                        <v:stroke weight="0.5pt" color="#000000 [3213]" joinstyle="round" endarrow="block" endarrowwidth="narrow"/>
                        <v:imagedata o:title=""/>
                        <o:lock v:ext="edit" aspectratio="f"/>
                      </v:shape>
                      <v:shape id="Text Box 3265" o:spid="_x0000_s1026" o:spt="202" type="#_x0000_t202" style="position:absolute;left:1880870;top:2060575;height:245745;width:499745;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O1ag1gAAAAUBAAAPAAAAAAAAAAEAIAAAACIAAABkcnMvZG93bnJl&#10;di54bWxQSwECFAAUAAAACACHTuJAVKerdMYBAACcAwAADgAAAAAAAAABACAAAAAlAQAAZHJzL2Uy&#10;b0RvYy54bWxQSwUGAAAAAAYABgBZAQAAXQUAAAAA&#10;">
                        <v:fill on="f" focussize="0,0"/>
                        <v:stroke on="f"/>
                        <v:imagedata o:title=""/>
                        <o:lock v:ext="edit" aspectratio="f"/>
                        <v:textbox inset="0mm,0mm,0mm,0mm">
                          <w:txbxContent>
                            <w:p w14:paraId="1F3F8BC1">
                              <w:pPr>
                                <w:jc w:val="center"/>
                                <w:rPr>
                                  <w:rFonts w:hint="eastAsia" w:ascii="Times New Roman" w:hAnsi="Times New Roman" w:eastAsia="黑体"/>
                                  <w:color w:val="000000"/>
                                  <w:sz w:val="18"/>
                                  <w:szCs w:val="18"/>
                                  <w:lang w:val="en-US" w:eastAsia="zh-CN"/>
                                </w:rPr>
                              </w:pPr>
                              <w:r>
                                <w:rPr>
                                  <w:rFonts w:hint="eastAsia" w:ascii="Times New Roman" w:hAnsi="Times New Roman" w:eastAsia="黑体"/>
                                  <w:color w:val="000000"/>
                                  <w:sz w:val="18"/>
                                  <w:szCs w:val="18"/>
                                </w:rPr>
                                <w:t>0.0</w:t>
                              </w:r>
                              <w:r>
                                <w:rPr>
                                  <w:rFonts w:hint="eastAsia" w:ascii="Times New Roman" w:hAnsi="Times New Roman" w:eastAsia="黑体"/>
                                  <w:color w:val="000000"/>
                                  <w:sz w:val="18"/>
                                  <w:szCs w:val="18"/>
                                  <w:lang w:val="en-US" w:eastAsia="zh-CN"/>
                                </w:rPr>
                                <w:t>4</w:t>
                              </w:r>
                            </w:p>
                          </w:txbxContent>
                        </v:textbox>
                      </v:shape>
                      <v:shape id="Text Box 3264" o:spid="_x0000_s1026" o:spt="202" type="#_x0000_t202" style="position:absolute;left:2188845;top:2148840;height:187960;width:111760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O1ag1gAAAAUBAAAPAAAAAAAAAAEAIAAAACIAAABkcnMvZG93bnJl&#10;di54bWxQSwECFAAUAAAACACHTuJA1xKU3cYBAACdAwAADgAAAAAAAAABACAAAAAlAQAAZHJzL2Uy&#10;b0RvYy54bWxQSwUGAAAAAAYABgBZAQAAXQUAAAAA&#10;">
                        <v:fill on="f" focussize="0,0"/>
                        <v:stroke on="f"/>
                        <v:imagedata o:title=""/>
                        <o:lock v:ext="edit" aspectratio="f"/>
                        <v:textbox inset="0mm,0mm,0mm,0mm">
                          <w:txbxContent>
                            <w:p w14:paraId="0E810AFD">
                              <w:pPr>
                                <w:jc w:val="center"/>
                                <w:rPr>
                                  <w:rFonts w:hint="default" w:ascii="Times New Roman" w:hAnsi="Times New Roman" w:eastAsia="黑体"/>
                                  <w:sz w:val="18"/>
                                  <w:szCs w:val="18"/>
                                  <w:lang w:val="en-US" w:eastAsia="zh-CN"/>
                                </w:rPr>
                              </w:pPr>
                              <w:r>
                                <w:rPr>
                                  <w:rFonts w:hint="eastAsia" w:ascii="Times New Roman" w:hAnsi="黑体" w:eastAsia="黑体"/>
                                  <w:sz w:val="18"/>
                                  <w:szCs w:val="18"/>
                                  <w:lang w:val="en-US" w:eastAsia="zh-CN"/>
                                </w:rPr>
                                <w:t>作危废处理</w:t>
                              </w:r>
                            </w:p>
                          </w:txbxContent>
                        </v:textbox>
                      </v:shape>
                      <v:shape id="AutoShape 3258" o:spid="_x0000_s1026" o:spt="32" type="#_x0000_t32" style="position:absolute;left:465455;top:1916430;height:635;width:467360;" filled="f" stroked="t" coordsize="21600,21600" o:gfxdata="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lJTg9YAAAAFAQAADwAAAAAAAAABACAAAAAiAAAAZHJzL2Rvd25yZXYueG1sUEsBAhQAFAAAAAgA&#10;h07iQJ9KukvuAQAA8QMAAA4AAAAAAAAAAQAgAAAAJQEAAGRycy9lMm9Eb2MueG1sUEsFBgAAAAAG&#10;AAYAWQEAAIUFAAAAAA==&#10;">
                        <v:fill on="f" focussize="0,0"/>
                        <v:stroke color="#000000" joinstyle="round"/>
                        <v:imagedata o:title=""/>
                        <o:lock v:ext="edit" aspectratio="f"/>
                      </v:shape>
                      <v:shape id="Text Box 3259" o:spid="_x0000_s1026" o:spt="202" type="#_x0000_t202" style="position:absolute;left:933450;top:2719705;height:215900;width:881380;v-text-anchor:middle;" fillcolor="#FFFFFF" filled="t" stroked="t" coordsize="21600,21600" o:gfxdata="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SS&#10;i2jVAAAABQEAAA8AAAAAAAAAAQAgAAAAIgAAAGRycy9kb3ducmV2LnhtbFBLAQIUABQAAAAIAIdO&#10;4kBgeazfJgIAAIMEAAAOAAAAAAAAAAEAIAAAACQBAABkcnMvZTJvRG9jLnhtbFBLBQYAAAAABgAG&#10;AFkBAAC8BQAAAAA=&#10;">
                        <v:fill on="t" focussize="0,0"/>
                        <v:stroke color="#000000" joinstyle="miter"/>
                        <v:imagedata o:title=""/>
                        <o:lock v:ext="edit" aspectratio="f"/>
                        <v:textbox inset="0mm,0mm,0mm,0mm">
                          <w:txbxContent>
                            <w:p w14:paraId="26E8E07C">
                              <w:pPr>
                                <w:jc w:val="center"/>
                                <w:rPr>
                                  <w:rFonts w:hint="default" w:ascii="Times New Roman" w:hAnsi="Times New Roman" w:eastAsia="黑体"/>
                                  <w:sz w:val="18"/>
                                  <w:szCs w:val="18"/>
                                  <w:lang w:val="en-US" w:eastAsia="zh-CN"/>
                                </w:rPr>
                              </w:pPr>
                              <w:r>
                                <w:rPr>
                                  <w:rFonts w:hint="eastAsia" w:ascii="Times New Roman" w:hAnsi="黑体" w:eastAsia="黑体"/>
                                  <w:sz w:val="18"/>
                                  <w:szCs w:val="18"/>
                                  <w:lang w:val="en-US" w:eastAsia="zh-CN"/>
                                </w:rPr>
                                <w:t>实验用水</w:t>
                              </w:r>
                            </w:p>
                          </w:txbxContent>
                        </v:textbox>
                      </v:shape>
                      <v:shape id="Text Box 3265" o:spid="_x0000_s1026" o:spt="202" type="#_x0000_t202" style="position:absolute;left:1831975;top:2628265;height:245745;width:499745;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jtWoNYAAAAFAQAADwAAAAAAAAABACAAAAAiAAAAZHJzL2Rvd25yZXYu&#10;eG1sUEsBAhQAFAAAAAgAh07iQAc0ZXfEAQAAnAMAAA4AAAAAAAAAAQAgAAAAJQEAAGRycy9lMm9E&#10;b2MueG1sUEsFBgAAAAAGAAYAWQEAAFsFAAAAAA==&#10;">
                        <v:fill on="f" focussize="0,0"/>
                        <v:stroke on="f"/>
                        <v:imagedata o:title=""/>
                        <o:lock v:ext="edit" aspectratio="f"/>
                        <v:textbox inset="0mm,0mm,0mm,0mm">
                          <w:txbxContent>
                            <w:p w14:paraId="23CF3C56">
                              <w:pPr>
                                <w:jc w:val="center"/>
                                <w:rPr>
                                  <w:rFonts w:hint="default" w:ascii="Times New Roman" w:hAnsi="Times New Roman" w:eastAsia="黑体"/>
                                  <w:color w:val="000000"/>
                                  <w:sz w:val="18"/>
                                  <w:szCs w:val="18"/>
                                  <w:lang w:val="en-US" w:eastAsia="zh-CN"/>
                                </w:rPr>
                              </w:pPr>
                              <w:r>
                                <w:rPr>
                                  <w:rFonts w:hint="eastAsia" w:ascii="Times New Roman" w:hAnsi="Times New Roman" w:eastAsia="黑体"/>
                                  <w:color w:val="000000"/>
                                  <w:sz w:val="18"/>
                                  <w:szCs w:val="18"/>
                                  <w:lang w:val="en-US" w:eastAsia="zh-CN"/>
                                </w:rPr>
                                <w:t>0.005</w:t>
                              </w:r>
                            </w:p>
                          </w:txbxContent>
                        </v:textbox>
                      </v:shape>
                      <v:shape id="Text Box 3264" o:spid="_x0000_s1026" o:spt="202" type="#_x0000_t202" style="position:absolute;left:2073275;top:2712085;height:187960;width:111760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iO1ag1gAAAAUBAAAPAAAAAAAAAAEAIAAAACIAAABkcnMvZG93&#10;bnJldi54bWxQSwECFAAUAAAACACHTuJAzinDhMkBAACdAwAADgAAAAAAAAABACAAAAAlAQAAZHJz&#10;L2Uyb0RvYy54bWxQSwUGAAAAAAYABgBZAQAAYAUAAAAA&#10;">
                        <v:fill on="f" focussize="0,0"/>
                        <v:stroke on="f"/>
                        <v:imagedata o:title=""/>
                        <o:lock v:ext="edit" aspectratio="f"/>
                        <v:textbox inset="0mm,0mm,0mm,0mm">
                          <w:txbxContent>
                            <w:p w14:paraId="738AC083">
                              <w:pPr>
                                <w:jc w:val="center"/>
                                <w:rPr>
                                  <w:rFonts w:hint="default" w:ascii="Times New Roman" w:hAnsi="Times New Roman" w:eastAsia="黑体"/>
                                  <w:sz w:val="18"/>
                                  <w:szCs w:val="18"/>
                                  <w:lang w:val="en-US" w:eastAsia="zh-CN"/>
                                </w:rPr>
                              </w:pPr>
                              <w:r>
                                <w:rPr>
                                  <w:rFonts w:hint="eastAsia" w:ascii="Times New Roman" w:hAnsi="黑体" w:eastAsia="黑体"/>
                                  <w:sz w:val="18"/>
                                  <w:szCs w:val="18"/>
                                  <w:lang w:val="en-US" w:eastAsia="zh-CN"/>
                                </w:rPr>
                                <w:t>作危废处理</w:t>
                              </w:r>
                            </w:p>
                          </w:txbxContent>
                        </v:textbox>
                      </v:shape>
                      <v:shape id="_x0000_s1026" o:spid="_x0000_s1026" o:spt="32" type="#_x0000_t32" style="position:absolute;left:1822450;top:2830830;flip:y;height:0;width:508635;" filled="f" stroked="t" coordsize="21600,21600" o:gfxdata="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S3NbVAAAABQEAAA8AAAAA&#10;AAAAAQAgAAAAIgAAAGRycy9kb3ducmV2LnhtbFBLAQIUABQAAAAIAIdO4kBxVJMuFwIAAPQDAAAO&#10;AAAAAAAAAAEAIAAAACQBAABkcnMvZTJvRG9jLnhtbFBLBQYAAAAABgAGAFkBAACtBQAAAAA=&#10;">
                        <v:fill on="f" focussize="0,0"/>
                        <v:stroke weight="0.5pt" color="#000000 [3213]" joinstyle="round" endarrow="block" endarrowwidth="narrow"/>
                        <v:imagedata o:title=""/>
                        <o:lock v:ext="edit" aspectratio="f"/>
                      </v:shape>
                      <v:shape id="AutoShape 3258" o:spid="_x0000_s1026" o:spt="32" type="#_x0000_t32" style="position:absolute;left:457835;top:2838450;height:635;width:467360;" filled="f" stroked="t" coordsize="21600,21600" o:gfxdata="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lJTg9YAAAAFAQAADwAAAAAAAAABACAAAAAiAAAAZHJzL2Rvd25yZXYueG1sUEsBAhQAFAAAAAgA&#10;h07iQNiIaR/uAQAA8QMAAA4AAAAAAAAAAQAgAAAAJQEAAGRycy9lMm9Eb2MueG1sUEsFBgAAAAAG&#10;AAYAWQEAAIUFAAAAAA==&#10;">
                        <v:fill on="f" focussize="0,0"/>
                        <v:stroke color="#000000" joinstyle="round"/>
                        <v:imagedata o:title=""/>
                        <o:lock v:ext="edit" aspectratio="f"/>
                      </v:shape>
                      <v:shape id="Text Box 3265" o:spid="_x0000_s1026" o:spt="202" type="#_x0000_t202" style="position:absolute;left:433705;top:2649855;height:245745;width:499745;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I7VqDWAAAABQEAAA8AAAAAAAAAAQAgAAAAIgAAAGRycy9kb3ducmV2&#10;LnhtbFBLAQIUABQAAAAIAIdO4kCdy8GLxQEAAJsDAAAOAAAAAAAAAAEAIAAAACUBAABkcnMvZTJv&#10;RG9jLnhtbFBLBQYAAAAABgAGAFkBAABcBQAAAAA=&#10;">
                        <v:fill on="f" focussize="0,0"/>
                        <v:stroke on="f"/>
                        <v:imagedata o:title=""/>
                        <o:lock v:ext="edit" aspectratio="f"/>
                        <v:textbox inset="0mm,0mm,0mm,0mm">
                          <w:txbxContent>
                            <w:p w14:paraId="72245792">
                              <w:pPr>
                                <w:jc w:val="center"/>
                                <w:rPr>
                                  <w:rFonts w:hint="default" w:ascii="Times New Roman" w:hAnsi="Times New Roman" w:eastAsia="黑体"/>
                                  <w:color w:val="000000"/>
                                  <w:sz w:val="18"/>
                                  <w:szCs w:val="18"/>
                                  <w:lang w:val="en-US" w:eastAsia="zh-CN"/>
                                </w:rPr>
                              </w:pPr>
                              <w:r>
                                <w:rPr>
                                  <w:rFonts w:hint="eastAsia" w:ascii="Times New Roman" w:hAnsi="Times New Roman" w:eastAsia="黑体"/>
                                  <w:color w:val="000000"/>
                                  <w:sz w:val="18"/>
                                  <w:szCs w:val="18"/>
                                </w:rPr>
                                <w:t>0.0</w:t>
                              </w:r>
                              <w:r>
                                <w:rPr>
                                  <w:rFonts w:hint="eastAsia" w:ascii="Times New Roman" w:hAnsi="Times New Roman" w:eastAsia="黑体"/>
                                  <w:color w:val="000000"/>
                                  <w:sz w:val="18"/>
                                  <w:szCs w:val="18"/>
                                  <w:lang w:val="en-US" w:eastAsia="zh-CN"/>
                                </w:rPr>
                                <w:t>05</w:t>
                              </w:r>
                            </w:p>
                          </w:txbxContent>
                        </v:textbox>
                      </v:shape>
                      <v:shape id="AutoShape 3288" o:spid="_x0000_s1026" o:spt="32" type="#_x0000_t32" style="position:absolute;left:464185;top:2254885;height:1007745;width:635;" filled="f" stroked="t" coordsize="21600,21600" o:gfxdata="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UlOD1gAAAAUBAAAPAAAAAAAAAAEAIAAAACIAAABkcnMvZG93bnJldi54bWxQSwECFAAUAAAA&#10;CACHTuJAsJT/yfABAADyAwAADgAAAAAAAAABACAAAAAlAQAAZHJzL2Uyb0RvYy54bWxQSwUGAAAA&#10;AAYABgBZAQAAhwUAAAAA&#10;">
                        <v:fill on="f" focussize="0,0"/>
                        <v:stroke color="#000000" joinstyle="round"/>
                        <v:imagedata o:title=""/>
                        <o:lock v:ext="edit" aspectratio="f"/>
                      </v:shape>
                      <v:shape id="Text Box 3274" o:spid="_x0000_s1026" o:spt="202" type="#_x0000_t202" style="position:absolute;left:173355;top:3267075;height:191770;width:1087120;v-text-anchor:middle;" filled="f" stroked="f" coordsize="21600,21600" o:gfxdata="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I7VqDWAAAABQEAAA8AAAAAAAAAAQAgAAAAIgAAAGRycy9kb3du&#10;cmV2LnhtbFBLAQIUABQAAAAIAIdO4kDRU6mlyAEAAJwDAAAOAAAAAAAAAAEAIAAAACUBAABkcnMv&#10;ZTJvRG9jLnhtbFBLBQYAAAAABgAGAFkBAABfBQAAAAA=&#10;">
                        <v:fill on="f" focussize="0,0"/>
                        <v:stroke on="f"/>
                        <v:imagedata o:title=""/>
                        <o:lock v:ext="edit" aspectratio="f"/>
                        <v:textbox inset="0mm,0mm,0mm,0mm">
                          <w:txbxContent>
                            <w:p w14:paraId="1E68FB4A">
                              <w:pPr>
                                <w:jc w:val="center"/>
                                <w:rPr>
                                  <w:rFonts w:hint="default" w:ascii="Times New Roman" w:hAnsi="Times New Roman" w:eastAsia="黑体"/>
                                  <w:color w:val="000000"/>
                                  <w:sz w:val="18"/>
                                  <w:szCs w:val="18"/>
                                  <w:lang w:val="en-US" w:eastAsia="zh-CN"/>
                                </w:rPr>
                              </w:pPr>
                              <w:r>
                                <w:rPr>
                                  <w:rFonts w:hint="eastAsia" w:ascii="Times New Roman" w:hAnsi="Times New Roman" w:eastAsia="黑体"/>
                                  <w:color w:val="000000"/>
                                  <w:sz w:val="18"/>
                                  <w:szCs w:val="18"/>
                                  <w:lang w:val="en-US" w:eastAsia="zh-CN"/>
                                </w:rPr>
                                <w:t>0.045（纯净水）</w:t>
                              </w:r>
                            </w:p>
                          </w:txbxContent>
                        </v:textbox>
                      </v:shape>
                      <w10:wrap type="none"/>
                      <w10:anchorlock/>
                    </v:group>
                  </w:pict>
                </mc:Fallback>
              </mc:AlternateContent>
            </w:r>
          </w:p>
          <w:p w14:paraId="4402B749">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图2-1  本项目供排水平衡图   单位：m</w:t>
            </w:r>
            <w:r>
              <w:rPr>
                <w:rFonts w:hint="default" w:ascii="Times New Roman" w:hAnsi="Times New Roman" w:eastAsia="黑体" w:cs="Times New Roman"/>
                <w:bCs/>
                <w:sz w:val="24"/>
                <w:szCs w:val="24"/>
                <w:vertAlign w:val="superscript"/>
              </w:rPr>
              <w:t>3</w:t>
            </w:r>
            <w:r>
              <w:rPr>
                <w:rFonts w:hint="default" w:ascii="Times New Roman" w:hAnsi="Times New Roman" w:eastAsia="黑体" w:cs="Times New Roman"/>
                <w:bCs/>
                <w:sz w:val="24"/>
                <w:szCs w:val="24"/>
              </w:rPr>
              <w:t>/d</w:t>
            </w:r>
          </w:p>
          <w:p w14:paraId="6E4718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（3）供电</w:t>
            </w:r>
          </w:p>
          <w:p w14:paraId="21501C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jc w:val="left"/>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本项目用电由市政电网供电，</w:t>
            </w:r>
            <w:r>
              <w:rPr>
                <w:rFonts w:hint="eastAsia" w:ascii="Times New Roman" w:hAnsi="Times New Roman" w:eastAsia="宋体" w:cs="Times New Roman"/>
                <w:bCs/>
                <w:sz w:val="24"/>
                <w:szCs w:val="24"/>
              </w:rPr>
              <w:t>能满足本项目生产和生活用电需求，用电量为50万</w:t>
            </w:r>
            <w:r>
              <w:rPr>
                <w:rFonts w:hint="default" w:ascii="Times New Roman" w:hAnsi="Times New Roman" w:cs="Times New Roman"/>
                <w:bCs/>
                <w:sz w:val="24"/>
                <w:szCs w:val="24"/>
              </w:rPr>
              <w:t>k</w:t>
            </w:r>
            <w:r>
              <w:rPr>
                <w:rFonts w:hint="eastAsia" w:ascii="Times New Roman" w:hAnsi="Times New Roman" w:cs="Times New Roman"/>
                <w:bCs/>
                <w:sz w:val="24"/>
                <w:szCs w:val="24"/>
              </w:rPr>
              <w:t>W</w:t>
            </w:r>
            <w:r>
              <w:rPr>
                <w:rFonts w:hint="default" w:ascii="Times New Roman" w:hAnsi="Times New Roman" w:cs="Times New Roman"/>
                <w:bCs/>
                <w:sz w:val="24"/>
                <w:szCs w:val="24"/>
              </w:rPr>
              <w:t>·h/a。</w:t>
            </w:r>
          </w:p>
          <w:p w14:paraId="2F6946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36" w:lineRule="auto"/>
              <w:ind w:left="0" w:right="0" w:firstLine="482" w:firstLineChars="200"/>
              <w:jc w:val="left"/>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rPr>
              <w:t>7</w:t>
            </w:r>
            <w:r>
              <w:rPr>
                <w:rFonts w:hint="default" w:ascii="Times New Roman" w:hAnsi="Times New Roman" w:eastAsia="宋体" w:cs="Times New Roman"/>
                <w:b/>
                <w:bCs/>
                <w:sz w:val="24"/>
                <w:szCs w:val="24"/>
              </w:rPr>
              <w:t>、劳动定员及工作制度</w:t>
            </w:r>
          </w:p>
          <w:p w14:paraId="07221A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default" w:ascii="Times New Roman" w:hAnsi="Times New Roman" w:eastAsia="宋体" w:cs="Times New Roman"/>
                <w:bCs/>
                <w:sz w:val="24"/>
                <w:szCs w:val="24"/>
              </w:rPr>
            </w:pPr>
            <w:r>
              <w:rPr>
                <w:rFonts w:hint="default" w:ascii="Times New Roman" w:hAnsi="Times New Roman" w:cs="Times New Roman"/>
                <w:sz w:val="24"/>
              </w:rPr>
              <w:t>本项目</w:t>
            </w:r>
            <w:r>
              <w:rPr>
                <w:rFonts w:hint="eastAsia" w:ascii="Times New Roman" w:hAnsi="Times New Roman" w:cs="Times New Roman"/>
                <w:sz w:val="24"/>
              </w:rPr>
              <w:t>拟定员150人，</w:t>
            </w:r>
            <w:r>
              <w:rPr>
                <w:rFonts w:hint="default" w:ascii="Times New Roman" w:hAnsi="Times New Roman" w:cs="Times New Roman"/>
                <w:sz w:val="24"/>
              </w:rPr>
              <w:t>工作制度为</w:t>
            </w:r>
            <w:r>
              <w:rPr>
                <w:rFonts w:hint="eastAsia" w:ascii="Times New Roman" w:hAnsi="Times New Roman" w:cs="Times New Roman"/>
                <w:sz w:val="24"/>
              </w:rPr>
              <w:t>8小时</w:t>
            </w:r>
            <w:r>
              <w:rPr>
                <w:rFonts w:hint="eastAsia" w:ascii="Times New Roman" w:hAnsi="Times New Roman" w:cs="Times New Roman"/>
                <w:color w:val="auto"/>
                <w:sz w:val="24"/>
              </w:rPr>
              <w:t>一班，单班制，</w:t>
            </w:r>
            <w:r>
              <w:rPr>
                <w:rFonts w:hint="default" w:ascii="Times New Roman" w:hAnsi="Times New Roman" w:cs="Times New Roman"/>
                <w:color w:val="auto"/>
                <w:sz w:val="24"/>
              </w:rPr>
              <w:t>年</w:t>
            </w:r>
            <w:r>
              <w:rPr>
                <w:rFonts w:hint="default" w:ascii="Times New Roman" w:hAnsi="Times New Roman" w:cs="Times New Roman"/>
                <w:sz w:val="24"/>
              </w:rPr>
              <w:t>工作日</w:t>
            </w:r>
            <w:r>
              <w:rPr>
                <w:rFonts w:hint="eastAsia" w:ascii="Times New Roman" w:hAnsi="Times New Roman" w:cs="Times New Roman"/>
                <w:sz w:val="24"/>
              </w:rPr>
              <w:t>300</w:t>
            </w:r>
            <w:r>
              <w:rPr>
                <w:rFonts w:hint="default" w:ascii="Times New Roman" w:hAnsi="Times New Roman" w:cs="Times New Roman"/>
                <w:sz w:val="24"/>
              </w:rPr>
              <w:t>天（</w:t>
            </w:r>
            <w:r>
              <w:rPr>
                <w:rFonts w:hint="eastAsia" w:ascii="Times New Roman" w:hAnsi="Times New Roman" w:cs="Times New Roman"/>
                <w:sz w:val="24"/>
              </w:rPr>
              <w:t>2400</w:t>
            </w:r>
            <w:r>
              <w:rPr>
                <w:rFonts w:hint="default" w:ascii="Times New Roman" w:hAnsi="Times New Roman" w:cs="Times New Roman"/>
                <w:sz w:val="24"/>
              </w:rPr>
              <w:t>h/a）。</w:t>
            </w:r>
          </w:p>
          <w:p w14:paraId="7469E5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36" w:lineRule="auto"/>
              <w:ind w:left="0" w:right="0" w:firstLine="482" w:firstLineChars="200"/>
              <w:jc w:val="left"/>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rPr>
              <w:t>8</w:t>
            </w:r>
            <w:r>
              <w:rPr>
                <w:rFonts w:hint="default" w:ascii="Times New Roman" w:hAnsi="Times New Roman" w:eastAsia="宋体" w:cs="Times New Roman"/>
                <w:b/>
                <w:bCs/>
                <w:sz w:val="24"/>
                <w:szCs w:val="24"/>
              </w:rPr>
              <w:t>、厂区总平面布置</w:t>
            </w:r>
          </w:p>
          <w:p w14:paraId="6BC4BE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default" w:ascii="Times New Roman" w:hAnsi="Times New Roman"/>
                <w:sz w:val="24"/>
              </w:rPr>
            </w:pPr>
            <w:r>
              <w:rPr>
                <w:rFonts w:hint="eastAsia" w:ascii="Times New Roman" w:hAnsi="Times New Roman" w:cs="Times New Roman"/>
                <w:sz w:val="24"/>
              </w:rPr>
              <w:t>安徽樱琦新材料技术有限公司</w:t>
            </w:r>
            <w:r>
              <w:rPr>
                <w:rFonts w:hint="default" w:ascii="Times New Roman" w:hAnsi="Times New Roman"/>
                <w:sz w:val="24"/>
                <w:szCs w:val="24"/>
              </w:rPr>
              <w:t>位于</w:t>
            </w:r>
            <w:r>
              <w:rPr>
                <w:rFonts w:hint="eastAsia" w:ascii="Times New Roman" w:hAnsi="Times New Roman" w:eastAsia="宋体" w:cs="Times New Roman"/>
                <w:bCs/>
                <w:kern w:val="0"/>
                <w:sz w:val="24"/>
                <w:szCs w:val="24"/>
              </w:rPr>
              <w:t>淮南高新技术产业开发区科技信息产业园5号楼</w:t>
            </w:r>
            <w:r>
              <w:rPr>
                <w:rFonts w:hint="default" w:ascii="Times New Roman" w:hAnsi="Times New Roman"/>
                <w:sz w:val="24"/>
              </w:rPr>
              <w:t>。</w:t>
            </w:r>
          </w:p>
          <w:p w14:paraId="34ED2F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default" w:ascii="Times New Roman" w:hAnsi="Times New Roman"/>
                <w:sz w:val="24"/>
              </w:rPr>
            </w:pPr>
            <w:r>
              <w:rPr>
                <w:rFonts w:hint="eastAsia" w:ascii="Times New Roman" w:hAnsi="Times New Roman"/>
                <w:sz w:val="24"/>
              </w:rPr>
              <w:t>其中1层厂房为用于干燥剂的生产；</w:t>
            </w:r>
            <w:r>
              <w:rPr>
                <w:rFonts w:hint="eastAsia" w:ascii="Times New Roman" w:hAnsi="Times New Roman"/>
                <w:sz w:val="24"/>
                <w:highlight w:val="none"/>
              </w:rPr>
              <w:t>2层厂房为</w:t>
            </w:r>
            <w:r>
              <w:rPr>
                <w:rFonts w:hint="eastAsia" w:ascii="Times New Roman" w:hAnsi="Times New Roman"/>
                <w:sz w:val="24"/>
                <w:highlight w:val="none"/>
                <w:lang w:eastAsia="zh-CN"/>
              </w:rPr>
              <w:t>质检室</w:t>
            </w:r>
            <w:r>
              <w:rPr>
                <w:rFonts w:hint="eastAsia" w:ascii="Times New Roman" w:hAnsi="Times New Roman"/>
                <w:sz w:val="24"/>
              </w:rPr>
              <w:t>，主要进行</w:t>
            </w:r>
            <w:r>
              <w:rPr>
                <w:rFonts w:hint="eastAsia" w:ascii="Times New Roman" w:hAnsi="Times New Roman"/>
                <w:sz w:val="24"/>
                <w:lang w:val="en-US" w:eastAsia="zh-CN"/>
              </w:rPr>
              <w:t>产品的质检</w:t>
            </w:r>
            <w:r>
              <w:rPr>
                <w:rFonts w:hint="eastAsia" w:ascii="Times New Roman" w:hAnsi="Times New Roman"/>
                <w:sz w:val="24"/>
              </w:rPr>
              <w:t>；3层厂房、7层厂房主要用于原料和产品的暂存，6层厂房为员工办公区。</w:t>
            </w:r>
          </w:p>
          <w:p w14:paraId="524B5F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default" w:ascii="Times New Roman" w:hAnsi="Times New Roman" w:cs="Times New Roman"/>
                <w:sz w:val="24"/>
              </w:rPr>
            </w:pPr>
            <w:r>
              <w:rPr>
                <w:rFonts w:hint="eastAsia" w:ascii="Times New Roman" w:hAnsi="Times New Roman"/>
                <w:sz w:val="24"/>
              </w:rPr>
              <w:t>厂房</w:t>
            </w:r>
            <w:r>
              <w:rPr>
                <w:rFonts w:hint="default" w:ascii="Times New Roman" w:hAnsi="Times New Roman"/>
                <w:sz w:val="24"/>
              </w:rPr>
              <w:t>平面布置详见附图</w:t>
            </w:r>
            <w:r>
              <w:rPr>
                <w:rFonts w:hint="eastAsia" w:ascii="Times New Roman" w:hAnsi="Times New Roman"/>
                <w:sz w:val="24"/>
              </w:rPr>
              <w:t>3</w:t>
            </w:r>
            <w:r>
              <w:rPr>
                <w:rFonts w:hint="default" w:ascii="Times New Roman" w:hAnsi="Times New Roman"/>
                <w:sz w:val="24"/>
              </w:rPr>
              <w:t>。</w:t>
            </w:r>
          </w:p>
        </w:tc>
      </w:tr>
      <w:tr w14:paraId="253FC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78" w:hRule="atLeast"/>
        </w:trPr>
        <w:tc>
          <w:tcPr>
            <w:tcW w:w="252" w:type="pct"/>
            <w:vAlign w:val="center"/>
          </w:tcPr>
          <w:p w14:paraId="36805033">
            <w:pPr>
              <w:keepNext w:val="0"/>
              <w:keepLines w:val="0"/>
              <w:widowControl/>
              <w:suppressLineNumbers w:val="0"/>
              <w:spacing w:before="0" w:beforeAutospacing="0" w:after="0" w:afterAutospacing="0" w:line="360" w:lineRule="auto"/>
              <w:ind w:left="0" w:right="0"/>
              <w:rPr>
                <w:rFonts w:hint="default" w:ascii="Times New Roman" w:hAnsi="Times New Roman" w:eastAsia="宋体" w:cs="宋体"/>
                <w:kern w:val="0"/>
                <w:sz w:val="24"/>
                <w:szCs w:val="24"/>
              </w:rPr>
            </w:pPr>
            <w:r>
              <w:rPr>
                <w:rFonts w:hint="eastAsia" w:ascii="Times New Roman" w:hAnsi="Times New Roman" w:eastAsia="宋体" w:cs="宋体"/>
                <w:kern w:val="0"/>
                <w:sz w:val="24"/>
                <w:szCs w:val="24"/>
              </w:rPr>
              <w:t>工艺流程和产排污环节</w:t>
            </w:r>
          </w:p>
        </w:tc>
        <w:tc>
          <w:tcPr>
            <w:tcW w:w="4748" w:type="pct"/>
          </w:tcPr>
          <w:p w14:paraId="22FF561B">
            <w:pPr>
              <w:keepNext w:val="0"/>
              <w:keepLines w:val="0"/>
              <w:widowControl/>
              <w:suppressLineNumbers w:val="0"/>
              <w:spacing w:before="0" w:beforeAutospacing="0" w:after="0" w:afterAutospacing="0" w:line="360" w:lineRule="auto"/>
              <w:ind w:left="0" w:right="0" w:firstLine="477" w:firstLineChars="199"/>
              <w:rPr>
                <w:rFonts w:hint="default" w:ascii="Times New Roman" w:hAnsi="Times New Roman" w:cs="Times New Roman"/>
                <w:sz w:val="24"/>
                <w:szCs w:val="28"/>
              </w:rPr>
            </w:pPr>
            <w:r>
              <w:rPr>
                <w:rFonts w:hint="eastAsia" w:ascii="Times New Roman" w:hAnsi="Times New Roman" w:cs="Times New Roman"/>
                <w:sz w:val="24"/>
                <w:szCs w:val="28"/>
              </w:rPr>
              <w:t>一、施工期工艺流程</w:t>
            </w:r>
          </w:p>
          <w:p w14:paraId="2BE14633">
            <w:pPr>
              <w:keepNext w:val="0"/>
              <w:keepLines w:val="0"/>
              <w:widowControl/>
              <w:suppressLineNumbers w:val="0"/>
              <w:spacing w:before="0" w:beforeAutospacing="0" w:after="0" w:afterAutospacing="0" w:line="360" w:lineRule="auto"/>
              <w:ind w:left="0" w:right="0" w:firstLine="477" w:firstLineChars="199"/>
              <w:rPr>
                <w:rFonts w:hint="default" w:ascii="Times New Roman" w:hAnsi="Times New Roman" w:cs="Times New Roman"/>
                <w:sz w:val="24"/>
                <w:szCs w:val="28"/>
              </w:rPr>
            </w:pPr>
            <w:r>
              <w:rPr>
                <w:rFonts w:hint="eastAsia" w:ascii="Times New Roman" w:hAnsi="Times New Roman" w:cs="Times New Roman"/>
                <w:sz w:val="24"/>
                <w:szCs w:val="28"/>
              </w:rPr>
              <w:t>本项目施工期主要进行设备安装和附属设施建设等，不涉及土建施工活动。施工期对环境的主要影响为设备安装引起的噪声及装修过程中产生的废气。施工的时间较短，且施工区域集中在现有密闭厂房内部，对区域环境影响较小。</w:t>
            </w:r>
          </w:p>
          <w:p w14:paraId="05E9212A">
            <w:pPr>
              <w:keepNext w:val="0"/>
              <w:keepLines w:val="0"/>
              <w:widowControl/>
              <w:suppressLineNumbers w:val="0"/>
              <w:spacing w:before="0" w:beforeAutospacing="0" w:after="0" w:afterAutospacing="0" w:line="360" w:lineRule="auto"/>
              <w:ind w:left="0" w:right="0" w:firstLine="477" w:firstLineChars="199"/>
              <w:rPr>
                <w:rFonts w:hint="default" w:ascii="Times New Roman" w:hAnsi="Times New Roman" w:cs="Times New Roman"/>
                <w:sz w:val="24"/>
                <w:szCs w:val="28"/>
              </w:rPr>
            </w:pPr>
            <w:r>
              <w:rPr>
                <w:rFonts w:hint="eastAsia" w:ascii="Times New Roman" w:hAnsi="Times New Roman" w:cs="Times New Roman"/>
                <w:sz w:val="24"/>
                <w:szCs w:val="28"/>
              </w:rPr>
              <w:t>二、运营期工艺流程</w:t>
            </w:r>
          </w:p>
          <w:p w14:paraId="34A53932">
            <w:pPr>
              <w:keepNext w:val="0"/>
              <w:keepLines w:val="0"/>
              <w:widowControl/>
              <w:suppressLineNumbers w:val="0"/>
              <w:spacing w:before="0" w:beforeAutospacing="0" w:after="0" w:afterAutospacing="0" w:line="360" w:lineRule="auto"/>
              <w:ind w:left="0" w:right="0" w:firstLine="477" w:firstLineChars="199"/>
              <w:rPr>
                <w:rFonts w:hint="default" w:ascii="Times New Roman" w:hAnsi="Times New Roman" w:cs="Times New Roman"/>
                <w:sz w:val="24"/>
                <w:szCs w:val="28"/>
              </w:rPr>
            </w:pPr>
            <w:r>
              <w:rPr>
                <w:rFonts w:hint="eastAsia" w:ascii="Times New Roman" w:hAnsi="Times New Roman" w:cs="Times New Roman"/>
                <w:sz w:val="24"/>
                <w:szCs w:val="28"/>
              </w:rPr>
              <w:t>本项目租赁</w:t>
            </w:r>
            <w:r>
              <w:rPr>
                <w:rFonts w:hint="eastAsia" w:ascii="Times New Roman" w:hAnsi="Times New Roman" w:eastAsia="宋体" w:cs="Times New Roman"/>
                <w:bCs/>
                <w:kern w:val="0"/>
                <w:sz w:val="24"/>
                <w:szCs w:val="24"/>
              </w:rPr>
              <w:t>淮南高新技术产业开发区科技信息产业园5号楼</w:t>
            </w:r>
            <w:r>
              <w:rPr>
                <w:rFonts w:hint="eastAsia" w:ascii="Times New Roman" w:hAnsi="Times New Roman" w:cs="Times New Roman"/>
                <w:sz w:val="24"/>
                <w:szCs w:val="28"/>
              </w:rPr>
              <w:t>进行生产，产品为</w:t>
            </w:r>
            <w:r>
              <w:rPr>
                <w:rFonts w:hint="eastAsia" w:ascii="Times New Roman" w:hAnsi="Times New Roman" w:eastAsia="宋体" w:cs="宋体"/>
                <w:bCs/>
                <w:sz w:val="24"/>
                <w:szCs w:val="24"/>
              </w:rPr>
              <w:t>硅胶干燥剂、分子筛干燥剂、活性炭干燥剂、氧气指示剂、二氧化碳指示剂、脱氧剂，</w:t>
            </w:r>
            <w:r>
              <w:rPr>
                <w:rFonts w:hint="eastAsia" w:ascii="Times New Roman" w:hAnsi="Times New Roman" w:cs="Times New Roman"/>
                <w:sz w:val="24"/>
                <w:szCs w:val="28"/>
              </w:rPr>
              <w:t>主要生产流程是将外购的硅酸、分子筛、活性炭、铁粉等原料通过称量、干燥后包装入库。具体工艺流程和产排污环节如下：</w:t>
            </w:r>
          </w:p>
          <w:p w14:paraId="22D5DFAF">
            <w:pPr>
              <w:keepNext w:val="0"/>
              <w:keepLines w:val="0"/>
              <w:widowControl/>
              <w:suppressLineNumbers w:val="0"/>
              <w:spacing w:before="0" w:beforeAutospacing="0" w:after="0" w:afterAutospacing="0" w:line="360" w:lineRule="auto"/>
              <w:ind w:left="0" w:right="0" w:firstLine="477" w:firstLineChars="199"/>
              <w:rPr>
                <w:rFonts w:hint="default" w:ascii="Times New Roman" w:hAnsi="Times New Roman" w:cs="Times New Roman"/>
                <w:sz w:val="24"/>
                <w:szCs w:val="28"/>
              </w:rPr>
            </w:pPr>
            <w:r>
              <w:rPr>
                <w:rFonts w:hint="eastAsia" w:ascii="Times New Roman" w:hAnsi="Times New Roman" w:cs="Times New Roman"/>
                <w:sz w:val="24"/>
                <w:szCs w:val="28"/>
              </w:rPr>
              <w:t>（1）</w:t>
            </w:r>
            <w:r>
              <w:rPr>
                <w:rFonts w:hint="eastAsia" w:ascii="Times New Roman" w:hAnsi="Times New Roman" w:eastAsia="宋体" w:cs="宋体"/>
                <w:bCs/>
                <w:sz w:val="24"/>
                <w:szCs w:val="24"/>
              </w:rPr>
              <w:t>硅胶干燥剂、分子筛干燥剂、活性炭干燥剂、氧气指示剂、二氧化碳指示剂、脱氧剂</w:t>
            </w:r>
            <w:r>
              <w:rPr>
                <w:rFonts w:hint="eastAsia" w:ascii="Times New Roman" w:hAnsi="Times New Roman" w:cs="Times New Roman"/>
                <w:sz w:val="24"/>
                <w:szCs w:val="28"/>
              </w:rPr>
              <w:t>生产线生产工艺及产污节点图</w:t>
            </w:r>
          </w:p>
          <w:p w14:paraId="5E0532C0">
            <w:pPr>
              <w:pStyle w:val="3"/>
              <w:suppressLineNumbers w:val="0"/>
              <w:spacing w:before="0" w:beforeAutospacing="0" w:after="0" w:afterAutospacing="0"/>
              <w:ind w:left="0" w:right="0"/>
              <w:rPr>
                <w:rFonts w:hint="default"/>
              </w:rPr>
            </w:pPr>
            <w:r>
              <w:rPr>
                <w:rFonts w:hint="default"/>
              </w:rPr>
              <mc:AlternateContent>
                <mc:Choice Requires="wpc">
                  <w:drawing>
                    <wp:inline distT="0" distB="0" distL="114300" distR="114300">
                      <wp:extent cx="5325745" cy="3835400"/>
                      <wp:effectExtent l="0" t="0" r="0" b="0"/>
                      <wp:docPr id="69" name="画布 16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 name="组合 1661"/>
                              <wpg:cNvGrpSpPr/>
                              <wpg:grpSpPr>
                                <a:xfrm>
                                  <a:off x="685165" y="95885"/>
                                  <a:ext cx="4129405" cy="3576320"/>
                                  <a:chOff x="3067" y="6656"/>
                                  <a:chExt cx="6503" cy="5632"/>
                                </a:xfrm>
                              </wpg:grpSpPr>
                              <wps:wsp>
                                <wps:cNvPr id="44" name="矩形 1991"/>
                                <wps:cNvSpPr/>
                                <wps:spPr>
                                  <a:xfrm>
                                    <a:off x="4250" y="6656"/>
                                    <a:ext cx="3259" cy="780"/>
                                  </a:xfrm>
                                  <a:prstGeom prst="rect">
                                    <a:avLst/>
                                  </a:prstGeom>
                                  <a:solidFill>
                                    <a:srgbClr val="FFFFFF"/>
                                  </a:solidFill>
                                  <a:ln>
                                    <a:noFill/>
                                  </a:ln>
                                </wps:spPr>
                                <wps:txbx>
                                  <w:txbxContent>
                                    <w:p w14:paraId="7A4DCB4F">
                                      <w:pPr>
                                        <w:jc w:val="center"/>
                                        <w:rPr>
                                          <w:rFonts w:ascii="Times New Roman" w:hAnsi="Times New Roman" w:eastAsia="黑体" w:cs="Times New Roman"/>
                                          <w:sz w:val="18"/>
                                          <w:szCs w:val="18"/>
                                        </w:rPr>
                                      </w:pPr>
                                      <w:r>
                                        <w:rPr>
                                          <w:rFonts w:hint="eastAsia" w:ascii="Times New Roman" w:hAnsi="Times New Roman" w:eastAsia="黑体" w:cs="黑体"/>
                                          <w:sz w:val="18"/>
                                          <w:szCs w:val="18"/>
                                        </w:rPr>
                                        <w:t>原料（硅胶、分子筛、活性炭、铁粉、氧气指示剂、二氧化碳指示剂）</w:t>
                                      </w:r>
                                    </w:p>
                                  </w:txbxContent>
                                </wps:txbx>
                                <wps:bodyPr upright="1"/>
                              </wps:wsp>
                              <wps:wsp>
                                <wps:cNvPr id="45" name="矩形 1982"/>
                                <wps:cNvSpPr/>
                                <wps:spPr>
                                  <a:xfrm>
                                    <a:off x="5363" y="7861"/>
                                    <a:ext cx="1180" cy="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FF7621">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准备、称量</w:t>
                                      </w:r>
                                    </w:p>
                                  </w:txbxContent>
                                </wps:txbx>
                                <wps:bodyPr upright="1"/>
                              </wps:wsp>
                              <wps:wsp>
                                <wps:cNvPr id="48" name="自选图形 1985"/>
                                <wps:cNvCnPr/>
                                <wps:spPr>
                                  <a:xfrm>
                                    <a:off x="5982" y="8382"/>
                                    <a:ext cx="1" cy="480"/>
                                  </a:xfrm>
                                  <a:prstGeom prst="straightConnector1">
                                    <a:avLst/>
                                  </a:prstGeom>
                                  <a:ln w="9525" cap="flat" cmpd="sng">
                                    <a:solidFill>
                                      <a:srgbClr val="000000"/>
                                    </a:solidFill>
                                    <a:prstDash val="solid"/>
                                    <a:headEnd type="none" w="med" len="med"/>
                                    <a:tailEnd type="triangle" w="sm" len="med"/>
                                  </a:ln>
                                </wps:spPr>
                                <wps:bodyPr/>
                              </wps:wsp>
                              <wps:wsp>
                                <wps:cNvPr id="49" name="自选图形 2005"/>
                                <wps:cNvCnPr/>
                                <wps:spPr>
                                  <a:xfrm>
                                    <a:off x="5969" y="7401"/>
                                    <a:ext cx="0" cy="460"/>
                                  </a:xfrm>
                                  <a:prstGeom prst="straightConnector1">
                                    <a:avLst/>
                                  </a:prstGeom>
                                  <a:ln w="9525" cap="flat" cmpd="sng">
                                    <a:solidFill>
                                      <a:srgbClr val="000000"/>
                                    </a:solidFill>
                                    <a:prstDash val="solid"/>
                                    <a:headEnd type="none" w="med" len="med"/>
                                    <a:tailEnd type="triangle" w="sm" len="med"/>
                                  </a:ln>
                                </wps:spPr>
                                <wps:bodyPr/>
                              </wps:wsp>
                              <wps:wsp>
                                <wps:cNvPr id="55" name="矩形 2009"/>
                                <wps:cNvSpPr/>
                                <wps:spPr>
                                  <a:xfrm>
                                    <a:off x="5363" y="8881"/>
                                    <a:ext cx="1180" cy="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0321DE">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干燥</w:t>
                                      </w:r>
                                    </w:p>
                                  </w:txbxContent>
                                </wps:txbx>
                                <wps:bodyPr upright="1"/>
                              </wps:wsp>
                              <wps:wsp>
                                <wps:cNvPr id="56" name="自选图形 2010"/>
                                <wps:cNvCnPr/>
                                <wps:spPr>
                                  <a:xfrm>
                                    <a:off x="5963" y="9381"/>
                                    <a:ext cx="1" cy="460"/>
                                  </a:xfrm>
                                  <a:prstGeom prst="straightConnector1">
                                    <a:avLst/>
                                  </a:prstGeom>
                                  <a:ln w="9525" cap="flat" cmpd="sng">
                                    <a:solidFill>
                                      <a:srgbClr val="000000"/>
                                    </a:solidFill>
                                    <a:prstDash val="solid"/>
                                    <a:headEnd type="none" w="med" len="med"/>
                                    <a:tailEnd type="triangle" w="sm" len="med"/>
                                  </a:ln>
                                </wps:spPr>
                                <wps:bodyPr/>
                              </wps:wsp>
                              <wps:wsp>
                                <wps:cNvPr id="57" name="矩形 2009_SpCnt_1"/>
                                <wps:cNvSpPr/>
                                <wps:spPr>
                                  <a:xfrm>
                                    <a:off x="5363" y="9821"/>
                                    <a:ext cx="1180" cy="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89981D">
                                      <w:pPr>
                                        <w:jc w:val="center"/>
                                        <w:rPr>
                                          <w:rFonts w:ascii="Times New Roman" w:hAnsi="Times New Roman" w:eastAsia="黑体" w:cs="Times New Roman"/>
                                          <w:sz w:val="18"/>
                                          <w:szCs w:val="18"/>
                                        </w:rPr>
                                      </w:pPr>
                                      <w:r>
                                        <w:rPr>
                                          <w:rFonts w:ascii="Times New Roman" w:hAnsi="Times New Roman" w:eastAsia="黑体" w:cs="Times New Roman"/>
                                          <w:sz w:val="18"/>
                                          <w:szCs w:val="18"/>
                                        </w:rPr>
                                        <w:t>内包装</w:t>
                                      </w:r>
                                    </w:p>
                                  </w:txbxContent>
                                </wps:txbx>
                                <wps:bodyPr upright="1"/>
                              </wps:wsp>
                              <wps:wsp>
                                <wps:cNvPr id="58" name="自选图形 2010_SpCnt_1"/>
                                <wps:cNvCnPr/>
                                <wps:spPr>
                                  <a:xfrm flipH="1">
                                    <a:off x="5982" y="10341"/>
                                    <a:ext cx="1" cy="460"/>
                                  </a:xfrm>
                                  <a:prstGeom prst="straightConnector1">
                                    <a:avLst/>
                                  </a:prstGeom>
                                  <a:ln w="9525" cap="flat" cmpd="sng">
                                    <a:solidFill>
                                      <a:srgbClr val="000000"/>
                                    </a:solidFill>
                                    <a:prstDash val="solid"/>
                                    <a:miter/>
                                    <a:headEnd type="none" w="med" len="med"/>
                                    <a:tailEnd type="triangle" w="sm" len="med"/>
                                  </a:ln>
                                </wps:spPr>
                                <wps:bodyPr/>
                              </wps:wsp>
                              <wps:wsp>
                                <wps:cNvPr id="59" name="矩形 2009_SpCnt_1"/>
                                <wps:cNvSpPr/>
                                <wps:spPr>
                                  <a:xfrm>
                                    <a:off x="5363" y="10821"/>
                                    <a:ext cx="1180" cy="5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A60178">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外包装</w:t>
                                      </w:r>
                                    </w:p>
                                  </w:txbxContent>
                                </wps:txbx>
                                <wps:bodyPr upright="1"/>
                              </wps:wsp>
                              <wps:wsp>
                                <wps:cNvPr id="60" name="自选图形 2010_SpCnt_1"/>
                                <wps:cNvCnPr/>
                                <wps:spPr>
                                  <a:xfrm flipH="1">
                                    <a:off x="5982" y="11322"/>
                                    <a:ext cx="1" cy="459"/>
                                  </a:xfrm>
                                  <a:prstGeom prst="straightConnector1">
                                    <a:avLst/>
                                  </a:prstGeom>
                                  <a:ln w="9525" cap="flat" cmpd="sng">
                                    <a:solidFill>
                                      <a:srgbClr val="000000"/>
                                    </a:solidFill>
                                    <a:prstDash val="solid"/>
                                    <a:miter/>
                                    <a:headEnd type="none" w="med" len="med"/>
                                    <a:tailEnd type="triangle" w="sm" len="med"/>
                                  </a:ln>
                                </wps:spPr>
                                <wps:bodyPr/>
                              </wps:wsp>
                              <wps:wsp>
                                <wps:cNvPr id="61" name="矩形 2009_SpCnt_1"/>
                                <wps:cNvSpPr/>
                                <wps:spPr>
                                  <a:xfrm>
                                    <a:off x="5363" y="11788"/>
                                    <a:ext cx="1180" cy="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DF3C42">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检验</w:t>
                                      </w:r>
                                    </w:p>
                                  </w:txbxContent>
                                </wps:txbx>
                                <wps:bodyPr upright="1"/>
                              </wps:wsp>
                              <wps:wsp>
                                <wps:cNvPr id="62" name="矩形 1991"/>
                                <wps:cNvSpPr/>
                                <wps:spPr>
                                  <a:xfrm>
                                    <a:off x="3067" y="7874"/>
                                    <a:ext cx="1596" cy="538"/>
                                  </a:xfrm>
                                  <a:prstGeom prst="rect">
                                    <a:avLst/>
                                  </a:prstGeom>
                                  <a:solidFill>
                                    <a:srgbClr val="FFFFFF"/>
                                  </a:solidFill>
                                  <a:ln>
                                    <a:noFill/>
                                  </a:ln>
                                </wps:spPr>
                                <wps:txbx>
                                  <w:txbxContent>
                                    <w:p w14:paraId="035F948A">
                                      <w:pPr>
                                        <w:jc w:val="center"/>
                                        <w:rPr>
                                          <w:rFonts w:ascii="Times New Roman" w:hAnsi="Times New Roman" w:eastAsia="黑体" w:cs="Times New Roman"/>
                                          <w:sz w:val="18"/>
                                          <w:szCs w:val="18"/>
                                        </w:rPr>
                                      </w:pPr>
                                      <w:r>
                                        <w:rPr>
                                          <w:rFonts w:hint="eastAsia" w:ascii="Times New Roman" w:hAnsi="Times New Roman" w:eastAsia="黑体" w:cs="黑体"/>
                                          <w:sz w:val="18"/>
                                          <w:szCs w:val="18"/>
                                        </w:rPr>
                                        <w:t>酒精、无尘布</w:t>
                                      </w:r>
                                    </w:p>
                                  </w:txbxContent>
                                </wps:txbx>
                                <wps:bodyPr upright="1"/>
                              </wps:wsp>
                              <wps:wsp>
                                <wps:cNvPr id="63" name="自选图形 1655"/>
                                <wps:cNvCnPr/>
                                <wps:spPr>
                                  <a:xfrm flipV="1">
                                    <a:off x="4533" y="8111"/>
                                    <a:ext cx="837" cy="1"/>
                                  </a:xfrm>
                                  <a:prstGeom prst="straightConnector1">
                                    <a:avLst/>
                                  </a:prstGeom>
                                  <a:ln w="9525" cap="flat" cmpd="sng">
                                    <a:solidFill>
                                      <a:srgbClr val="000000"/>
                                    </a:solidFill>
                                    <a:prstDash val="solid"/>
                                    <a:headEnd type="none" w="med" len="med"/>
                                    <a:tailEnd type="triangle" w="sm" len="med"/>
                                  </a:ln>
                                </wps:spPr>
                                <wps:bodyPr/>
                              </wps:wsp>
                              <wps:wsp>
                                <wps:cNvPr id="64" name="自选图形 1656"/>
                                <wps:cNvCnPr/>
                                <wps:spPr>
                                  <a:xfrm>
                                    <a:off x="6574" y="8193"/>
                                    <a:ext cx="257" cy="1"/>
                                  </a:xfrm>
                                  <a:prstGeom prst="straightConnector1">
                                    <a:avLst/>
                                  </a:prstGeom>
                                  <a:ln w="9525" cap="flat" cmpd="sng">
                                    <a:solidFill>
                                      <a:srgbClr val="FF0000"/>
                                    </a:solidFill>
                                    <a:prstDash val="dash"/>
                                    <a:headEnd type="none" w="med" len="med"/>
                                    <a:tailEnd type="triangle" w="sm" len="med"/>
                                  </a:ln>
                                </wps:spPr>
                                <wps:bodyPr/>
                              </wps:wsp>
                              <wps:wsp>
                                <wps:cNvPr id="65" name="文本框 1657"/>
                                <wps:cNvSpPr txBox="1"/>
                                <wps:spPr>
                                  <a:xfrm>
                                    <a:off x="6843" y="8027"/>
                                    <a:ext cx="1417" cy="334"/>
                                  </a:xfrm>
                                  <a:prstGeom prst="rect">
                                    <a:avLst/>
                                  </a:prstGeom>
                                  <a:solidFill>
                                    <a:srgbClr val="FDE9D9"/>
                                  </a:solidFill>
                                  <a:ln w="12700">
                                    <a:noFill/>
                                  </a:ln>
                                </wps:spPr>
                                <wps:txbx>
                                  <w:txbxContent>
                                    <w:p w14:paraId="5320426C">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w:t>
                                      </w:r>
                                      <w:r>
                                        <w:rPr>
                                          <w:rFonts w:hint="eastAsia" w:ascii="Times New Roman" w:hAnsi="Times New Roman" w:eastAsia="黑体" w:cs="Times New Roman"/>
                                          <w:color w:val="FF0000"/>
                                          <w:sz w:val="18"/>
                                          <w:szCs w:val="18"/>
                                        </w:rPr>
                                        <w:t>废无尘布</w:t>
                                      </w:r>
                                    </w:p>
                                  </w:txbxContent>
                                </wps:txbx>
                                <wps:bodyPr lIns="10800" tIns="18000" rIns="10800" bIns="3600" anchor="ctr" anchorCtr="0" upright="1"/>
                              </wps:wsp>
                              <wps:wsp>
                                <wps:cNvPr id="66" name="任意多边形 1659"/>
                                <wps:cNvSpPr/>
                                <wps:spPr>
                                  <a:xfrm>
                                    <a:off x="6550" y="7529"/>
                                    <a:ext cx="441" cy="409"/>
                                  </a:xfrm>
                                  <a:custGeom>
                                    <a:avLst/>
                                    <a:gdLst/>
                                    <a:ahLst/>
                                    <a:cxnLst/>
                                    <a:pathLst>
                                      <a:path w="552" h="533">
                                        <a:moveTo>
                                          <a:pt x="0" y="533"/>
                                        </a:moveTo>
                                        <a:cubicBezTo>
                                          <a:pt x="57" y="382"/>
                                          <a:pt x="115" y="232"/>
                                          <a:pt x="176" y="201"/>
                                        </a:cubicBezTo>
                                        <a:cubicBezTo>
                                          <a:pt x="237" y="170"/>
                                          <a:pt x="301" y="379"/>
                                          <a:pt x="364" y="345"/>
                                        </a:cubicBezTo>
                                        <a:cubicBezTo>
                                          <a:pt x="427" y="311"/>
                                          <a:pt x="489" y="155"/>
                                          <a:pt x="552" y="0"/>
                                        </a:cubicBezTo>
                                      </a:path>
                                    </a:pathLst>
                                  </a:custGeom>
                                  <a:noFill/>
                                  <a:ln w="9525" cap="flat" cmpd="sng">
                                    <a:solidFill>
                                      <a:srgbClr val="00B050"/>
                                    </a:solidFill>
                                    <a:prstDash val="dash"/>
                                    <a:headEnd type="none" w="med" len="med"/>
                                    <a:tailEnd type="triangle" w="sm" len="med"/>
                                  </a:ln>
                                </wps:spPr>
                                <wps:bodyPr upright="1"/>
                              </wps:wsp>
                              <wps:wsp>
                                <wps:cNvPr id="67" name="文本框 1660"/>
                                <wps:cNvSpPr txBox="1"/>
                                <wps:spPr>
                                  <a:xfrm>
                                    <a:off x="6991" y="7384"/>
                                    <a:ext cx="2579" cy="334"/>
                                  </a:xfrm>
                                  <a:prstGeom prst="rect">
                                    <a:avLst/>
                                  </a:prstGeom>
                                  <a:solidFill>
                                    <a:srgbClr val="009900">
                                      <a:alpha val="20000"/>
                                    </a:srgbClr>
                                  </a:solidFill>
                                  <a:ln w="12700">
                                    <a:noFill/>
                                  </a:ln>
                                </wps:spPr>
                                <wps:txbx>
                                  <w:txbxContent>
                                    <w:p w14:paraId="66F08B78">
                                      <w:pPr>
                                        <w:snapToGrid w:val="0"/>
                                        <w:jc w:val="center"/>
                                        <w:rPr>
                                          <w:rFonts w:hint="default" w:ascii="Times New Roman" w:hAnsi="Times New Roman" w:eastAsia="黑体" w:cs="Times New Roman"/>
                                          <w:color w:val="00B050"/>
                                          <w:sz w:val="18"/>
                                          <w:szCs w:val="18"/>
                                          <w:lang w:val="en-US" w:eastAsia="zh-CN"/>
                                        </w:rPr>
                                      </w:pPr>
                                      <w:r>
                                        <w:rPr>
                                          <w:rFonts w:hint="eastAsia"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1</w:t>
                                      </w:r>
                                      <w:r>
                                        <w:rPr>
                                          <w:rFonts w:ascii="Times New Roman" w:hAnsi="Times New Roman" w:eastAsia="黑体" w:cs="Times New Roman"/>
                                          <w:color w:val="00B050"/>
                                          <w:sz w:val="18"/>
                                          <w:szCs w:val="18"/>
                                        </w:rPr>
                                        <w:t>：</w:t>
                                      </w:r>
                                      <w:r>
                                        <w:rPr>
                                          <w:rFonts w:hint="eastAsia" w:ascii="Times New Roman" w:hAnsi="Times New Roman" w:eastAsia="黑体" w:cs="Times New Roman"/>
                                          <w:color w:val="00B050"/>
                                          <w:sz w:val="18"/>
                                          <w:szCs w:val="18"/>
                                        </w:rPr>
                                        <w:t>擦拭废气</w:t>
                                      </w:r>
                                      <w:r>
                                        <w:rPr>
                                          <w:rFonts w:hint="eastAsia" w:ascii="Times New Roman" w:hAnsi="Times New Roman" w:eastAsia="黑体" w:cs="Times New Roman"/>
                                          <w:color w:val="00B050"/>
                                          <w:sz w:val="18"/>
                                          <w:szCs w:val="18"/>
                                          <w:lang w:eastAsia="zh-CN"/>
                                        </w:rPr>
                                        <w:t>；</w:t>
                                      </w:r>
                                      <w:r>
                                        <w:rPr>
                                          <w:rFonts w:hint="eastAsia" w:ascii="Times New Roman" w:hAnsi="Times New Roman" w:eastAsia="黑体" w:cs="Times New Roman"/>
                                          <w:color w:val="00B050"/>
                                          <w:sz w:val="18"/>
                                          <w:szCs w:val="18"/>
                                          <w:lang w:val="en-US" w:eastAsia="zh-CN"/>
                                        </w:rPr>
                                        <w:t>G</w:t>
                                      </w:r>
                                      <w:r>
                                        <w:rPr>
                                          <w:rFonts w:hint="eastAsia" w:ascii="Times New Roman" w:hAnsi="Times New Roman" w:eastAsia="黑体" w:cs="Times New Roman"/>
                                          <w:color w:val="00B050"/>
                                          <w:sz w:val="18"/>
                                          <w:szCs w:val="18"/>
                                          <w:vertAlign w:val="subscript"/>
                                          <w:lang w:val="en-US" w:eastAsia="zh-CN"/>
                                        </w:rPr>
                                        <w:t>2</w:t>
                                      </w:r>
                                      <w:r>
                                        <w:rPr>
                                          <w:rFonts w:hint="eastAsia" w:ascii="Times New Roman" w:hAnsi="Times New Roman" w:eastAsia="黑体" w:cs="Times New Roman"/>
                                          <w:color w:val="00B050"/>
                                          <w:sz w:val="18"/>
                                          <w:szCs w:val="18"/>
                                          <w:lang w:val="en-US" w:eastAsia="zh-CN"/>
                                        </w:rPr>
                                        <w:t>：拆包废气</w:t>
                                      </w:r>
                                    </w:p>
                                  </w:txbxContent>
                                </wps:txbx>
                                <wps:bodyPr lIns="10800" tIns="18000" rIns="10800" bIns="3600" anchor="ctr" anchorCtr="0" upright="1"/>
                              </wps:wsp>
                            </wpg:wgp>
                            <wps:wsp>
                              <wps:cNvPr id="120" name="任意多边形 1659"/>
                              <wps:cNvSpPr/>
                              <wps:spPr>
                                <a:xfrm>
                                  <a:off x="2901950" y="1930400"/>
                                  <a:ext cx="280035" cy="259715"/>
                                </a:xfrm>
                                <a:custGeom>
                                  <a:avLst/>
                                  <a:gdLst/>
                                  <a:ahLst/>
                                  <a:cxnLst/>
                                  <a:pathLst>
                                    <a:path w="552" h="533">
                                      <a:moveTo>
                                        <a:pt x="0" y="533"/>
                                      </a:moveTo>
                                      <a:cubicBezTo>
                                        <a:pt x="57" y="382"/>
                                        <a:pt x="115" y="232"/>
                                        <a:pt x="176" y="201"/>
                                      </a:cubicBezTo>
                                      <a:cubicBezTo>
                                        <a:pt x="237" y="170"/>
                                        <a:pt x="301" y="379"/>
                                        <a:pt x="364" y="345"/>
                                      </a:cubicBezTo>
                                      <a:cubicBezTo>
                                        <a:pt x="427" y="311"/>
                                        <a:pt x="489" y="155"/>
                                        <a:pt x="552" y="0"/>
                                      </a:cubicBezTo>
                                    </a:path>
                                  </a:pathLst>
                                </a:custGeom>
                                <a:noFill/>
                                <a:ln w="9525" cap="flat" cmpd="sng">
                                  <a:solidFill>
                                    <a:srgbClr val="00B050"/>
                                  </a:solidFill>
                                  <a:prstDash val="dash"/>
                                  <a:headEnd type="none" w="med" len="med"/>
                                  <a:tailEnd type="triangle" w="sm" len="med"/>
                                </a:ln>
                              </wps:spPr>
                              <wps:bodyPr upright="1"/>
                            </wps:wsp>
                            <wps:wsp>
                              <wps:cNvPr id="121" name="文本框 1660"/>
                              <wps:cNvSpPr txBox="1"/>
                              <wps:spPr>
                                <a:xfrm>
                                  <a:off x="3181985" y="1838325"/>
                                  <a:ext cx="900000" cy="212090"/>
                                </a:xfrm>
                                <a:prstGeom prst="rect">
                                  <a:avLst/>
                                </a:prstGeom>
                                <a:solidFill>
                                  <a:srgbClr val="009900">
                                    <a:alpha val="20000"/>
                                  </a:srgbClr>
                                </a:solidFill>
                                <a:ln w="12700">
                                  <a:noFill/>
                                </a:ln>
                              </wps:spPr>
                              <wps:txbx>
                                <w:txbxContent>
                                  <w:p w14:paraId="5515808A">
                                    <w:pPr>
                                      <w:snapToGrid w:val="0"/>
                                      <w:jc w:val="center"/>
                                      <w:rPr>
                                        <w:rFonts w:hint="default" w:ascii="Times New Roman" w:hAnsi="Times New Roman" w:eastAsia="黑体" w:cs="Times New Roman"/>
                                        <w:color w:val="00B050"/>
                                        <w:sz w:val="18"/>
                                        <w:szCs w:val="18"/>
                                        <w:lang w:val="en-US" w:eastAsia="zh-CN"/>
                                      </w:rPr>
                                    </w:pPr>
                                    <w:r>
                                      <w:rPr>
                                        <w:rFonts w:hint="eastAsia"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lang w:val="en-US" w:eastAsia="zh-CN"/>
                                      </w:rPr>
                                      <w:t>3</w:t>
                                    </w:r>
                                    <w:r>
                                      <w:rPr>
                                        <w:rFonts w:ascii="Times New Roman" w:hAnsi="Times New Roman" w:eastAsia="黑体" w:cs="Times New Roman"/>
                                        <w:color w:val="00B050"/>
                                        <w:sz w:val="18"/>
                                        <w:szCs w:val="18"/>
                                      </w:rPr>
                                      <w:t>：</w:t>
                                    </w:r>
                                    <w:r>
                                      <w:rPr>
                                        <w:rFonts w:hint="eastAsia" w:ascii="Times New Roman" w:hAnsi="Times New Roman" w:eastAsia="黑体" w:cs="Times New Roman"/>
                                        <w:color w:val="00B050"/>
                                        <w:sz w:val="18"/>
                                        <w:szCs w:val="18"/>
                                        <w:lang w:val="en-US" w:eastAsia="zh-CN"/>
                                      </w:rPr>
                                      <w:t>包装</w:t>
                                    </w:r>
                                    <w:r>
                                      <w:rPr>
                                        <w:rFonts w:hint="eastAsia" w:ascii="Times New Roman" w:hAnsi="Times New Roman" w:eastAsia="黑体" w:cs="Times New Roman"/>
                                        <w:color w:val="00B050"/>
                                        <w:sz w:val="18"/>
                                        <w:szCs w:val="18"/>
                                      </w:rPr>
                                      <w:t>废气</w:t>
                                    </w:r>
                                  </w:p>
                                </w:txbxContent>
                              </wps:txbx>
                              <wps:bodyPr lIns="10800" tIns="18000" rIns="10800" bIns="3600" anchor="ctr" anchorCtr="0" upright="1"/>
                            </wps:wsp>
                          </wpc:wpc>
                        </a:graphicData>
                      </a:graphic>
                    </wp:inline>
                  </w:drawing>
                </mc:Choice>
                <mc:Fallback>
                  <w:pict>
                    <v:group id="画布 1642" o:spid="_x0000_s1026" o:spt="203" style="height:302pt;width:419.35pt;" coordsize="5325745,3835400" editas="canvas" o:gfxdata="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">
                      <o:lock v:ext="edit" aspectratio="f"/>
                      <v:shape id="画布 1642" o:spid="_x0000_s1026" style="position:absolute;left:0;top:0;height:3835400;width:5325745;" filled="f" stroked="f" coordsize="21600,21600" o:gfxdata="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AlPoS81wAA&#10;AAUBAAAPAAAAAAAAAAEAIAAAACIAAABkcnMvZG93bnJldi54bWxQSwECFAAUAAAACACHTuJA3A70&#10;VQUHAADULgAADgAAAAAAAAABACAAAAAmAQAAZHJzL2Uyb0RvYy54bWxQSwUGAAAAAAYABgBZAQAA&#10;nQoAAAAA&#10;">
                        <v:fill on="f" focussize="0,0"/>
                        <v:stroke on="f"/>
                        <v:imagedata o:title=""/>
                        <o:lock v:ext="edit" aspectratio="t"/>
                      </v:shape>
                      <v:group id="组合 1661" o:spid="_x0000_s1026" o:spt="203" style="position:absolute;left:685165;top:95885;height:3576320;width:4129405;" coordorigin="3067,6656" coordsize="6503,5632" o:gfxdata="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">
                        <o:lock v:ext="edit" aspectratio="f"/>
                        <v:rect id="矩形 1991" o:spid="_x0000_s1026" o:spt="1" style="position:absolute;left:4250;top:6656;height:780;width:3259;" fillcolor="#FFFFFF" filled="t" stroked="f" coordsize="21600,21600" o:gfxdata="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T4Te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7A4DCB4F">
                                <w:pPr>
                                  <w:jc w:val="center"/>
                                  <w:rPr>
                                    <w:rFonts w:ascii="Times New Roman" w:hAnsi="Times New Roman" w:eastAsia="黑体" w:cs="Times New Roman"/>
                                    <w:sz w:val="18"/>
                                    <w:szCs w:val="18"/>
                                  </w:rPr>
                                </w:pPr>
                                <w:r>
                                  <w:rPr>
                                    <w:rFonts w:hint="eastAsia" w:ascii="Times New Roman" w:hAnsi="Times New Roman" w:eastAsia="黑体" w:cs="黑体"/>
                                    <w:sz w:val="18"/>
                                    <w:szCs w:val="18"/>
                                  </w:rPr>
                                  <w:t>原料（硅胶、分子筛、活性炭、铁粉、氧气指示剂、二氧化碳指示剂）</w:t>
                                </w:r>
                              </w:p>
                            </w:txbxContent>
                          </v:textbox>
                        </v:rect>
                        <v:rect id="矩形 1982" o:spid="_x0000_s1026" o:spt="1" style="position:absolute;left:5363;top:7861;height:500;width:1180;" fillcolor="#FFFFFF" filled="t" stroked="t" coordsize="21600,21600"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5FF7621">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准备、称量</w:t>
                                </w:r>
                              </w:p>
                            </w:txbxContent>
                          </v:textbox>
                        </v:rect>
                        <v:shape id="自选图形 1985" o:spid="_x0000_s1026" o:spt="32" type="#_x0000_t32" style="position:absolute;left:5982;top:8382;height:480;width:1;" filled="f" stroked="t" coordsize="21600,21600" o:gfxdata="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5vbu5AAAA2wAA&#10;AA8AAAAAAAAAAQAgAAAAIgAAAGRycy9kb3ducmV2LnhtbFBLAQIUABQAAAAIAIdO4kAzLwWeOwAA&#10;ADkAAAAQAAAAAAAAAAEAIAAAAAgBAABkcnMvc2hhcGV4bWwueG1sUEsFBgAAAAAGAAYAWwEAALID&#10;AAAAAA==&#10;">
                          <v:fill on="f" focussize="0,0"/>
                          <v:stroke color="#000000" joinstyle="round" endarrow="block" endarrowwidth="narrow"/>
                          <v:imagedata o:title=""/>
                          <o:lock v:ext="edit" aspectratio="f"/>
                        </v:shape>
                        <v:shape id="自选图形 2005" o:spid="_x0000_s1026" o:spt="32" type="#_x0000_t32" style="position:absolute;left:5969;top:7401;height:460;width:0;" filled="f" stroked="t" coordsize="21600,21600" o:gfxdata="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RggvQAA&#10;ANs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shape>
                        <v:rect id="矩形 2009" o:spid="_x0000_s1026" o:spt="1" style="position:absolute;left:5363;top:8881;height:500;width:1180;"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E0321DE">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干燥</w:t>
                                </w:r>
                              </w:p>
                            </w:txbxContent>
                          </v:textbox>
                        </v:rect>
                        <v:shape id="自选图形 2010" o:spid="_x0000_s1026" o:spt="32" type="#_x0000_t32" style="position:absolute;left:5963;top:9381;height:460;width:1;" filled="f" stroked="t" coordsize="21600,21600" o:gfxdata="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Maj74A&#10;AADb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rect id="矩形 2009_SpCnt_1" o:spid="_x0000_s1026" o:spt="1" style="position:absolute;left:5363;top:9821;height:500;width:1180;" fillcolor="#FFFFFF" filled="t" stroked="t" coordsize="21600,21600"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689981D">
                                <w:pPr>
                                  <w:jc w:val="center"/>
                                  <w:rPr>
                                    <w:rFonts w:ascii="Times New Roman" w:hAnsi="Times New Roman" w:eastAsia="黑体" w:cs="Times New Roman"/>
                                    <w:sz w:val="18"/>
                                    <w:szCs w:val="18"/>
                                  </w:rPr>
                                </w:pPr>
                                <w:r>
                                  <w:rPr>
                                    <w:rFonts w:ascii="Times New Roman" w:hAnsi="Times New Roman" w:eastAsia="黑体" w:cs="Times New Roman"/>
                                    <w:sz w:val="18"/>
                                    <w:szCs w:val="18"/>
                                  </w:rPr>
                                  <w:t>内包装</w:t>
                                </w:r>
                              </w:p>
                            </w:txbxContent>
                          </v:textbox>
                        </v:rect>
                        <v:shape id="自选图形 2010_SpCnt_1" o:spid="_x0000_s1026" o:spt="32" type="#_x0000_t32" style="position:absolute;left:5982;top:10341;flip:x;height:460;width:1;" filled="f" stroked="t" coordsize="21600,21600" o:gfxdata="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yRx28AAAA&#10;2wAAAA8AAAAAAAAAAQAgAAAAIgAAAGRycy9kb3ducmV2LnhtbFBLAQIUABQAAAAIAIdO4kAzLwWe&#10;OwAAADkAAAAQAAAAAAAAAAEAIAAAAAsBAABkcnMvc2hhcGV4bWwueG1sUEsFBgAAAAAGAAYAWwEA&#10;ALUDAAAAAA==&#10;">
                          <v:fill on="f" focussize="0,0"/>
                          <v:stroke color="#000000" joinstyle="miter" endarrow="block" endarrowwidth="narrow"/>
                          <v:imagedata o:title=""/>
                          <o:lock v:ext="edit" aspectratio="f"/>
                        </v:shape>
                        <v:rect id="矩形 2009_SpCnt_1" o:spid="_x0000_s1026" o:spt="1" style="position:absolute;left:5363;top:10821;height:501;width:1180;" fillcolor="#FFFFFF" filled="t" stroked="t" coordsize="21600,21600" o:gfxdata="UEsDBAoAAAAAAIdO4kAAAAAAAAAAAAAAAAAEAAAAZHJzL1BLAwQUAAAACACHTuJAgswOzL4AAADb&#10;AAAADwAAAGRycy9kb3ducmV2LnhtbEWPzW7CMBCE70h9B2sr9QY2VEU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Oz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9A60178">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外包装</w:t>
                                </w:r>
                              </w:p>
                            </w:txbxContent>
                          </v:textbox>
                        </v:rect>
                        <v:shape id="自选图形 2010_SpCnt_1" o:spid="_x0000_s1026" o:spt="32" type="#_x0000_t32" style="position:absolute;left:5982;top:11322;flip:x;height:459;width:1;" filled="f" stroked="t" coordsize="21600,21600" o:gfxdata="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iBprsAAADb&#10;AAAADwAAAAAAAAABACAAAAAiAAAAZHJzL2Rvd25yZXYueG1sUEsBAhQAFAAAAAgAh07iQDMvBZ47&#10;AAAAOQAAABAAAAAAAAAAAQAgAAAACgEAAGRycy9zaGFwZXhtbC54bWxQSwUGAAAAAAYABgBbAQAA&#10;tAMAAAAA&#10;">
                          <v:fill on="f" focussize="0,0"/>
                          <v:stroke color="#000000" joinstyle="miter" endarrow="block" endarrowwidth="narrow"/>
                          <v:imagedata o:title=""/>
                          <o:lock v:ext="edit" aspectratio="f"/>
                        </v:shape>
                        <v:rect id="矩形 2009_SpCnt_1" o:spid="_x0000_s1026" o:spt="1" style="position:absolute;left:5363;top:11788;height:500;width:1180;"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7DF3C42">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检验</w:t>
                                </w:r>
                              </w:p>
                            </w:txbxContent>
                          </v:textbox>
                        </v:rect>
                        <v:rect id="矩形 1991" o:spid="_x0000_s1026" o:spt="1" style="position:absolute;left:3067;top:7874;height:538;width:1596;" fillcolor="#FFFFFF" filled="t" stroked="f" coordsize="21600,21600" o:gfxdata="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4C4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035F948A">
                                <w:pPr>
                                  <w:jc w:val="center"/>
                                  <w:rPr>
                                    <w:rFonts w:ascii="Times New Roman" w:hAnsi="Times New Roman" w:eastAsia="黑体" w:cs="Times New Roman"/>
                                    <w:sz w:val="18"/>
                                    <w:szCs w:val="18"/>
                                  </w:rPr>
                                </w:pPr>
                                <w:r>
                                  <w:rPr>
                                    <w:rFonts w:hint="eastAsia" w:ascii="Times New Roman" w:hAnsi="Times New Roman" w:eastAsia="黑体" w:cs="黑体"/>
                                    <w:sz w:val="18"/>
                                    <w:szCs w:val="18"/>
                                  </w:rPr>
                                  <w:t>酒精、无尘布</w:t>
                                </w:r>
                              </w:p>
                            </w:txbxContent>
                          </v:textbox>
                        </v:rect>
                        <v:shape id="自选图形 1655" o:spid="_x0000_s1026" o:spt="32" type="#_x0000_t32" style="position:absolute;left:4533;top:8111;flip:y;height:1;width:837;" filled="f" stroked="t" coordsize="21600,21600" o:gfxdata="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U0274A&#10;AADb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shape id="自选图形 1656" o:spid="_x0000_s1026" o:spt="32" type="#_x0000_t32" style="position:absolute;left:6574;top:8193;height:1;width:257;" filled="f" stroked="t" coordsize="21600,21600" o:gfxdata="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6IT74A&#10;AADbAAAADwAAAAAAAAABACAAAAAiAAAAZHJzL2Rvd25yZXYueG1sUEsBAhQAFAAAAAgAh07iQDMv&#10;BZ47AAAAOQAAABAAAAAAAAAAAQAgAAAADQEAAGRycy9zaGFwZXhtbC54bWxQSwUGAAAAAAYABgBb&#10;AQAAtwMAAAAA&#10;">
                          <v:fill on="f" focussize="0,0"/>
                          <v:stroke color="#FF0000" joinstyle="round" dashstyle="dash" endarrow="block" endarrowwidth="narrow"/>
                          <v:imagedata o:title=""/>
                          <o:lock v:ext="edit" aspectratio="f"/>
                        </v:shape>
                        <v:shape id="文本框 1657" o:spid="_x0000_s1026" o:spt="202" type="#_x0000_t202" style="position:absolute;left:6843;top:8027;height:334;width:1417;v-text-anchor:middle;" fillcolor="#FDE9D9" filled="t" stroked="f" coordsize="21600,21600" o:gfxdata="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nG4augAAANsA&#10;AAAPAAAAAAAAAAEAIAAAACIAAABkcnMvZG93bnJldi54bWxQSwECFAAUAAAACACHTuJAMy8FnjsA&#10;AAA5AAAAEAAAAAAAAAABACAAAAAJAQAAZHJzL3NoYXBleG1sLnhtbFBLBQYAAAAABgAGAFsBAACz&#10;AwAAAAA=&#10;">
                          <v:fill on="t" focussize="0,0"/>
                          <v:stroke on="f" weight="1pt"/>
                          <v:imagedata o:title=""/>
                          <o:lock v:ext="edit" aspectratio="f"/>
                          <v:textbox inset="0.3mm,0.5mm,0.3mm,0.1mm">
                            <w:txbxContent>
                              <w:p w14:paraId="5320426C">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w:t>
                                </w:r>
                                <w:r>
                                  <w:rPr>
                                    <w:rFonts w:hint="eastAsia" w:ascii="Times New Roman" w:hAnsi="Times New Roman" w:eastAsia="黑体" w:cs="Times New Roman"/>
                                    <w:color w:val="FF0000"/>
                                    <w:sz w:val="18"/>
                                    <w:szCs w:val="18"/>
                                  </w:rPr>
                                  <w:t>废无尘布</w:t>
                                </w:r>
                              </w:p>
                            </w:txbxContent>
                          </v:textbox>
                        </v:shape>
                        <v:shape id="任意多边形 1659" o:spid="_x0000_s1026" o:spt="100" style="position:absolute;left:6550;top:7529;height:409;width:441;" filled="f" stroked="t" coordsize="552,533" o:gfxdata="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zYKXtwAAANsAAAAP&#10;AAAAAAAAAAEAIAAAACIAAABkcnMvZG93bnJldi54bWxQSwECFAAUAAAACACHTuJAMy8FnjsAAAA5&#10;AAAAEAAAAAAAAAABACAAAAAGAQAAZHJzL3NoYXBleG1sLnhtbFBLBQYAAAAABgAGAFsBAACwAwAA&#10;AAA=&#10;" path="m0,533c57,382,115,232,176,201c237,170,301,379,364,345c427,311,489,155,552,0e">
                          <v:fill on="f" focussize="0,0"/>
                          <v:stroke color="#00B050" joinstyle="round" dashstyle="dash" endarrow="block" endarrowwidth="narrow"/>
                          <v:imagedata o:title=""/>
                          <o:lock v:ext="edit" aspectratio="f"/>
                        </v:shape>
                        <v:shape id="文本框 1660" o:spid="_x0000_s1026" o:spt="202" type="#_x0000_t202" style="position:absolute;left:6991;top:7384;height:334;width:2579;v-text-anchor:middle;" fillcolor="#009900" filled="t" stroked="f" coordsize="21600,21600" o:gfxdata="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cwU6/&#10;AAAA2wAAAA8AAAAAAAAAAQAgAAAAIgAAAGRycy9kb3ducmV2LnhtbFBLAQIUABQAAAAIAIdO4kAz&#10;LwWeOwAAADkAAAAQAAAAAAAAAAEAIAAAAA4BAABkcnMvc2hhcGV4bWwueG1sUEsFBgAAAAAGAAYA&#10;WwEAALgDAAAAAA==&#10;">
                          <v:fill on="t" opacity="13107f" focussize="0,0"/>
                          <v:stroke on="f" weight="1pt"/>
                          <v:imagedata o:title=""/>
                          <o:lock v:ext="edit" aspectratio="f"/>
                          <v:textbox inset="0.3mm,0.5mm,0.3mm,0.1mm">
                            <w:txbxContent>
                              <w:p w14:paraId="66F08B78">
                                <w:pPr>
                                  <w:snapToGrid w:val="0"/>
                                  <w:jc w:val="center"/>
                                  <w:rPr>
                                    <w:rFonts w:hint="default" w:ascii="Times New Roman" w:hAnsi="Times New Roman" w:eastAsia="黑体" w:cs="Times New Roman"/>
                                    <w:color w:val="00B050"/>
                                    <w:sz w:val="18"/>
                                    <w:szCs w:val="18"/>
                                    <w:lang w:val="en-US" w:eastAsia="zh-CN"/>
                                  </w:rPr>
                                </w:pPr>
                                <w:r>
                                  <w:rPr>
                                    <w:rFonts w:hint="eastAsia"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1</w:t>
                                </w:r>
                                <w:r>
                                  <w:rPr>
                                    <w:rFonts w:ascii="Times New Roman" w:hAnsi="Times New Roman" w:eastAsia="黑体" w:cs="Times New Roman"/>
                                    <w:color w:val="00B050"/>
                                    <w:sz w:val="18"/>
                                    <w:szCs w:val="18"/>
                                  </w:rPr>
                                  <w:t>：</w:t>
                                </w:r>
                                <w:r>
                                  <w:rPr>
                                    <w:rFonts w:hint="eastAsia" w:ascii="Times New Roman" w:hAnsi="Times New Roman" w:eastAsia="黑体" w:cs="Times New Roman"/>
                                    <w:color w:val="00B050"/>
                                    <w:sz w:val="18"/>
                                    <w:szCs w:val="18"/>
                                  </w:rPr>
                                  <w:t>擦拭废气</w:t>
                                </w:r>
                                <w:r>
                                  <w:rPr>
                                    <w:rFonts w:hint="eastAsia" w:ascii="Times New Roman" w:hAnsi="Times New Roman" w:eastAsia="黑体" w:cs="Times New Roman"/>
                                    <w:color w:val="00B050"/>
                                    <w:sz w:val="18"/>
                                    <w:szCs w:val="18"/>
                                    <w:lang w:eastAsia="zh-CN"/>
                                  </w:rPr>
                                  <w:t>；</w:t>
                                </w:r>
                                <w:r>
                                  <w:rPr>
                                    <w:rFonts w:hint="eastAsia" w:ascii="Times New Roman" w:hAnsi="Times New Roman" w:eastAsia="黑体" w:cs="Times New Roman"/>
                                    <w:color w:val="00B050"/>
                                    <w:sz w:val="18"/>
                                    <w:szCs w:val="18"/>
                                    <w:lang w:val="en-US" w:eastAsia="zh-CN"/>
                                  </w:rPr>
                                  <w:t>G</w:t>
                                </w:r>
                                <w:r>
                                  <w:rPr>
                                    <w:rFonts w:hint="eastAsia" w:ascii="Times New Roman" w:hAnsi="Times New Roman" w:eastAsia="黑体" w:cs="Times New Roman"/>
                                    <w:color w:val="00B050"/>
                                    <w:sz w:val="18"/>
                                    <w:szCs w:val="18"/>
                                    <w:vertAlign w:val="subscript"/>
                                    <w:lang w:val="en-US" w:eastAsia="zh-CN"/>
                                  </w:rPr>
                                  <w:t>2</w:t>
                                </w:r>
                                <w:r>
                                  <w:rPr>
                                    <w:rFonts w:hint="eastAsia" w:ascii="Times New Roman" w:hAnsi="Times New Roman" w:eastAsia="黑体" w:cs="Times New Roman"/>
                                    <w:color w:val="00B050"/>
                                    <w:sz w:val="18"/>
                                    <w:szCs w:val="18"/>
                                    <w:lang w:val="en-US" w:eastAsia="zh-CN"/>
                                  </w:rPr>
                                  <w:t>：拆包废气</w:t>
                                </w:r>
                              </w:p>
                            </w:txbxContent>
                          </v:textbox>
                        </v:shape>
                      </v:group>
                      <v:shape id="任意多边形 1659" o:spid="_x0000_s1026" o:spt="100" style="position:absolute;left:2901950;top:1930400;height:259715;width:280035;" filled="f" stroked="t" coordsize="552,533" o:gfxdata="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Oimm7TTAAAABQEAAA8AAAAAAAAAAQAgAAAAIgAAAGRycy9kb3ducmV2&#10;LnhtbFBLAQIUABQAAAAIAIdO4kBx78A/rAIAAJ4FAAAOAAAAAAAAAAEAIAAAACIBAABkcnMvZTJv&#10;RG9jLnhtbFBLBQYAAAAABgAGAFkBAABABgAAAAA=&#10;" path="m0,533c57,382,115,232,176,201c237,170,301,379,364,345c427,311,489,155,552,0e">
                        <v:fill on="f" focussize="0,0"/>
                        <v:stroke color="#00B050" joinstyle="round" dashstyle="dash" endarrow="block" endarrowwidth="narrow"/>
                        <v:imagedata o:title=""/>
                        <o:lock v:ext="edit" aspectratio="f"/>
                      </v:shape>
                      <v:shape id="文本框 1660" o:spid="_x0000_s1026" o:spt="202" type="#_x0000_t202" style="position:absolute;left:3181985;top:1838325;height:212090;width:900000;v-text-anchor:middle;" fillcolor="#009900" filled="t" stroked="f" coordsize="21600,21600" o:gfxdata="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O2jNgAAAAFAQAADwAAAAAAAAABACAAAAAiAAAAZHJz&#10;L2Rvd25yZXYueG1sUEsBAhQAFAAAAAgAh07iQMe4qZMEAgAAAAQAAA4AAAAAAAAAAQAgAAAAJwEA&#10;AGRycy9lMm9Eb2MueG1sUEsFBgAAAAAGAAYAWQEAAJ0FAAAAAA==&#10;">
                        <v:fill on="t" opacity="13107f" focussize="0,0"/>
                        <v:stroke on="f" weight="1pt"/>
                        <v:imagedata o:title=""/>
                        <o:lock v:ext="edit" aspectratio="f"/>
                        <v:textbox inset="0.3mm,0.5mm,0.3mm,0.1mm">
                          <w:txbxContent>
                            <w:p w14:paraId="5515808A">
                              <w:pPr>
                                <w:snapToGrid w:val="0"/>
                                <w:jc w:val="center"/>
                                <w:rPr>
                                  <w:rFonts w:hint="default" w:ascii="Times New Roman" w:hAnsi="Times New Roman" w:eastAsia="黑体" w:cs="Times New Roman"/>
                                  <w:color w:val="00B050"/>
                                  <w:sz w:val="18"/>
                                  <w:szCs w:val="18"/>
                                  <w:lang w:val="en-US" w:eastAsia="zh-CN"/>
                                </w:rPr>
                              </w:pPr>
                              <w:r>
                                <w:rPr>
                                  <w:rFonts w:hint="eastAsia"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lang w:val="en-US" w:eastAsia="zh-CN"/>
                                </w:rPr>
                                <w:t>3</w:t>
                              </w:r>
                              <w:r>
                                <w:rPr>
                                  <w:rFonts w:ascii="Times New Roman" w:hAnsi="Times New Roman" w:eastAsia="黑体" w:cs="Times New Roman"/>
                                  <w:color w:val="00B050"/>
                                  <w:sz w:val="18"/>
                                  <w:szCs w:val="18"/>
                                </w:rPr>
                                <w:t>：</w:t>
                              </w:r>
                              <w:r>
                                <w:rPr>
                                  <w:rFonts w:hint="eastAsia" w:ascii="Times New Roman" w:hAnsi="Times New Roman" w:eastAsia="黑体" w:cs="Times New Roman"/>
                                  <w:color w:val="00B050"/>
                                  <w:sz w:val="18"/>
                                  <w:szCs w:val="18"/>
                                  <w:lang w:val="en-US" w:eastAsia="zh-CN"/>
                                </w:rPr>
                                <w:t>包装</w:t>
                              </w:r>
                              <w:r>
                                <w:rPr>
                                  <w:rFonts w:hint="eastAsia" w:ascii="Times New Roman" w:hAnsi="Times New Roman" w:eastAsia="黑体" w:cs="Times New Roman"/>
                                  <w:color w:val="00B050"/>
                                  <w:sz w:val="18"/>
                                  <w:szCs w:val="18"/>
                                </w:rPr>
                                <w:t>废气</w:t>
                              </w:r>
                            </w:p>
                          </w:txbxContent>
                        </v:textbox>
                      </v:shape>
                      <w10:wrap type="none"/>
                      <w10:anchorlock/>
                    </v:group>
                  </w:pict>
                </mc:Fallback>
              </mc:AlternateContent>
            </w:r>
          </w:p>
          <w:p w14:paraId="5EEA7DF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bCs/>
                <w:kern w:val="0"/>
                <w:sz w:val="24"/>
                <w:szCs w:val="24"/>
              </w:rPr>
            </w:pPr>
            <w:r>
              <w:rPr>
                <w:rFonts w:hint="default" w:ascii="Times New Roman" w:hAnsi="黑体" w:eastAsia="黑体"/>
                <w:bCs/>
                <w:kern w:val="0"/>
                <w:sz w:val="24"/>
                <w:szCs w:val="24"/>
              </w:rPr>
              <w:t>图</w:t>
            </w:r>
            <w:r>
              <w:rPr>
                <w:rFonts w:hint="default" w:ascii="Times New Roman" w:hAnsi="Times New Roman" w:eastAsia="黑体"/>
                <w:bCs/>
                <w:kern w:val="0"/>
                <w:sz w:val="24"/>
                <w:szCs w:val="24"/>
              </w:rPr>
              <w:t>2-</w:t>
            </w:r>
            <w:r>
              <w:rPr>
                <w:rFonts w:hint="eastAsia" w:ascii="Times New Roman" w:hAnsi="Times New Roman" w:eastAsia="黑体"/>
                <w:bCs/>
                <w:kern w:val="0"/>
                <w:sz w:val="24"/>
                <w:szCs w:val="24"/>
              </w:rPr>
              <w:t>2</w:t>
            </w:r>
            <w:r>
              <w:rPr>
                <w:rFonts w:hint="default" w:ascii="Times New Roman" w:hAnsi="Times New Roman" w:eastAsia="黑体"/>
                <w:bCs/>
                <w:kern w:val="0"/>
                <w:sz w:val="24"/>
                <w:szCs w:val="24"/>
              </w:rPr>
              <w:t xml:space="preserve">  </w:t>
            </w:r>
            <w:r>
              <w:rPr>
                <w:rFonts w:hint="eastAsia" w:ascii="Times New Roman" w:hAnsi="黑体" w:eastAsia="黑体"/>
                <w:bCs/>
                <w:kern w:val="0"/>
                <w:sz w:val="24"/>
                <w:szCs w:val="24"/>
              </w:rPr>
              <w:t>干燥剂</w:t>
            </w:r>
            <w:r>
              <w:rPr>
                <w:rFonts w:hint="default" w:ascii="Times New Roman" w:hAnsi="黑体" w:eastAsia="黑体"/>
                <w:bCs/>
                <w:kern w:val="0"/>
                <w:sz w:val="24"/>
                <w:szCs w:val="24"/>
              </w:rPr>
              <w:t>生产线生产工艺及产污节点图</w:t>
            </w:r>
          </w:p>
          <w:p w14:paraId="7291D589">
            <w:pPr>
              <w:keepNext w:val="0"/>
              <w:keepLines w:val="0"/>
              <w:widowControl/>
              <w:suppressLineNumbers w:val="0"/>
              <w:spacing w:before="0" w:beforeAutospacing="0" w:after="0" w:afterAutospacing="0" w:line="360" w:lineRule="auto"/>
              <w:ind w:left="0" w:right="0"/>
              <w:rPr>
                <w:rFonts w:hint="default" w:ascii="Times New Roman" w:hAnsi="Times New Roman"/>
                <w:b/>
                <w:bCs/>
                <w:kern w:val="0"/>
                <w:sz w:val="24"/>
                <w:szCs w:val="24"/>
              </w:rPr>
            </w:pPr>
            <w:r>
              <w:rPr>
                <w:rFonts w:hint="eastAsia" w:ascii="Times New Roman" w:hAnsi="Times New Roman"/>
                <w:b/>
                <w:bCs/>
                <w:kern w:val="0"/>
                <w:sz w:val="24"/>
                <w:szCs w:val="24"/>
              </w:rPr>
              <w:t>工艺流程简述</w:t>
            </w:r>
          </w:p>
          <w:p w14:paraId="28FD3994">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Cs/>
                <w:kern w:val="0"/>
                <w:sz w:val="24"/>
                <w:szCs w:val="24"/>
              </w:rPr>
            </w:pPr>
            <w:r>
              <w:rPr>
                <w:rFonts w:hint="eastAsia" w:ascii="Times New Roman" w:hAnsi="Times New Roman"/>
                <w:b/>
                <w:bCs/>
                <w:kern w:val="0"/>
                <w:sz w:val="24"/>
                <w:szCs w:val="24"/>
              </w:rPr>
              <w:t>1、准备、称重：</w:t>
            </w:r>
            <w:r>
              <w:rPr>
                <w:rFonts w:hint="eastAsia" w:ascii="Times New Roman" w:hAnsi="Times New Roman"/>
                <w:bCs/>
                <w:kern w:val="0"/>
                <w:sz w:val="24"/>
                <w:szCs w:val="24"/>
              </w:rPr>
              <w:t>生产干燥剂产品前，需使用无尘布沾酒精对生产设备进行擦拭，擦去表面少量残留的污渍</w:t>
            </w:r>
            <w:r>
              <w:rPr>
                <w:rFonts w:hint="eastAsia" w:ascii="Times New Roman" w:hAnsi="Times New Roman"/>
                <w:bCs/>
                <w:kern w:val="0"/>
                <w:sz w:val="24"/>
                <w:szCs w:val="24"/>
                <w:lang w:eastAsia="zh-CN"/>
              </w:rPr>
              <w:t>。</w:t>
            </w:r>
            <w:r>
              <w:rPr>
                <w:rFonts w:hint="eastAsia" w:ascii="Times New Roman" w:hAnsi="Times New Roman"/>
                <w:bCs/>
                <w:kern w:val="0"/>
                <w:sz w:val="24"/>
                <w:szCs w:val="24"/>
                <w:lang w:val="en-US" w:eastAsia="zh-CN"/>
              </w:rPr>
              <w:t>项目所需生产设备均采用无尘布擦拭，不用水清洗</w:t>
            </w:r>
            <w:r>
              <w:rPr>
                <w:rFonts w:hint="eastAsia" w:ascii="Times New Roman" w:hAnsi="Times New Roman"/>
                <w:bCs/>
                <w:kern w:val="0"/>
                <w:sz w:val="24"/>
                <w:szCs w:val="24"/>
              </w:rPr>
              <w:t>。</w:t>
            </w:r>
          </w:p>
          <w:p w14:paraId="4828CEC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Theme="minorEastAsia"/>
                <w:bCs/>
                <w:kern w:val="0"/>
                <w:sz w:val="24"/>
                <w:szCs w:val="24"/>
                <w:lang w:val="en-US" w:eastAsia="zh-CN"/>
              </w:rPr>
            </w:pPr>
            <w:r>
              <w:rPr>
                <w:rFonts w:hint="eastAsia" w:ascii="Times New Roman" w:hAnsi="Times New Roman"/>
                <w:kern w:val="0"/>
                <w:sz w:val="24"/>
                <w:szCs w:val="24"/>
              </w:rPr>
              <w:t>将外购硅胶、分子筛、活性炭、铁粉、氧气指示剂、二氧化碳指示剂等原料暂存于物料暂存间内，在脱包间拆包后运输至各自干燥剂生产车间内，按照设定的产品重量进行称重</w:t>
            </w:r>
            <w:r>
              <w:rPr>
                <w:rFonts w:hint="eastAsia" w:ascii="Times New Roman" w:hAnsi="Times New Roman"/>
                <w:bCs/>
                <w:kern w:val="0"/>
                <w:sz w:val="24"/>
                <w:szCs w:val="24"/>
              </w:rPr>
              <w:t>。</w:t>
            </w:r>
            <w:r>
              <w:rPr>
                <w:rFonts w:hint="eastAsia" w:ascii="Times New Roman" w:hAnsi="Times New Roman"/>
                <w:kern w:val="0"/>
                <w:sz w:val="24"/>
                <w:szCs w:val="24"/>
              </w:rPr>
              <w:t>硅胶、分子筛、活性炭、铁粉、氧气指示剂、二氧化碳指示剂</w:t>
            </w:r>
            <w:r>
              <w:rPr>
                <w:rFonts w:hint="eastAsia" w:ascii="Times New Roman" w:hAnsi="Times New Roman"/>
                <w:kern w:val="0"/>
                <w:sz w:val="24"/>
                <w:szCs w:val="24"/>
                <w:lang w:val="en-US" w:eastAsia="zh-CN"/>
              </w:rPr>
              <w:t>原料外购粒径为1-2mm、3-4mm，拆包过程活性炭会产生少量颗粒物。</w:t>
            </w:r>
          </w:p>
          <w:p w14:paraId="36BE6CC6">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Cs/>
                <w:kern w:val="0"/>
                <w:sz w:val="24"/>
                <w:szCs w:val="24"/>
              </w:rPr>
            </w:pPr>
            <w:r>
              <w:rPr>
                <w:rFonts w:hint="eastAsia" w:ascii="Times New Roman" w:hAnsi="Times New Roman"/>
                <w:b/>
                <w:bCs/>
                <w:kern w:val="0"/>
                <w:sz w:val="24"/>
                <w:szCs w:val="24"/>
              </w:rPr>
              <w:t>产排污环节分析及治理措施：</w:t>
            </w:r>
            <w:r>
              <w:rPr>
                <w:rFonts w:hint="eastAsia" w:ascii="Times New Roman" w:hAnsi="Times New Roman"/>
                <w:bCs/>
                <w:kern w:val="0"/>
                <w:sz w:val="24"/>
                <w:szCs w:val="24"/>
              </w:rPr>
              <w:t>本工序产生擦拭废气（G</w:t>
            </w:r>
            <w:r>
              <w:rPr>
                <w:rFonts w:hint="eastAsia" w:ascii="Times New Roman" w:hAnsi="Times New Roman"/>
                <w:bCs/>
                <w:kern w:val="0"/>
                <w:sz w:val="24"/>
                <w:szCs w:val="24"/>
                <w:vertAlign w:val="subscript"/>
              </w:rPr>
              <w:t>1</w:t>
            </w:r>
            <w:r>
              <w:rPr>
                <w:rFonts w:hint="eastAsia" w:ascii="Times New Roman" w:hAnsi="Times New Roman"/>
                <w:bCs/>
                <w:kern w:val="0"/>
                <w:sz w:val="24"/>
                <w:szCs w:val="24"/>
              </w:rPr>
              <w:t>）、</w:t>
            </w:r>
            <w:r>
              <w:rPr>
                <w:rFonts w:hint="eastAsia" w:ascii="Times New Roman" w:hAnsi="Times New Roman"/>
                <w:bCs/>
                <w:kern w:val="0"/>
                <w:sz w:val="24"/>
                <w:szCs w:val="24"/>
                <w:lang w:val="en-US" w:eastAsia="zh-CN"/>
              </w:rPr>
              <w:t>拆包</w:t>
            </w:r>
            <w:r>
              <w:rPr>
                <w:rFonts w:hint="eastAsia" w:ascii="Times New Roman" w:hAnsi="Times New Roman"/>
                <w:bCs/>
                <w:kern w:val="0"/>
                <w:sz w:val="24"/>
                <w:szCs w:val="24"/>
              </w:rPr>
              <w:t>废气（G</w:t>
            </w:r>
            <w:r>
              <w:rPr>
                <w:rFonts w:hint="eastAsia" w:ascii="Times New Roman" w:hAnsi="Times New Roman"/>
                <w:bCs/>
                <w:kern w:val="0"/>
                <w:sz w:val="24"/>
                <w:szCs w:val="24"/>
                <w:vertAlign w:val="subscript"/>
                <w:lang w:val="en-US" w:eastAsia="zh-CN"/>
              </w:rPr>
              <w:t>2</w:t>
            </w:r>
            <w:r>
              <w:rPr>
                <w:rFonts w:hint="eastAsia" w:ascii="Times New Roman" w:hAnsi="Times New Roman"/>
                <w:bCs/>
                <w:kern w:val="0"/>
                <w:sz w:val="24"/>
                <w:szCs w:val="24"/>
              </w:rPr>
              <w:t>）废无尘布（S</w:t>
            </w:r>
            <w:r>
              <w:rPr>
                <w:rFonts w:hint="eastAsia" w:ascii="Times New Roman" w:hAnsi="Times New Roman"/>
                <w:bCs/>
                <w:kern w:val="0"/>
                <w:sz w:val="24"/>
                <w:szCs w:val="24"/>
                <w:vertAlign w:val="subscript"/>
              </w:rPr>
              <w:t>1</w:t>
            </w:r>
            <w:r>
              <w:rPr>
                <w:rFonts w:hint="eastAsia" w:ascii="Times New Roman" w:hAnsi="Times New Roman"/>
                <w:bCs/>
                <w:kern w:val="0"/>
                <w:sz w:val="24"/>
                <w:szCs w:val="24"/>
              </w:rPr>
              <w:t>）。擦拭废气</w:t>
            </w:r>
            <w:r>
              <w:rPr>
                <w:rFonts w:hint="eastAsia" w:ascii="Times New Roman" w:hAnsi="Times New Roman"/>
                <w:bCs/>
                <w:kern w:val="0"/>
                <w:sz w:val="24"/>
                <w:szCs w:val="24"/>
                <w:lang w:eastAsia="zh-CN"/>
              </w:rPr>
              <w:t>、</w:t>
            </w:r>
            <w:r>
              <w:rPr>
                <w:rFonts w:hint="eastAsia" w:ascii="Times New Roman" w:hAnsi="Times New Roman"/>
                <w:bCs/>
                <w:kern w:val="0"/>
                <w:sz w:val="24"/>
                <w:szCs w:val="24"/>
                <w:lang w:val="en-US" w:eastAsia="zh-CN"/>
              </w:rPr>
              <w:t>拆包废气</w:t>
            </w:r>
            <w:r>
              <w:rPr>
                <w:rFonts w:hint="eastAsia" w:ascii="Times New Roman" w:hAnsi="Times New Roman"/>
                <w:bCs/>
                <w:kern w:val="0"/>
                <w:sz w:val="24"/>
                <w:szCs w:val="24"/>
              </w:rPr>
              <w:t>无组织排放；废无尘布（S</w:t>
            </w:r>
            <w:r>
              <w:rPr>
                <w:rFonts w:hint="eastAsia" w:ascii="Times New Roman" w:hAnsi="Times New Roman"/>
                <w:bCs/>
                <w:kern w:val="0"/>
                <w:sz w:val="24"/>
                <w:szCs w:val="24"/>
                <w:vertAlign w:val="subscript"/>
              </w:rPr>
              <w:t>1</w:t>
            </w:r>
            <w:r>
              <w:rPr>
                <w:rFonts w:hint="eastAsia" w:ascii="Times New Roman" w:hAnsi="Times New Roman"/>
                <w:bCs/>
                <w:kern w:val="0"/>
                <w:sz w:val="24"/>
                <w:szCs w:val="24"/>
              </w:rPr>
              <w:t>）暂存于危险废物暂存间，委托有资质单位处理。</w:t>
            </w:r>
          </w:p>
          <w:p w14:paraId="342816C0">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2、</w:t>
            </w:r>
            <w:r>
              <w:rPr>
                <w:rFonts w:hint="eastAsia" w:ascii="Times New Roman" w:hAnsi="Times New Roman" w:cs="Times New Roman"/>
                <w:b/>
                <w:bCs/>
                <w:kern w:val="0"/>
                <w:sz w:val="24"/>
                <w:szCs w:val="24"/>
              </w:rPr>
              <w:t>干燥</w:t>
            </w:r>
            <w:r>
              <w:rPr>
                <w:rFonts w:hint="default" w:ascii="Times New Roman" w:hAnsi="Times New Roman" w:cs="Times New Roman"/>
                <w:b/>
                <w:bCs/>
                <w:kern w:val="0"/>
                <w:sz w:val="24"/>
                <w:szCs w:val="24"/>
              </w:rPr>
              <w:t>：</w:t>
            </w:r>
            <w:r>
              <w:rPr>
                <w:rFonts w:hint="eastAsia" w:ascii="Times New Roman" w:hAnsi="Times New Roman" w:cs="Times New Roman"/>
                <w:kern w:val="0"/>
                <w:sz w:val="24"/>
                <w:szCs w:val="24"/>
              </w:rPr>
              <w:t>车间内安装有</w:t>
            </w:r>
            <w:r>
              <w:rPr>
                <w:rFonts w:hint="eastAsia" w:ascii="Times New Roman" w:hAnsi="Times New Roman" w:cs="Times New Roman"/>
                <w:kern w:val="0"/>
                <w:sz w:val="24"/>
                <w:szCs w:val="24"/>
                <w:lang w:val="en-US" w:eastAsia="zh-CN"/>
              </w:rPr>
              <w:t>除湿机、</w:t>
            </w:r>
            <w:r>
              <w:rPr>
                <w:rFonts w:hint="eastAsia" w:ascii="Times New Roman" w:hAnsi="Times New Roman" w:cs="Times New Roman"/>
                <w:kern w:val="0"/>
                <w:sz w:val="24"/>
                <w:szCs w:val="24"/>
              </w:rPr>
              <w:t>冷冻式干燥机和吸附式干燥机，保持车间温度的恒定，同时使原料表面干燥。</w:t>
            </w:r>
          </w:p>
          <w:p w14:paraId="7B2669BF">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kern w:val="0"/>
                <w:sz w:val="24"/>
                <w:szCs w:val="24"/>
              </w:rPr>
            </w:pPr>
            <w:r>
              <w:rPr>
                <w:rFonts w:hint="default" w:ascii="Times New Roman" w:hAnsi="Times New Roman" w:cs="Times New Roman"/>
                <w:b/>
                <w:bCs/>
                <w:kern w:val="0"/>
                <w:sz w:val="24"/>
                <w:szCs w:val="24"/>
              </w:rPr>
              <w:t>产排污环节分析及治</w:t>
            </w:r>
            <w:r>
              <w:rPr>
                <w:rFonts w:hint="eastAsia" w:ascii="Times New Roman" w:hAnsi="Times New Roman"/>
                <w:b/>
                <w:bCs/>
                <w:kern w:val="0"/>
                <w:sz w:val="24"/>
                <w:szCs w:val="24"/>
              </w:rPr>
              <w:t>理措施：</w:t>
            </w:r>
            <w:r>
              <w:rPr>
                <w:rFonts w:hint="eastAsia" w:ascii="Times New Roman" w:hAnsi="Times New Roman"/>
                <w:bCs/>
                <w:kern w:val="0"/>
                <w:sz w:val="24"/>
                <w:szCs w:val="24"/>
              </w:rPr>
              <w:t>本工序无污染物产生</w:t>
            </w:r>
            <w:r>
              <w:rPr>
                <w:rFonts w:hint="eastAsia" w:ascii="Times New Roman" w:hAnsi="Times New Roman"/>
                <w:kern w:val="0"/>
                <w:sz w:val="24"/>
                <w:szCs w:val="24"/>
              </w:rPr>
              <w:t>。</w:t>
            </w:r>
          </w:p>
          <w:p w14:paraId="45D7A21B">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kern w:val="0"/>
                <w:sz w:val="24"/>
                <w:szCs w:val="24"/>
              </w:rPr>
            </w:pPr>
            <w:r>
              <w:rPr>
                <w:rFonts w:hint="eastAsia" w:ascii="Times New Roman" w:hAnsi="Times New Roman"/>
                <w:b/>
                <w:bCs/>
                <w:kern w:val="0"/>
                <w:sz w:val="24"/>
                <w:szCs w:val="24"/>
              </w:rPr>
              <w:t>3、内包装：</w:t>
            </w:r>
            <w:r>
              <w:rPr>
                <w:rFonts w:hint="eastAsia" w:ascii="Times New Roman" w:hAnsi="Times New Roman"/>
                <w:kern w:val="0"/>
                <w:sz w:val="24"/>
                <w:szCs w:val="24"/>
              </w:rPr>
              <w:t>将称重、干燥好的原料通过自动包装机纸包装，包装所用辅料为已灭菌包装纸。包装纸包装完成后再采用聚乙烯袋或聚乙烯瓶包装，包装完成后校对、粘贴标签后进入外包装工序。</w:t>
            </w:r>
          </w:p>
          <w:p w14:paraId="53CE3482">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kern w:val="0"/>
                <w:sz w:val="24"/>
                <w:szCs w:val="24"/>
              </w:rPr>
            </w:pPr>
            <w:r>
              <w:rPr>
                <w:rFonts w:hint="eastAsia" w:ascii="Times New Roman" w:hAnsi="Times New Roman"/>
                <w:b/>
                <w:kern w:val="0"/>
                <w:sz w:val="24"/>
                <w:szCs w:val="24"/>
              </w:rPr>
              <w:t>产排污环节分析</w:t>
            </w:r>
            <w:r>
              <w:rPr>
                <w:rFonts w:hint="eastAsia" w:ascii="Times New Roman" w:hAnsi="Times New Roman"/>
                <w:b/>
                <w:bCs/>
                <w:kern w:val="0"/>
                <w:sz w:val="24"/>
                <w:szCs w:val="24"/>
              </w:rPr>
              <w:t>及治理措施：</w:t>
            </w:r>
            <w:r>
              <w:rPr>
                <w:rFonts w:hint="eastAsia" w:ascii="Times New Roman" w:hAnsi="Times New Roman"/>
                <w:bCs/>
                <w:kern w:val="0"/>
                <w:sz w:val="24"/>
                <w:szCs w:val="24"/>
              </w:rPr>
              <w:t>本工序</w:t>
            </w:r>
            <w:r>
              <w:rPr>
                <w:rFonts w:hint="eastAsia" w:ascii="Times New Roman" w:hAnsi="Times New Roman"/>
                <w:bCs/>
                <w:kern w:val="0"/>
                <w:sz w:val="24"/>
                <w:szCs w:val="24"/>
                <w:lang w:val="en-US" w:eastAsia="zh-CN"/>
              </w:rPr>
              <w:t>活性炭包装过程产生包装废气（</w:t>
            </w:r>
            <w:r>
              <w:rPr>
                <w:rFonts w:hint="eastAsia" w:ascii="Times New Roman" w:hAnsi="Times New Roman"/>
                <w:bCs/>
                <w:kern w:val="0"/>
                <w:sz w:val="24"/>
                <w:szCs w:val="24"/>
              </w:rPr>
              <w:t>G</w:t>
            </w:r>
            <w:r>
              <w:rPr>
                <w:rFonts w:hint="eastAsia" w:ascii="Times New Roman" w:hAnsi="Times New Roman"/>
                <w:bCs/>
                <w:kern w:val="0"/>
                <w:sz w:val="24"/>
                <w:szCs w:val="24"/>
                <w:vertAlign w:val="subscript"/>
                <w:lang w:val="en-US" w:eastAsia="zh-CN"/>
              </w:rPr>
              <w:t>3</w:t>
            </w:r>
            <w:r>
              <w:rPr>
                <w:rFonts w:hint="eastAsia" w:ascii="Times New Roman" w:hAnsi="Times New Roman"/>
                <w:bCs/>
                <w:kern w:val="0"/>
                <w:sz w:val="24"/>
                <w:szCs w:val="24"/>
                <w:lang w:val="en-US" w:eastAsia="zh-CN"/>
              </w:rPr>
              <w:t>）。包装废气无组织排放</w:t>
            </w:r>
            <w:r>
              <w:rPr>
                <w:rFonts w:hint="eastAsia" w:ascii="Times New Roman" w:hAnsi="Times New Roman"/>
                <w:kern w:val="0"/>
                <w:sz w:val="24"/>
                <w:szCs w:val="24"/>
              </w:rPr>
              <w:t>。</w:t>
            </w:r>
          </w:p>
          <w:p w14:paraId="4E2E1D25">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kern w:val="0"/>
                <w:sz w:val="24"/>
                <w:szCs w:val="24"/>
              </w:rPr>
            </w:pPr>
            <w:r>
              <w:rPr>
                <w:rFonts w:hint="eastAsia" w:ascii="Times New Roman" w:hAnsi="Times New Roman"/>
                <w:b/>
                <w:bCs/>
                <w:kern w:val="0"/>
                <w:sz w:val="24"/>
                <w:szCs w:val="24"/>
              </w:rPr>
              <w:t>4、外包装、检验</w:t>
            </w:r>
            <w:r>
              <w:rPr>
                <w:rFonts w:hint="default" w:ascii="Times New Roman" w:hAnsi="Times New Roman"/>
                <w:b/>
                <w:bCs/>
                <w:kern w:val="0"/>
                <w:sz w:val="24"/>
                <w:szCs w:val="24"/>
              </w:rPr>
              <w:t>：</w:t>
            </w:r>
            <w:r>
              <w:rPr>
                <w:rFonts w:hint="eastAsia" w:ascii="Times New Roman" w:hAnsi="Times New Roman"/>
                <w:kern w:val="0"/>
                <w:sz w:val="24"/>
                <w:szCs w:val="24"/>
              </w:rPr>
              <w:t>将完成内包装的产品使用包装箱打包，对其进行抽样，送去</w:t>
            </w:r>
            <w:r>
              <w:rPr>
                <w:rFonts w:hint="eastAsia" w:ascii="Times New Roman" w:hAnsi="Times New Roman"/>
                <w:kern w:val="0"/>
                <w:sz w:val="24"/>
                <w:szCs w:val="24"/>
                <w:lang w:eastAsia="zh-CN"/>
              </w:rPr>
              <w:t>质检室</w:t>
            </w:r>
            <w:r>
              <w:rPr>
                <w:rFonts w:hint="eastAsia" w:ascii="Times New Roman" w:hAnsi="Times New Roman"/>
                <w:kern w:val="0"/>
                <w:sz w:val="24"/>
                <w:szCs w:val="24"/>
              </w:rPr>
              <w:t>检验，检验合格后入库外售。</w:t>
            </w:r>
          </w:p>
          <w:p w14:paraId="65E2B25A">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kern w:val="0"/>
                <w:sz w:val="24"/>
                <w:szCs w:val="24"/>
              </w:rPr>
            </w:pPr>
            <w:r>
              <w:rPr>
                <w:rFonts w:hint="eastAsia" w:ascii="Times New Roman" w:hAnsi="Times New Roman"/>
                <w:b/>
                <w:kern w:val="0"/>
                <w:sz w:val="24"/>
                <w:szCs w:val="24"/>
              </w:rPr>
              <w:t>产排污环节分析</w:t>
            </w:r>
            <w:r>
              <w:rPr>
                <w:rFonts w:hint="eastAsia" w:ascii="Times New Roman" w:hAnsi="Times New Roman"/>
                <w:b/>
                <w:bCs/>
                <w:kern w:val="0"/>
                <w:sz w:val="24"/>
                <w:szCs w:val="24"/>
              </w:rPr>
              <w:t>及治理措施：</w:t>
            </w:r>
            <w:r>
              <w:rPr>
                <w:rFonts w:hint="eastAsia" w:ascii="Times New Roman" w:hAnsi="Times New Roman"/>
                <w:kern w:val="0"/>
                <w:sz w:val="24"/>
                <w:szCs w:val="24"/>
              </w:rPr>
              <w:t>本项目</w:t>
            </w:r>
            <w:r>
              <w:rPr>
                <w:rFonts w:hint="eastAsia" w:ascii="Times New Roman" w:hAnsi="Times New Roman"/>
                <w:kern w:val="0"/>
                <w:sz w:val="24"/>
                <w:szCs w:val="24"/>
                <w:lang w:eastAsia="zh-CN"/>
              </w:rPr>
              <w:t>质检室</w:t>
            </w:r>
            <w:r>
              <w:rPr>
                <w:rFonts w:hint="eastAsia" w:ascii="Times New Roman" w:hAnsi="Times New Roman"/>
                <w:kern w:val="0"/>
                <w:sz w:val="24"/>
                <w:szCs w:val="24"/>
              </w:rPr>
              <w:t>检验存在产污环节，具体产污情况见</w:t>
            </w:r>
            <w:r>
              <w:rPr>
                <w:rFonts w:hint="eastAsia" w:ascii="Times New Roman" w:hAnsi="Times New Roman"/>
                <w:kern w:val="0"/>
                <w:sz w:val="24"/>
                <w:szCs w:val="24"/>
                <w:lang w:eastAsia="zh-CN"/>
              </w:rPr>
              <w:t>质检室</w:t>
            </w:r>
            <w:r>
              <w:rPr>
                <w:rFonts w:hint="eastAsia" w:ascii="Times New Roman" w:hAnsi="Times New Roman"/>
                <w:kern w:val="0"/>
                <w:sz w:val="24"/>
                <w:szCs w:val="24"/>
              </w:rPr>
              <w:t>检验工艺流程分析。</w:t>
            </w:r>
          </w:p>
          <w:p w14:paraId="34C284E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bCs/>
                <w:kern w:val="0"/>
                <w:sz w:val="24"/>
                <w:szCs w:val="24"/>
              </w:rPr>
            </w:pPr>
            <w:r>
              <w:rPr>
                <w:rFonts w:hint="default" w:ascii="Times New Roman" w:hAnsi="黑体" w:eastAsia="黑体"/>
                <w:bCs/>
                <w:kern w:val="0"/>
                <w:sz w:val="24"/>
                <w:szCs w:val="24"/>
              </w:rPr>
              <w:t>表</w:t>
            </w:r>
            <w:r>
              <w:rPr>
                <w:rFonts w:hint="eastAsia" w:ascii="Times New Roman" w:hAnsi="黑体" w:eastAsia="黑体"/>
                <w:bCs/>
                <w:kern w:val="0"/>
                <w:sz w:val="24"/>
                <w:szCs w:val="24"/>
              </w:rPr>
              <w:t>2-</w:t>
            </w:r>
            <w:r>
              <w:rPr>
                <w:rFonts w:hint="eastAsia" w:ascii="Times New Roman" w:hAnsi="黑体" w:eastAsia="黑体"/>
                <w:bCs/>
                <w:kern w:val="0"/>
                <w:sz w:val="24"/>
                <w:szCs w:val="24"/>
                <w:lang w:val="en-US" w:eastAsia="zh-CN"/>
              </w:rPr>
              <w:t>9</w:t>
            </w:r>
            <w:r>
              <w:rPr>
                <w:rFonts w:hint="eastAsia" w:ascii="Times New Roman" w:hAnsi="黑体" w:eastAsia="黑体"/>
                <w:bCs/>
                <w:kern w:val="0"/>
                <w:sz w:val="24"/>
                <w:szCs w:val="24"/>
              </w:rPr>
              <w:t xml:space="preserve">  </w:t>
            </w:r>
            <w:r>
              <w:rPr>
                <w:rFonts w:hint="eastAsia" w:ascii="Times New Roman" w:hAnsi="Times New Roman" w:eastAsia="黑体"/>
                <w:bCs/>
                <w:kern w:val="0"/>
                <w:sz w:val="24"/>
                <w:szCs w:val="24"/>
              </w:rPr>
              <w:t>干燥剂生产线</w:t>
            </w:r>
            <w:r>
              <w:rPr>
                <w:rFonts w:hint="default" w:ascii="Times New Roman" w:hAnsi="黑体" w:eastAsia="黑体"/>
                <w:bCs/>
                <w:kern w:val="0"/>
                <w:sz w:val="24"/>
                <w:szCs w:val="24"/>
              </w:rPr>
              <w:t>生产过程产污环节统计表</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00"/>
              <w:gridCol w:w="1225"/>
              <w:gridCol w:w="1070"/>
              <w:gridCol w:w="1838"/>
              <w:gridCol w:w="3454"/>
            </w:tblGrid>
            <w:tr w14:paraId="741B78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6" w:type="pct"/>
                  <w:vAlign w:val="center"/>
                </w:tcPr>
                <w:p w14:paraId="73759F70">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eastAsia" w:ascii="Times New Roman" w:hAnsi="Times New Roman"/>
                      <w:b/>
                      <w:bCs/>
                      <w:kern w:val="0"/>
                      <w:szCs w:val="21"/>
                    </w:rPr>
                    <w:t>类别</w:t>
                  </w:r>
                </w:p>
              </w:tc>
              <w:tc>
                <w:tcPr>
                  <w:tcW w:w="730" w:type="pct"/>
                  <w:vAlign w:val="center"/>
                </w:tcPr>
                <w:p w14:paraId="4356B3F6">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eastAsia" w:ascii="Times New Roman" w:hAnsi="Times New Roman"/>
                      <w:b/>
                      <w:bCs/>
                      <w:kern w:val="0"/>
                      <w:szCs w:val="21"/>
                    </w:rPr>
                    <w:t>产污环节</w:t>
                  </w:r>
                </w:p>
              </w:tc>
              <w:tc>
                <w:tcPr>
                  <w:tcW w:w="637" w:type="pct"/>
                  <w:vAlign w:val="center"/>
                </w:tcPr>
                <w:p w14:paraId="741B705F">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eastAsia" w:ascii="Times New Roman" w:hAnsi="Times New Roman"/>
                      <w:b/>
                      <w:bCs/>
                      <w:kern w:val="0"/>
                      <w:szCs w:val="21"/>
                    </w:rPr>
                    <w:t>污染源</w:t>
                  </w:r>
                </w:p>
              </w:tc>
              <w:tc>
                <w:tcPr>
                  <w:tcW w:w="1095" w:type="pct"/>
                  <w:vAlign w:val="center"/>
                </w:tcPr>
                <w:p w14:paraId="1B1456D1">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eastAsia" w:ascii="Times New Roman" w:hAnsi="Times New Roman"/>
                      <w:b/>
                      <w:bCs/>
                      <w:kern w:val="0"/>
                      <w:szCs w:val="21"/>
                    </w:rPr>
                    <w:t>主要污染物名称</w:t>
                  </w:r>
                </w:p>
              </w:tc>
              <w:tc>
                <w:tcPr>
                  <w:tcW w:w="2059" w:type="pct"/>
                  <w:vAlign w:val="center"/>
                </w:tcPr>
                <w:p w14:paraId="7A8B2734">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eastAsia" w:ascii="Times New Roman" w:hAnsi="Times New Roman"/>
                      <w:b/>
                      <w:bCs/>
                      <w:kern w:val="0"/>
                      <w:szCs w:val="21"/>
                    </w:rPr>
                    <w:t>收集方式及治理措施</w:t>
                  </w:r>
                </w:p>
              </w:tc>
            </w:tr>
            <w:tr w14:paraId="2B6E53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476" w:type="pct"/>
                  <w:vMerge w:val="restart"/>
                  <w:vAlign w:val="center"/>
                </w:tcPr>
                <w:p w14:paraId="4A8FF2BF">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废气</w:t>
                  </w:r>
                </w:p>
              </w:tc>
              <w:tc>
                <w:tcPr>
                  <w:tcW w:w="730" w:type="pct"/>
                  <w:vMerge w:val="restart"/>
                  <w:vAlign w:val="center"/>
                </w:tcPr>
                <w:p w14:paraId="530651E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准备、称重</w:t>
                  </w:r>
                </w:p>
              </w:tc>
              <w:tc>
                <w:tcPr>
                  <w:tcW w:w="637" w:type="pct"/>
                  <w:tcBorders>
                    <w:bottom w:val="single" w:color="auto" w:sz="4" w:space="0"/>
                  </w:tcBorders>
                  <w:vAlign w:val="center"/>
                </w:tcPr>
                <w:p w14:paraId="3480ABD6">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擦拭废气（</w:t>
                  </w:r>
                  <w:r>
                    <w:rPr>
                      <w:rFonts w:hint="eastAsia" w:ascii="Times New Roman" w:hAnsi="Times New Roman"/>
                      <w:bCs/>
                      <w:kern w:val="0"/>
                      <w:szCs w:val="21"/>
                    </w:rPr>
                    <w:t>G</w:t>
                  </w:r>
                  <w:r>
                    <w:rPr>
                      <w:rFonts w:hint="eastAsia" w:ascii="Times New Roman" w:hAnsi="Times New Roman"/>
                      <w:bCs/>
                      <w:kern w:val="0"/>
                      <w:szCs w:val="21"/>
                      <w:vertAlign w:val="subscript"/>
                    </w:rPr>
                    <w:t>1</w:t>
                  </w:r>
                  <w:r>
                    <w:rPr>
                      <w:rFonts w:hint="default" w:ascii="Times New Roman" w:hAnsi="Times New Roman"/>
                      <w:bCs/>
                      <w:kern w:val="0"/>
                      <w:szCs w:val="21"/>
                    </w:rPr>
                    <w:t>）</w:t>
                  </w:r>
                </w:p>
              </w:tc>
              <w:tc>
                <w:tcPr>
                  <w:tcW w:w="1095" w:type="pct"/>
                  <w:tcBorders>
                    <w:bottom w:val="single" w:color="auto" w:sz="4" w:space="0"/>
                  </w:tcBorders>
                  <w:vAlign w:val="center"/>
                </w:tcPr>
                <w:p w14:paraId="3CC18EC6">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挥发性有机物</w:t>
                  </w:r>
                </w:p>
              </w:tc>
              <w:tc>
                <w:tcPr>
                  <w:tcW w:w="2059" w:type="pct"/>
                  <w:tcBorders>
                    <w:bottom w:val="single" w:color="auto" w:sz="4" w:space="0"/>
                  </w:tcBorders>
                  <w:vAlign w:val="center"/>
                </w:tcPr>
                <w:p w14:paraId="74F85878">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无组织排放</w:t>
                  </w:r>
                </w:p>
              </w:tc>
            </w:tr>
            <w:tr w14:paraId="03AAF7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476" w:type="pct"/>
                  <w:vMerge w:val="continue"/>
                  <w:vAlign w:val="center"/>
                </w:tcPr>
                <w:p w14:paraId="05A9C8A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p>
              </w:tc>
              <w:tc>
                <w:tcPr>
                  <w:tcW w:w="730" w:type="pct"/>
                  <w:vMerge w:val="continue"/>
                  <w:vAlign w:val="center"/>
                </w:tcPr>
                <w:p w14:paraId="0BE97485">
                  <w:pPr>
                    <w:keepNext w:val="0"/>
                    <w:keepLines w:val="0"/>
                    <w:widowControl/>
                    <w:suppressLineNumbers w:val="0"/>
                    <w:spacing w:before="0" w:beforeAutospacing="0" w:after="0" w:afterAutospacing="0" w:line="276" w:lineRule="auto"/>
                    <w:ind w:left="0" w:right="0"/>
                    <w:jc w:val="center"/>
                    <w:rPr>
                      <w:rFonts w:hint="eastAsia" w:ascii="Times New Roman" w:hAnsi="Times New Roman"/>
                      <w:bCs/>
                      <w:kern w:val="0"/>
                      <w:szCs w:val="21"/>
                    </w:rPr>
                  </w:pPr>
                </w:p>
              </w:tc>
              <w:tc>
                <w:tcPr>
                  <w:tcW w:w="637" w:type="pct"/>
                  <w:tcBorders>
                    <w:top w:val="single" w:color="auto" w:sz="4" w:space="0"/>
                  </w:tcBorders>
                  <w:vAlign w:val="center"/>
                </w:tcPr>
                <w:p w14:paraId="51424D11">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lang w:val="en-US" w:eastAsia="zh-CN"/>
                    </w:rPr>
                    <w:t>拆包</w:t>
                  </w:r>
                  <w:r>
                    <w:rPr>
                      <w:rFonts w:hint="default" w:ascii="Times New Roman" w:hAnsi="Times New Roman"/>
                      <w:bCs/>
                      <w:kern w:val="0"/>
                      <w:szCs w:val="21"/>
                    </w:rPr>
                    <w:t>废气（</w:t>
                  </w:r>
                  <w:r>
                    <w:rPr>
                      <w:rFonts w:hint="eastAsia" w:ascii="Times New Roman" w:hAnsi="Times New Roman"/>
                      <w:bCs/>
                      <w:kern w:val="0"/>
                      <w:szCs w:val="21"/>
                    </w:rPr>
                    <w:t>G</w:t>
                  </w:r>
                  <w:r>
                    <w:rPr>
                      <w:rFonts w:hint="eastAsia" w:ascii="Times New Roman" w:hAnsi="Times New Roman"/>
                      <w:bCs/>
                      <w:kern w:val="0"/>
                      <w:szCs w:val="21"/>
                      <w:vertAlign w:val="subscript"/>
                      <w:lang w:val="en-US" w:eastAsia="zh-CN"/>
                    </w:rPr>
                    <w:t>2</w:t>
                  </w:r>
                  <w:r>
                    <w:rPr>
                      <w:rFonts w:hint="default" w:ascii="Times New Roman" w:hAnsi="Times New Roman"/>
                      <w:bCs/>
                      <w:kern w:val="0"/>
                      <w:szCs w:val="21"/>
                    </w:rPr>
                    <w:t>）</w:t>
                  </w:r>
                </w:p>
              </w:tc>
              <w:tc>
                <w:tcPr>
                  <w:tcW w:w="1095" w:type="pct"/>
                  <w:tcBorders>
                    <w:top w:val="single" w:color="auto" w:sz="4" w:space="0"/>
                  </w:tcBorders>
                  <w:vAlign w:val="center"/>
                </w:tcPr>
                <w:p w14:paraId="6B7B5387">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Theme="minorEastAsia"/>
                      <w:bCs/>
                      <w:kern w:val="0"/>
                      <w:szCs w:val="21"/>
                      <w:lang w:val="en-US" w:eastAsia="zh-CN"/>
                    </w:rPr>
                  </w:pPr>
                  <w:r>
                    <w:rPr>
                      <w:rFonts w:hint="eastAsia" w:ascii="Times New Roman" w:hAnsi="Times New Roman"/>
                      <w:bCs/>
                      <w:kern w:val="0"/>
                      <w:szCs w:val="21"/>
                      <w:lang w:val="en-US" w:eastAsia="zh-CN"/>
                    </w:rPr>
                    <w:t>颗粒物</w:t>
                  </w:r>
                </w:p>
              </w:tc>
              <w:tc>
                <w:tcPr>
                  <w:tcW w:w="2059" w:type="pct"/>
                  <w:tcBorders>
                    <w:top w:val="single" w:color="auto" w:sz="4" w:space="0"/>
                  </w:tcBorders>
                  <w:vAlign w:val="center"/>
                </w:tcPr>
                <w:p w14:paraId="1AA20610">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heme="minorEastAsia"/>
                      <w:bCs/>
                      <w:kern w:val="0"/>
                      <w:szCs w:val="21"/>
                      <w:lang w:val="en-US" w:eastAsia="zh-CN"/>
                    </w:rPr>
                  </w:pPr>
                  <w:r>
                    <w:rPr>
                      <w:rFonts w:hint="eastAsia" w:ascii="Times New Roman" w:hAnsi="Times New Roman"/>
                      <w:bCs/>
                      <w:kern w:val="0"/>
                      <w:szCs w:val="21"/>
                      <w:lang w:val="en-US" w:eastAsia="zh-CN"/>
                    </w:rPr>
                    <w:t>无组织排放</w:t>
                  </w:r>
                </w:p>
              </w:tc>
            </w:tr>
            <w:tr w14:paraId="11F251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6" w:type="pct"/>
                  <w:vMerge w:val="continue"/>
                  <w:vAlign w:val="center"/>
                </w:tcPr>
                <w:p w14:paraId="0C17EEC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p>
              </w:tc>
              <w:tc>
                <w:tcPr>
                  <w:tcW w:w="730" w:type="pct"/>
                  <w:vAlign w:val="center"/>
                </w:tcPr>
                <w:p w14:paraId="217C7E45">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Theme="minorEastAsia"/>
                      <w:bCs/>
                      <w:kern w:val="0"/>
                      <w:szCs w:val="21"/>
                      <w:lang w:val="en-US" w:eastAsia="zh-CN"/>
                    </w:rPr>
                  </w:pPr>
                  <w:r>
                    <w:rPr>
                      <w:rFonts w:hint="eastAsia" w:ascii="Times New Roman" w:hAnsi="Times New Roman"/>
                      <w:bCs/>
                      <w:kern w:val="0"/>
                      <w:szCs w:val="21"/>
                      <w:lang w:val="en-US" w:eastAsia="zh-CN"/>
                    </w:rPr>
                    <w:t>内包装</w:t>
                  </w:r>
                </w:p>
              </w:tc>
              <w:tc>
                <w:tcPr>
                  <w:tcW w:w="637" w:type="pct"/>
                  <w:vAlign w:val="center"/>
                </w:tcPr>
                <w:p w14:paraId="41B184B3">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lang w:val="en-US" w:eastAsia="zh-CN"/>
                    </w:rPr>
                    <w:t>包装</w:t>
                  </w:r>
                  <w:r>
                    <w:rPr>
                      <w:rFonts w:hint="default" w:ascii="Times New Roman" w:hAnsi="Times New Roman"/>
                      <w:bCs/>
                      <w:kern w:val="0"/>
                      <w:szCs w:val="21"/>
                    </w:rPr>
                    <w:t>废气（</w:t>
                  </w:r>
                  <w:r>
                    <w:rPr>
                      <w:rFonts w:hint="eastAsia" w:ascii="Times New Roman" w:hAnsi="Times New Roman"/>
                      <w:bCs/>
                      <w:kern w:val="0"/>
                      <w:szCs w:val="21"/>
                    </w:rPr>
                    <w:t>G</w:t>
                  </w:r>
                  <w:r>
                    <w:rPr>
                      <w:rFonts w:hint="eastAsia" w:ascii="Times New Roman" w:hAnsi="Times New Roman"/>
                      <w:bCs/>
                      <w:kern w:val="0"/>
                      <w:szCs w:val="21"/>
                      <w:vertAlign w:val="subscript"/>
                      <w:lang w:val="en-US" w:eastAsia="zh-CN"/>
                    </w:rPr>
                    <w:t>3</w:t>
                  </w:r>
                  <w:r>
                    <w:rPr>
                      <w:rFonts w:hint="default" w:ascii="Times New Roman" w:hAnsi="Times New Roman"/>
                      <w:bCs/>
                      <w:kern w:val="0"/>
                      <w:szCs w:val="21"/>
                    </w:rPr>
                    <w:t>）</w:t>
                  </w:r>
                </w:p>
              </w:tc>
              <w:tc>
                <w:tcPr>
                  <w:tcW w:w="1095" w:type="pct"/>
                  <w:vAlign w:val="center"/>
                </w:tcPr>
                <w:p w14:paraId="012790B2">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lang w:val="en-US" w:eastAsia="zh-CN"/>
                    </w:rPr>
                    <w:t>颗粒物</w:t>
                  </w:r>
                </w:p>
              </w:tc>
              <w:tc>
                <w:tcPr>
                  <w:tcW w:w="2059" w:type="pct"/>
                  <w:vAlign w:val="center"/>
                </w:tcPr>
                <w:p w14:paraId="28575D18">
                  <w:pPr>
                    <w:keepNext w:val="0"/>
                    <w:keepLines w:val="0"/>
                    <w:widowControl/>
                    <w:suppressLineNumbers w:val="0"/>
                    <w:spacing w:before="0" w:beforeAutospacing="0" w:after="0" w:afterAutospacing="0" w:line="276" w:lineRule="auto"/>
                    <w:ind w:left="0" w:right="0"/>
                    <w:jc w:val="center"/>
                    <w:rPr>
                      <w:rFonts w:hint="eastAsia" w:ascii="Times New Roman" w:hAnsi="Times New Roman"/>
                      <w:bCs/>
                      <w:kern w:val="0"/>
                      <w:szCs w:val="21"/>
                    </w:rPr>
                  </w:pPr>
                  <w:r>
                    <w:rPr>
                      <w:rFonts w:hint="eastAsia" w:ascii="Times New Roman" w:hAnsi="Times New Roman"/>
                      <w:bCs/>
                      <w:kern w:val="0"/>
                      <w:szCs w:val="21"/>
                      <w:lang w:val="en-US" w:eastAsia="zh-CN"/>
                    </w:rPr>
                    <w:t>无组织排放</w:t>
                  </w:r>
                </w:p>
              </w:tc>
            </w:tr>
            <w:tr w14:paraId="3C090C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6" w:type="pct"/>
                  <w:vAlign w:val="center"/>
                </w:tcPr>
                <w:p w14:paraId="5C375AC1">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固废</w:t>
                  </w:r>
                </w:p>
              </w:tc>
              <w:tc>
                <w:tcPr>
                  <w:tcW w:w="730" w:type="pct"/>
                  <w:vAlign w:val="center"/>
                </w:tcPr>
                <w:p w14:paraId="2965CB6C">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准备、称重</w:t>
                  </w:r>
                </w:p>
              </w:tc>
              <w:tc>
                <w:tcPr>
                  <w:tcW w:w="637" w:type="pct"/>
                  <w:vAlign w:val="center"/>
                </w:tcPr>
                <w:p w14:paraId="0627243E">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废无尘布（S</w:t>
                  </w:r>
                  <w:r>
                    <w:rPr>
                      <w:rFonts w:hint="eastAsia" w:ascii="Times New Roman" w:hAnsi="Times New Roman"/>
                      <w:bCs/>
                      <w:kern w:val="0"/>
                      <w:szCs w:val="21"/>
                      <w:vertAlign w:val="subscript"/>
                    </w:rPr>
                    <w:t>1</w:t>
                  </w:r>
                  <w:r>
                    <w:rPr>
                      <w:rFonts w:hint="eastAsia" w:ascii="Times New Roman" w:hAnsi="Times New Roman"/>
                      <w:bCs/>
                      <w:kern w:val="0"/>
                      <w:szCs w:val="21"/>
                    </w:rPr>
                    <w:t>）</w:t>
                  </w:r>
                </w:p>
              </w:tc>
              <w:tc>
                <w:tcPr>
                  <w:tcW w:w="1095" w:type="pct"/>
                  <w:vAlign w:val="center"/>
                </w:tcPr>
                <w:p w14:paraId="4CD0BA41">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无尘布</w:t>
                  </w:r>
                </w:p>
              </w:tc>
              <w:tc>
                <w:tcPr>
                  <w:tcW w:w="2059" w:type="pct"/>
                  <w:vAlign w:val="center"/>
                </w:tcPr>
                <w:p w14:paraId="31787269">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收集后暂存</w:t>
                  </w:r>
                  <w:r>
                    <w:rPr>
                      <w:rFonts w:hint="eastAsia" w:ascii="Times New Roman" w:hAnsi="Times New Roman"/>
                      <w:bCs/>
                      <w:kern w:val="0"/>
                      <w:szCs w:val="21"/>
                    </w:rPr>
                    <w:t>于</w:t>
                  </w:r>
                  <w:r>
                    <w:rPr>
                      <w:rFonts w:hint="default" w:ascii="Times New Roman" w:hAnsi="Times New Roman"/>
                      <w:bCs/>
                      <w:kern w:val="0"/>
                      <w:szCs w:val="21"/>
                    </w:rPr>
                    <w:t>危险废物暂存间，委托有资质单位处置</w:t>
                  </w:r>
                </w:p>
              </w:tc>
            </w:tr>
          </w:tbl>
          <w:p w14:paraId="3F185F7B">
            <w:pPr>
              <w:keepNext w:val="0"/>
              <w:keepLines w:val="0"/>
              <w:widowControl/>
              <w:suppressLineNumbers w:val="0"/>
              <w:spacing w:before="0" w:beforeAutospacing="0" w:after="0" w:afterAutospacing="0" w:line="360" w:lineRule="auto"/>
              <w:ind w:left="0" w:right="0" w:firstLine="477" w:firstLineChars="199"/>
              <w:rPr>
                <w:rFonts w:hint="default"/>
              </w:rPr>
            </w:pPr>
            <w:r>
              <w:rPr>
                <w:rFonts w:hint="eastAsia" w:ascii="Times New Roman" w:hAnsi="Times New Roman" w:cs="Times New Roman"/>
                <w:sz w:val="24"/>
                <w:szCs w:val="28"/>
              </w:rPr>
              <w:t>（2）</w:t>
            </w:r>
            <w:r>
              <w:rPr>
                <w:rFonts w:hint="eastAsia" w:ascii="Times New Roman" w:hAnsi="Times New Roman" w:cs="Times New Roman"/>
                <w:sz w:val="24"/>
                <w:szCs w:val="28"/>
                <w:lang w:eastAsia="zh-CN"/>
              </w:rPr>
              <w:t>质检室</w:t>
            </w:r>
            <w:r>
              <w:rPr>
                <w:rFonts w:hint="eastAsia" w:ascii="Times New Roman" w:hAnsi="Times New Roman" w:cs="Times New Roman"/>
                <w:sz w:val="24"/>
                <w:szCs w:val="28"/>
              </w:rPr>
              <w:t>检验流程及产污节点图</w:t>
            </w:r>
          </w:p>
          <w:p w14:paraId="29659063">
            <w:pPr>
              <w:keepNext w:val="0"/>
              <w:keepLines w:val="0"/>
              <w:widowControl/>
              <w:suppressLineNumbers w:val="0"/>
              <w:spacing w:before="0" w:beforeAutospacing="0" w:after="0" w:afterAutospacing="0" w:line="360" w:lineRule="auto"/>
              <w:ind w:left="0" w:right="0"/>
              <w:jc w:val="center"/>
              <w:rPr>
                <w:rFonts w:hint="default" w:ascii="Times New Roman" w:hAnsi="黑体" w:eastAsia="黑体" w:cs="Times New Roman"/>
                <w:sz w:val="24"/>
                <w:szCs w:val="28"/>
              </w:rPr>
            </w:pPr>
            <w:r>
              <w:rPr>
                <w:rFonts w:hint="default" w:ascii="Times New Roman" w:cs="Times New Roman" w:hAnsiTheme="minorEastAsia"/>
                <w:sz w:val="24"/>
                <w:szCs w:val="24"/>
              </w:rPr>
              <mc:AlternateContent>
                <mc:Choice Requires="wpc">
                  <w:drawing>
                    <wp:inline distT="0" distB="0" distL="114300" distR="114300">
                      <wp:extent cx="4988560" cy="3648075"/>
                      <wp:effectExtent l="0" t="0" r="0" b="0"/>
                      <wp:docPr id="99" name="画布 14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自选图形 516"/>
                              <wps:cNvSpPr/>
                              <wps:spPr>
                                <a:xfrm>
                                  <a:off x="2107565" y="1106805"/>
                                  <a:ext cx="935990" cy="232410"/>
                                </a:xfrm>
                                <a:prstGeom prst="flowChartProcess">
                                  <a:avLst/>
                                </a:prstGeom>
                                <a:noFill/>
                                <a:ln w="6350" cap="flat" cmpd="sng">
                                  <a:solidFill>
                                    <a:srgbClr val="000000"/>
                                  </a:solidFill>
                                  <a:prstDash val="solid"/>
                                  <a:miter/>
                                  <a:headEnd type="none" w="med" len="med"/>
                                  <a:tailEnd type="none" w="med" len="med"/>
                                </a:ln>
                              </wps:spPr>
                              <wps:txbx>
                                <w:txbxContent>
                                  <w:p w14:paraId="3A3B2EAC">
                                    <w:pPr>
                                      <w:jc w:val="center"/>
                                      <w:rPr>
                                        <w:rFonts w:ascii="Times New Roman" w:hAnsi="Times New Roman" w:eastAsia="黑体" w:cs="Times New Roman"/>
                                        <w:bCs/>
                                        <w:sz w:val="18"/>
                                        <w:szCs w:val="18"/>
                                      </w:rPr>
                                    </w:pPr>
                                    <w:r>
                                      <w:rPr>
                                        <w:rFonts w:hint="eastAsia" w:ascii="Times New Roman" w:hAnsi="黑体" w:eastAsia="黑体" w:cs="Times New Roman"/>
                                        <w:bCs/>
                                        <w:sz w:val="18"/>
                                        <w:szCs w:val="18"/>
                                      </w:rPr>
                                      <w:t>样品前处理</w:t>
                                    </w:r>
                                  </w:p>
                                </w:txbxContent>
                              </wps:txbx>
                              <wps:bodyPr lIns="19440" tIns="9720" rIns="19440" bIns="9720" upright="1"/>
                            </wps:wsp>
                            <wps:wsp>
                              <wps:cNvPr id="71" name="自选图形 516"/>
                              <wps:cNvSpPr/>
                              <wps:spPr>
                                <a:xfrm>
                                  <a:off x="2107565" y="1536065"/>
                                  <a:ext cx="935990" cy="232410"/>
                                </a:xfrm>
                                <a:prstGeom prst="flowChartProcess">
                                  <a:avLst/>
                                </a:prstGeom>
                                <a:noFill/>
                                <a:ln w="6350" cap="flat" cmpd="sng">
                                  <a:solidFill>
                                    <a:srgbClr val="000000"/>
                                  </a:solidFill>
                                  <a:prstDash val="solid"/>
                                  <a:miter/>
                                  <a:headEnd type="none" w="med" len="med"/>
                                  <a:tailEnd type="none" w="med" len="med"/>
                                </a:ln>
                              </wps:spPr>
                              <wps:txbx>
                                <w:txbxContent>
                                  <w:p w14:paraId="6FA0052E">
                                    <w:pPr>
                                      <w:jc w:val="center"/>
                                      <w:rPr>
                                        <w:rFonts w:ascii="Times New Roman" w:hAnsi="Times New Roman" w:eastAsia="黑体" w:cs="Times New Roman"/>
                                        <w:bCs/>
                                        <w:sz w:val="18"/>
                                        <w:szCs w:val="18"/>
                                      </w:rPr>
                                    </w:pPr>
                                    <w:r>
                                      <w:rPr>
                                        <w:rFonts w:hint="eastAsia" w:ascii="Times New Roman" w:hAnsi="黑体" w:eastAsia="黑体" w:cs="Times New Roman"/>
                                        <w:bCs/>
                                        <w:sz w:val="18"/>
                                        <w:szCs w:val="18"/>
                                      </w:rPr>
                                      <w:t>培养、分析</w:t>
                                    </w:r>
                                  </w:p>
                                </w:txbxContent>
                              </wps:txbx>
                              <wps:bodyPr lIns="19440" tIns="9720" rIns="19440" bIns="9720" upright="1"/>
                            </wps:wsp>
                            <wps:wsp>
                              <wps:cNvPr id="72" name="自选图形 516"/>
                              <wps:cNvSpPr/>
                              <wps:spPr>
                                <a:xfrm>
                                  <a:off x="2107565" y="2816225"/>
                                  <a:ext cx="935990" cy="233045"/>
                                </a:xfrm>
                                <a:prstGeom prst="flowChartProcess">
                                  <a:avLst/>
                                </a:prstGeom>
                                <a:noFill/>
                                <a:ln w="6350" cap="flat" cmpd="sng">
                                  <a:solidFill>
                                    <a:srgbClr val="000000"/>
                                  </a:solidFill>
                                  <a:prstDash val="solid"/>
                                  <a:miter/>
                                  <a:headEnd type="none" w="med" len="med"/>
                                  <a:tailEnd type="none" w="med" len="med"/>
                                </a:ln>
                              </wps:spPr>
                              <wps:txbx>
                                <w:txbxContent>
                                  <w:p w14:paraId="404814BE">
                                    <w:pPr>
                                      <w:jc w:val="center"/>
                                      <w:rPr>
                                        <w:rFonts w:ascii="Times New Roman" w:hAnsi="Times New Roman" w:eastAsia="黑体" w:cs="Times New Roman"/>
                                        <w:bCs/>
                                        <w:sz w:val="18"/>
                                        <w:szCs w:val="18"/>
                                      </w:rPr>
                                    </w:pPr>
                                    <w:r>
                                      <w:rPr>
                                        <w:rFonts w:hint="eastAsia" w:ascii="Times New Roman" w:hAnsi="黑体" w:eastAsia="黑体" w:cs="Times New Roman"/>
                                        <w:bCs/>
                                        <w:sz w:val="18"/>
                                        <w:szCs w:val="18"/>
                                      </w:rPr>
                                      <w:t>数据处理</w:t>
                                    </w:r>
                                  </w:p>
                                </w:txbxContent>
                              </wps:txbx>
                              <wps:bodyPr lIns="19440" tIns="9720" rIns="19440" bIns="9720" upright="1"/>
                            </wps:wsp>
                            <wps:wsp>
                              <wps:cNvPr id="73" name="自选图形 516"/>
                              <wps:cNvSpPr/>
                              <wps:spPr>
                                <a:xfrm>
                                  <a:off x="2078990" y="1950085"/>
                                  <a:ext cx="969010" cy="234315"/>
                                </a:xfrm>
                                <a:prstGeom prst="flowChartProcess">
                                  <a:avLst/>
                                </a:prstGeom>
                                <a:noFill/>
                                <a:ln w="6350" cap="flat" cmpd="sng">
                                  <a:solidFill>
                                    <a:srgbClr val="000000"/>
                                  </a:solidFill>
                                  <a:prstDash val="solid"/>
                                  <a:miter/>
                                  <a:headEnd type="none" w="med" len="med"/>
                                  <a:tailEnd type="none" w="med" len="med"/>
                                </a:ln>
                              </wps:spPr>
                              <wps:txbx>
                                <w:txbxContent>
                                  <w:p w14:paraId="0D33ED1D">
                                    <w:pPr>
                                      <w:jc w:val="center"/>
                                      <w:rPr>
                                        <w:rFonts w:ascii="Times New Roman" w:hAnsi="黑体" w:eastAsia="黑体" w:cs="Times New Roman"/>
                                        <w:bCs/>
                                        <w:sz w:val="18"/>
                                        <w:szCs w:val="18"/>
                                      </w:rPr>
                                    </w:pPr>
                                    <w:r>
                                      <w:rPr>
                                        <w:rFonts w:hint="eastAsia" w:ascii="Times New Roman" w:hAnsi="黑体" w:eastAsia="黑体" w:cs="Times New Roman"/>
                                        <w:bCs/>
                                        <w:sz w:val="18"/>
                                        <w:szCs w:val="18"/>
                                      </w:rPr>
                                      <w:t>器皿前段清洗</w:t>
                                    </w:r>
                                  </w:p>
                                </w:txbxContent>
                              </wps:txbx>
                              <wps:bodyPr lIns="19440" tIns="9720" rIns="19440" bIns="9720" upright="1"/>
                            </wps:wsp>
                            <wps:wsp>
                              <wps:cNvPr id="74" name="自选图形 1467"/>
                              <wps:cNvCnPr/>
                              <wps:spPr>
                                <a:xfrm>
                                  <a:off x="2575560" y="1768475"/>
                                  <a:ext cx="635" cy="181610"/>
                                </a:xfrm>
                                <a:prstGeom prst="straightConnector1">
                                  <a:avLst/>
                                </a:prstGeom>
                                <a:ln w="6350" cap="flat" cmpd="sng">
                                  <a:solidFill>
                                    <a:srgbClr val="000000"/>
                                  </a:solidFill>
                                  <a:prstDash val="solid"/>
                                  <a:headEnd type="none" w="med" len="med"/>
                                  <a:tailEnd type="triangle" w="sm" len="med"/>
                                </a:ln>
                              </wps:spPr>
                              <wps:bodyPr/>
                            </wps:wsp>
                            <wps:wsp>
                              <wps:cNvPr id="75" name="自选图形 1468"/>
                              <wps:cNvCnPr/>
                              <wps:spPr>
                                <a:xfrm>
                                  <a:off x="2575560" y="2611120"/>
                                  <a:ext cx="635" cy="194945"/>
                                </a:xfrm>
                                <a:prstGeom prst="straightConnector1">
                                  <a:avLst/>
                                </a:prstGeom>
                                <a:ln w="6350" cap="flat" cmpd="sng">
                                  <a:solidFill>
                                    <a:srgbClr val="000000"/>
                                  </a:solidFill>
                                  <a:prstDash val="solid"/>
                                  <a:headEnd type="none" w="med" len="med"/>
                                  <a:tailEnd type="triangle" w="sm" len="med"/>
                                </a:ln>
                              </wps:spPr>
                              <wps:bodyPr/>
                            </wps:wsp>
                            <wps:wsp>
                              <wps:cNvPr id="76" name="自选图形 516"/>
                              <wps:cNvSpPr/>
                              <wps:spPr>
                                <a:xfrm>
                                  <a:off x="2107565" y="170815"/>
                                  <a:ext cx="935990" cy="232410"/>
                                </a:xfrm>
                                <a:prstGeom prst="flowChartProcess">
                                  <a:avLst/>
                                </a:prstGeom>
                                <a:noFill/>
                                <a:ln w="6350" cap="flat" cmpd="sng">
                                  <a:solidFill>
                                    <a:srgbClr val="000000"/>
                                  </a:solidFill>
                                  <a:prstDash val="solid"/>
                                  <a:miter/>
                                  <a:headEnd type="none" w="med" len="med"/>
                                  <a:tailEnd type="none" w="med" len="med"/>
                                </a:ln>
                              </wps:spPr>
                              <wps:txbx>
                                <w:txbxContent>
                                  <w:p w14:paraId="2CE6DC44">
                                    <w:pPr>
                                      <w:jc w:val="center"/>
                                      <w:rPr>
                                        <w:rFonts w:ascii="Times New Roman" w:hAnsi="Times New Roman" w:eastAsia="黑体" w:cs="Times New Roman"/>
                                        <w:bCs/>
                                        <w:sz w:val="18"/>
                                        <w:szCs w:val="18"/>
                                      </w:rPr>
                                    </w:pPr>
                                    <w:r>
                                      <w:rPr>
                                        <w:rFonts w:ascii="Times New Roman" w:hAnsi="黑体" w:eastAsia="黑体" w:cs="Times New Roman"/>
                                        <w:bCs/>
                                        <w:sz w:val="18"/>
                                        <w:szCs w:val="18"/>
                                      </w:rPr>
                                      <w:t>拟定方案</w:t>
                                    </w:r>
                                  </w:p>
                                </w:txbxContent>
                              </wps:txbx>
                              <wps:bodyPr lIns="19440" tIns="9720" rIns="19440" bIns="9720" upright="1"/>
                            </wps:wsp>
                            <wps:wsp>
                              <wps:cNvPr id="77" name="自选图形 1473"/>
                              <wps:cNvCnPr/>
                              <wps:spPr>
                                <a:xfrm>
                                  <a:off x="2575560" y="411480"/>
                                  <a:ext cx="635" cy="245110"/>
                                </a:xfrm>
                                <a:prstGeom prst="straightConnector1">
                                  <a:avLst/>
                                </a:prstGeom>
                                <a:ln w="6350" cap="flat" cmpd="sng">
                                  <a:solidFill>
                                    <a:srgbClr val="000000"/>
                                  </a:solidFill>
                                  <a:prstDash val="solid"/>
                                  <a:headEnd type="none" w="med" len="med"/>
                                  <a:tailEnd type="triangle" w="sm" len="med"/>
                                </a:ln>
                              </wps:spPr>
                              <wps:bodyPr/>
                            </wps:wsp>
                            <wps:wsp>
                              <wps:cNvPr id="78" name="自选图形 1474"/>
                              <wps:cNvCnPr/>
                              <wps:spPr>
                                <a:xfrm>
                                  <a:off x="2575560" y="1339215"/>
                                  <a:ext cx="635" cy="183515"/>
                                </a:xfrm>
                                <a:prstGeom prst="straightConnector1">
                                  <a:avLst/>
                                </a:prstGeom>
                                <a:ln w="6350" cap="flat" cmpd="sng">
                                  <a:solidFill>
                                    <a:srgbClr val="000000"/>
                                  </a:solidFill>
                                  <a:prstDash val="solid"/>
                                  <a:headEnd type="none" w="med" len="med"/>
                                  <a:tailEnd type="triangle" w="sm" len="med"/>
                                </a:ln>
                              </wps:spPr>
                              <wps:bodyPr/>
                            </wps:wsp>
                            <wps:wsp>
                              <wps:cNvPr id="79" name="自选图形 1475"/>
                              <wps:cNvCnPr/>
                              <wps:spPr>
                                <a:xfrm>
                                  <a:off x="2575560" y="906145"/>
                                  <a:ext cx="635" cy="184150"/>
                                </a:xfrm>
                                <a:prstGeom prst="straightConnector1">
                                  <a:avLst/>
                                </a:prstGeom>
                                <a:ln w="6350" cap="flat" cmpd="sng">
                                  <a:solidFill>
                                    <a:srgbClr val="000000"/>
                                  </a:solidFill>
                                  <a:prstDash val="solid"/>
                                  <a:headEnd type="none" w="med" len="med"/>
                                  <a:tailEnd type="triangle" w="sm" len="med"/>
                                </a:ln>
                              </wps:spPr>
                              <wps:bodyPr/>
                            </wps:wsp>
                            <wps:wsp>
                              <wps:cNvPr id="80" name="自选图形 516"/>
                              <wps:cNvSpPr/>
                              <wps:spPr>
                                <a:xfrm>
                                  <a:off x="1002030" y="1129030"/>
                                  <a:ext cx="892175" cy="232410"/>
                                </a:xfrm>
                                <a:prstGeom prst="flowChartProcess">
                                  <a:avLst/>
                                </a:prstGeom>
                                <a:noFill/>
                                <a:ln w="6350">
                                  <a:noFill/>
                                </a:ln>
                              </wps:spPr>
                              <wps:txbx>
                                <w:txbxContent>
                                  <w:p w14:paraId="4DB37051">
                                    <w:pPr>
                                      <w:jc w:val="center"/>
                                      <w:rPr>
                                        <w:rFonts w:hint="eastAsia" w:ascii="Times New Roman" w:hAnsi="Times New Roman" w:eastAsia="黑体" w:cs="Times New Roman"/>
                                        <w:bCs/>
                                        <w:sz w:val="18"/>
                                        <w:szCs w:val="18"/>
                                        <w:lang w:val="en-US" w:eastAsia="zh-CN"/>
                                      </w:rPr>
                                    </w:pPr>
                                    <w:r>
                                      <w:rPr>
                                        <w:rFonts w:hint="eastAsia" w:ascii="Times New Roman" w:hAnsi="黑体" w:eastAsia="黑体" w:cs="Times New Roman"/>
                                        <w:bCs/>
                                        <w:sz w:val="18"/>
                                        <w:szCs w:val="18"/>
                                        <w:lang w:val="en-US" w:eastAsia="zh-CN"/>
                                      </w:rPr>
                                      <w:t>纯净水</w:t>
                                    </w:r>
                                  </w:p>
                                </w:txbxContent>
                              </wps:txbx>
                              <wps:bodyPr lIns="19440" tIns="9720" rIns="19440" bIns="9720" upright="1"/>
                            </wps:wsp>
                            <wps:wsp>
                              <wps:cNvPr id="81" name="自选图形 516"/>
                              <wps:cNvSpPr/>
                              <wps:spPr>
                                <a:xfrm>
                                  <a:off x="2107565" y="3233420"/>
                                  <a:ext cx="935990" cy="232410"/>
                                </a:xfrm>
                                <a:prstGeom prst="flowChartProcess">
                                  <a:avLst/>
                                </a:prstGeom>
                                <a:noFill/>
                                <a:ln w="6350" cap="flat" cmpd="sng">
                                  <a:solidFill>
                                    <a:srgbClr val="000000"/>
                                  </a:solidFill>
                                  <a:prstDash val="solid"/>
                                  <a:miter/>
                                  <a:headEnd type="none" w="med" len="med"/>
                                  <a:tailEnd type="none" w="med" len="med"/>
                                </a:ln>
                              </wps:spPr>
                              <wps:txbx>
                                <w:txbxContent>
                                  <w:p w14:paraId="34F12D85">
                                    <w:pPr>
                                      <w:jc w:val="center"/>
                                      <w:rPr>
                                        <w:rFonts w:ascii="Times New Roman" w:hAnsi="Times New Roman" w:eastAsia="黑体" w:cs="Times New Roman"/>
                                        <w:bCs/>
                                        <w:sz w:val="18"/>
                                        <w:szCs w:val="18"/>
                                      </w:rPr>
                                    </w:pPr>
                                    <w:r>
                                      <w:rPr>
                                        <w:rFonts w:hint="eastAsia" w:ascii="Times New Roman" w:hAnsi="Times New Roman" w:eastAsia="黑体" w:cs="Times New Roman"/>
                                        <w:bCs/>
                                        <w:sz w:val="18"/>
                                        <w:szCs w:val="18"/>
                                      </w:rPr>
                                      <w:t>出具检验报告</w:t>
                                    </w:r>
                                  </w:p>
                                </w:txbxContent>
                              </wps:txbx>
                              <wps:bodyPr lIns="19440" tIns="9720" rIns="19440" bIns="9720" upright="1"/>
                            </wps:wsp>
                            <wps:wsp>
                              <wps:cNvPr id="82" name="自选图形 1480"/>
                              <wps:cNvCnPr/>
                              <wps:spPr>
                                <a:xfrm>
                                  <a:off x="2575560" y="3049270"/>
                                  <a:ext cx="635" cy="184150"/>
                                </a:xfrm>
                                <a:prstGeom prst="straightConnector1">
                                  <a:avLst/>
                                </a:prstGeom>
                                <a:ln w="6350" cap="flat" cmpd="sng">
                                  <a:solidFill>
                                    <a:srgbClr val="000000"/>
                                  </a:solidFill>
                                  <a:prstDash val="solid"/>
                                  <a:headEnd type="none" w="med" len="med"/>
                                  <a:tailEnd type="triangle" w="sm" len="med"/>
                                </a:ln>
                              </wps:spPr>
                              <wps:bodyPr/>
                            </wps:wsp>
                            <wps:wsp>
                              <wps:cNvPr id="83" name="文本框 1481"/>
                              <wps:cNvSpPr txBox="1"/>
                              <wps:spPr>
                                <a:xfrm>
                                  <a:off x="3235960" y="1863090"/>
                                  <a:ext cx="899795" cy="367665"/>
                                </a:xfrm>
                                <a:prstGeom prst="rect">
                                  <a:avLst/>
                                </a:prstGeom>
                                <a:solidFill>
                                  <a:srgbClr val="FDE9D9"/>
                                </a:solidFill>
                                <a:ln w="12700">
                                  <a:noFill/>
                                </a:ln>
                              </wps:spPr>
                              <wps:txbx>
                                <w:txbxContent>
                                  <w:p w14:paraId="754CDDD8">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lang w:val="en-US" w:eastAsia="zh-CN"/>
                                      </w:rPr>
                                      <w:t>5</w:t>
                                    </w:r>
                                    <w:r>
                                      <w:rPr>
                                        <w:rFonts w:ascii="Times New Roman" w:hAnsi="Times New Roman" w:eastAsia="黑体" w:cs="Times New Roman"/>
                                        <w:color w:val="FF0000"/>
                                        <w:sz w:val="18"/>
                                        <w:szCs w:val="18"/>
                                      </w:rPr>
                                      <w:t>：一次</w:t>
                                    </w:r>
                                    <w:r>
                                      <w:rPr>
                                        <w:rFonts w:hint="eastAsia" w:ascii="Times New Roman" w:hAnsi="Times New Roman" w:eastAsia="黑体" w:cs="Times New Roman"/>
                                        <w:color w:val="FF0000"/>
                                        <w:sz w:val="18"/>
                                        <w:szCs w:val="18"/>
                                      </w:rPr>
                                      <w:t>、</w:t>
                                    </w:r>
                                    <w:r>
                                      <w:rPr>
                                        <w:rFonts w:ascii="Times New Roman" w:hAnsi="Times New Roman" w:eastAsia="黑体" w:cs="Times New Roman"/>
                                        <w:color w:val="FF0000"/>
                                        <w:sz w:val="18"/>
                                        <w:szCs w:val="18"/>
                                      </w:rPr>
                                      <w:t>二次</w:t>
                                    </w:r>
                                    <w:r>
                                      <w:rPr>
                                        <w:rFonts w:hint="eastAsia" w:ascii="Times New Roman" w:hAnsi="Times New Roman" w:eastAsia="黑体" w:cs="Times New Roman"/>
                                        <w:color w:val="FF0000"/>
                                        <w:sz w:val="18"/>
                                        <w:szCs w:val="18"/>
                                      </w:rPr>
                                      <w:t>清洗废液</w:t>
                                    </w:r>
                                  </w:p>
                                </w:txbxContent>
                              </wps:txbx>
                              <wps:bodyPr lIns="10800" tIns="18000" rIns="10800" bIns="3600" anchor="ctr" anchorCtr="0" upright="1"/>
                            </wps:wsp>
                            <wps:wsp>
                              <wps:cNvPr id="84" name="自选图形 1482"/>
                              <wps:cNvCnPr/>
                              <wps:spPr>
                                <a:xfrm flipV="1">
                                  <a:off x="1736725" y="1234440"/>
                                  <a:ext cx="360045" cy="635"/>
                                </a:xfrm>
                                <a:prstGeom prst="straightConnector1">
                                  <a:avLst/>
                                </a:prstGeom>
                                <a:ln w="6350" cap="flat" cmpd="sng">
                                  <a:solidFill>
                                    <a:srgbClr val="000000"/>
                                  </a:solidFill>
                                  <a:prstDash val="solid"/>
                                  <a:headEnd type="none" w="med" len="med"/>
                                  <a:tailEnd type="triangle" w="sm" len="med"/>
                                </a:ln>
                              </wps:spPr>
                              <wps:bodyPr/>
                            </wps:wsp>
                            <wps:wsp>
                              <wps:cNvPr id="85" name="文本框 1486"/>
                              <wps:cNvSpPr txBox="1"/>
                              <wps:spPr>
                                <a:xfrm>
                                  <a:off x="3235960" y="1529715"/>
                                  <a:ext cx="900000" cy="212090"/>
                                </a:xfrm>
                                <a:prstGeom prst="rect">
                                  <a:avLst/>
                                </a:prstGeom>
                                <a:solidFill>
                                  <a:srgbClr val="FDE9D9"/>
                                </a:solidFill>
                                <a:ln w="12700">
                                  <a:noFill/>
                                </a:ln>
                              </wps:spPr>
                              <wps:txbx>
                                <w:txbxContent>
                                  <w:p w14:paraId="75426590">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lang w:val="en-US" w:eastAsia="zh-CN"/>
                                      </w:rPr>
                                      <w:t>4</w:t>
                                    </w:r>
                                    <w:r>
                                      <w:rPr>
                                        <w:rFonts w:ascii="Times New Roman" w:hAnsi="Times New Roman" w:eastAsia="黑体" w:cs="Times New Roman"/>
                                        <w:color w:val="FF0000"/>
                                        <w:sz w:val="18"/>
                                        <w:szCs w:val="18"/>
                                      </w:rPr>
                                      <w:t>：</w:t>
                                    </w:r>
                                    <w:r>
                                      <w:rPr>
                                        <w:rFonts w:hint="eastAsia" w:ascii="Times New Roman" w:hAnsi="Times New Roman" w:eastAsia="黑体" w:cs="Times New Roman"/>
                                        <w:color w:val="FF0000"/>
                                        <w:sz w:val="18"/>
                                        <w:szCs w:val="18"/>
                                      </w:rPr>
                                      <w:t>废培养</w:t>
                                    </w:r>
                                    <w:r>
                                      <w:rPr>
                                        <w:rFonts w:hint="eastAsia" w:ascii="Times New Roman" w:hAnsi="Times New Roman" w:eastAsia="黑体" w:cs="Times New Roman"/>
                                        <w:color w:val="FF0000"/>
                                        <w:sz w:val="18"/>
                                        <w:szCs w:val="18"/>
                                        <w:lang w:val="en-US" w:eastAsia="zh-CN"/>
                                      </w:rPr>
                                      <w:t>基</w:t>
                                    </w:r>
                                  </w:p>
                                </w:txbxContent>
                              </wps:txbx>
                              <wps:bodyPr lIns="10800" tIns="18000" rIns="10800" bIns="3600" anchor="ctr" anchorCtr="0" upright="1"/>
                            </wps:wsp>
                            <wps:wsp>
                              <wps:cNvPr id="86" name="自选图形 516"/>
                              <wps:cNvSpPr/>
                              <wps:spPr>
                                <a:xfrm>
                                  <a:off x="2107565" y="664210"/>
                                  <a:ext cx="935990" cy="232410"/>
                                </a:xfrm>
                                <a:prstGeom prst="flowChartProcess">
                                  <a:avLst/>
                                </a:prstGeom>
                                <a:noFill/>
                                <a:ln w="6350" cap="flat" cmpd="sng">
                                  <a:solidFill>
                                    <a:srgbClr val="000000"/>
                                  </a:solidFill>
                                  <a:prstDash val="solid"/>
                                  <a:miter/>
                                  <a:headEnd type="none" w="med" len="med"/>
                                  <a:tailEnd type="none" w="med" len="med"/>
                                </a:ln>
                              </wps:spPr>
                              <wps:txbx>
                                <w:txbxContent>
                                  <w:p w14:paraId="15578511">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取样</w:t>
                                    </w:r>
                                  </w:p>
                                </w:txbxContent>
                              </wps:txbx>
                              <wps:bodyPr lIns="19440" tIns="9720" rIns="19440" bIns="9720" upright="1"/>
                            </wps:wsp>
                            <wps:wsp>
                              <wps:cNvPr id="87" name="自选图形 1494"/>
                              <wps:cNvCnPr/>
                              <wps:spPr>
                                <a:xfrm>
                                  <a:off x="3056255" y="2067560"/>
                                  <a:ext cx="179705" cy="635"/>
                                </a:xfrm>
                                <a:prstGeom prst="straightConnector1">
                                  <a:avLst/>
                                </a:prstGeom>
                                <a:ln w="9525" cap="flat" cmpd="sng">
                                  <a:solidFill>
                                    <a:srgbClr val="FF0000"/>
                                  </a:solidFill>
                                  <a:prstDash val="dash"/>
                                  <a:headEnd type="none" w="med" len="med"/>
                                  <a:tailEnd type="triangle" w="sm" len="med"/>
                                </a:ln>
                              </wps:spPr>
                              <wps:bodyPr/>
                            </wps:wsp>
                            <wps:wsp>
                              <wps:cNvPr id="88" name="自选图形 1495"/>
                              <wps:cNvCnPr/>
                              <wps:spPr>
                                <a:xfrm>
                                  <a:off x="3057525" y="1644015"/>
                                  <a:ext cx="190500" cy="635"/>
                                </a:xfrm>
                                <a:prstGeom prst="straightConnector1">
                                  <a:avLst/>
                                </a:prstGeom>
                                <a:ln w="9525" cap="flat" cmpd="sng">
                                  <a:solidFill>
                                    <a:srgbClr val="FF0000"/>
                                  </a:solidFill>
                                  <a:prstDash val="dash"/>
                                  <a:headEnd type="none" w="med" len="med"/>
                                  <a:tailEnd type="triangle" w="sm" len="med"/>
                                </a:ln>
                              </wps:spPr>
                              <wps:bodyPr/>
                            </wps:wsp>
                            <wps:wsp>
                              <wps:cNvPr id="89" name="自选图形 1499"/>
                              <wps:cNvCnPr/>
                              <wps:spPr>
                                <a:xfrm>
                                  <a:off x="3062605" y="2474595"/>
                                  <a:ext cx="207010" cy="635"/>
                                </a:xfrm>
                                <a:prstGeom prst="straightConnector1">
                                  <a:avLst/>
                                </a:prstGeom>
                                <a:ln w="9525" cap="flat" cmpd="sng">
                                  <a:solidFill>
                                    <a:srgbClr val="0070C0"/>
                                  </a:solidFill>
                                  <a:prstDash val="dash"/>
                                  <a:headEnd type="none" w="med" len="med"/>
                                  <a:tailEnd type="triangle" w="sm" len="med"/>
                                </a:ln>
                              </wps:spPr>
                              <wps:bodyPr/>
                            </wps:wsp>
                            <wps:wsp>
                              <wps:cNvPr id="90" name="矩形 1500"/>
                              <wps:cNvSpPr/>
                              <wps:spPr>
                                <a:xfrm>
                                  <a:off x="3255010" y="2287905"/>
                                  <a:ext cx="899795" cy="389890"/>
                                </a:xfrm>
                                <a:prstGeom prst="rect">
                                  <a:avLst/>
                                </a:prstGeom>
                                <a:solidFill>
                                  <a:srgbClr val="548DD4">
                                    <a:alpha val="20000"/>
                                  </a:srgbClr>
                                </a:solidFill>
                                <a:ln>
                                  <a:noFill/>
                                </a:ln>
                              </wps:spPr>
                              <wps:txbx>
                                <w:txbxContent>
                                  <w:p w14:paraId="17ACB9BF">
                                    <w:pPr>
                                      <w:snapToGrid w:val="0"/>
                                      <w:jc w:val="center"/>
                                      <w:rPr>
                                        <w:rFonts w:ascii="Times New Roman" w:hAnsi="Times New Roman" w:eastAsia="黑体" w:cs="Times New Roman"/>
                                        <w:color w:val="0070C0"/>
                                        <w:sz w:val="18"/>
                                        <w:szCs w:val="18"/>
                                      </w:rPr>
                                    </w:pPr>
                                    <w:r>
                                      <w:rPr>
                                        <w:rFonts w:ascii="Times New Roman" w:hAnsi="Times New Roman" w:eastAsia="黑体" w:cs="Times New Roman"/>
                                        <w:color w:val="0070C0"/>
                                        <w:sz w:val="18"/>
                                        <w:szCs w:val="18"/>
                                      </w:rPr>
                                      <w:t>W</w:t>
                                    </w:r>
                                    <w:r>
                                      <w:rPr>
                                        <w:rFonts w:hint="eastAsia" w:ascii="Times New Roman" w:hAnsi="Times New Roman" w:eastAsia="黑体" w:cs="Times New Roman"/>
                                        <w:color w:val="0070C0"/>
                                        <w:sz w:val="18"/>
                                        <w:szCs w:val="18"/>
                                        <w:vertAlign w:val="subscript"/>
                                      </w:rPr>
                                      <w:t>1</w:t>
                                    </w:r>
                                    <w:r>
                                      <w:rPr>
                                        <w:rFonts w:hint="eastAsia" w:ascii="Times New Roman" w:hAnsi="Times New Roman" w:eastAsia="黑体" w:cs="Times New Roman"/>
                                        <w:color w:val="0070C0"/>
                                        <w:sz w:val="18"/>
                                        <w:szCs w:val="18"/>
                                      </w:rPr>
                                      <w:t>：后段清洗废水</w:t>
                                    </w:r>
                                  </w:p>
                                </w:txbxContent>
                              </wps:txbx>
                              <wps:bodyPr upright="1"/>
                            </wps:wsp>
                            <wps:wsp>
                              <wps:cNvPr id="91" name="自选图形 1501"/>
                              <wps:cNvCnPr/>
                              <wps:spPr>
                                <a:xfrm>
                                  <a:off x="3074035" y="751205"/>
                                  <a:ext cx="163195" cy="635"/>
                                </a:xfrm>
                                <a:prstGeom prst="straightConnector1">
                                  <a:avLst/>
                                </a:prstGeom>
                                <a:ln w="9525" cap="flat" cmpd="sng">
                                  <a:solidFill>
                                    <a:srgbClr val="FF0000"/>
                                  </a:solidFill>
                                  <a:prstDash val="dash"/>
                                  <a:headEnd type="none" w="med" len="med"/>
                                  <a:tailEnd type="triangle" w="sm" len="med"/>
                                </a:ln>
                              </wps:spPr>
                              <wps:bodyPr/>
                            </wps:wsp>
                            <wps:wsp>
                              <wps:cNvPr id="92" name="文本框 1502"/>
                              <wps:cNvSpPr txBox="1"/>
                              <wps:spPr>
                                <a:xfrm>
                                  <a:off x="3244850" y="645795"/>
                                  <a:ext cx="899795" cy="212090"/>
                                </a:xfrm>
                                <a:prstGeom prst="rect">
                                  <a:avLst/>
                                </a:prstGeom>
                                <a:solidFill>
                                  <a:srgbClr val="FDE9D9"/>
                                </a:solidFill>
                                <a:ln w="12700">
                                  <a:noFill/>
                                </a:ln>
                              </wps:spPr>
                              <wps:txbx>
                                <w:txbxContent>
                                  <w:p w14:paraId="6151685C">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rPr>
                                      <w:t>：</w:t>
                                    </w:r>
                                    <w:r>
                                      <w:rPr>
                                        <w:rFonts w:hint="eastAsia" w:ascii="Times New Roman" w:hAnsi="Times New Roman" w:eastAsia="黑体" w:cs="Times New Roman"/>
                                        <w:color w:val="FF0000"/>
                                        <w:sz w:val="18"/>
                                        <w:szCs w:val="18"/>
                                      </w:rPr>
                                      <w:t>废弃样品</w:t>
                                    </w:r>
                                  </w:p>
                                </w:txbxContent>
                              </wps:txbx>
                              <wps:bodyPr lIns="10800" tIns="18000" rIns="10800" bIns="3600" anchor="ctr" anchorCtr="0" upright="1"/>
                            </wps:wsp>
                            <wps:wsp>
                              <wps:cNvPr id="93" name="自选图形 516"/>
                              <wps:cNvSpPr/>
                              <wps:spPr>
                                <a:xfrm>
                                  <a:off x="2107565" y="2378075"/>
                                  <a:ext cx="935990" cy="233045"/>
                                </a:xfrm>
                                <a:prstGeom prst="flowChartProcess">
                                  <a:avLst/>
                                </a:prstGeom>
                                <a:noFill/>
                                <a:ln w="6350" cap="flat" cmpd="sng">
                                  <a:solidFill>
                                    <a:srgbClr val="000000"/>
                                  </a:solidFill>
                                  <a:prstDash val="solid"/>
                                  <a:miter/>
                                  <a:headEnd type="none" w="med" len="med"/>
                                  <a:tailEnd type="none" w="med" len="med"/>
                                </a:ln>
                              </wps:spPr>
                              <wps:txbx>
                                <w:txbxContent>
                                  <w:p w14:paraId="2B024E96">
                                    <w:pPr>
                                      <w:jc w:val="center"/>
                                      <w:rPr>
                                        <w:rFonts w:ascii="Times New Roman" w:hAnsi="Times New Roman" w:eastAsia="黑体" w:cs="Times New Roman"/>
                                        <w:bCs/>
                                        <w:sz w:val="18"/>
                                        <w:szCs w:val="18"/>
                                      </w:rPr>
                                    </w:pPr>
                                    <w:r>
                                      <w:rPr>
                                        <w:rFonts w:hint="eastAsia" w:ascii="Times New Roman" w:hAnsi="黑体" w:eastAsia="黑体" w:cs="Times New Roman"/>
                                        <w:bCs/>
                                        <w:sz w:val="18"/>
                                        <w:szCs w:val="18"/>
                                      </w:rPr>
                                      <w:t>器皿后段清洗</w:t>
                                    </w:r>
                                  </w:p>
                                </w:txbxContent>
                              </wps:txbx>
                              <wps:bodyPr lIns="19440" tIns="9720" rIns="19440" bIns="9720" upright="1"/>
                            </wps:wsp>
                            <wps:wsp>
                              <wps:cNvPr id="94" name="自选图形 1504"/>
                              <wps:cNvCnPr/>
                              <wps:spPr>
                                <a:xfrm>
                                  <a:off x="2575560" y="2182495"/>
                                  <a:ext cx="635" cy="194945"/>
                                </a:xfrm>
                                <a:prstGeom prst="straightConnector1">
                                  <a:avLst/>
                                </a:prstGeom>
                                <a:ln w="6350" cap="flat" cmpd="sng">
                                  <a:solidFill>
                                    <a:srgbClr val="000000"/>
                                  </a:solidFill>
                                  <a:prstDash val="solid"/>
                                  <a:headEnd type="none" w="med" len="med"/>
                                  <a:tailEnd type="triangle" w="sm" len="med"/>
                                </a:ln>
                              </wps:spPr>
                              <wps:bodyPr/>
                            </wps:wsp>
                            <wps:wsp>
                              <wps:cNvPr id="95" name="自选图形 516"/>
                              <wps:cNvSpPr/>
                              <wps:spPr>
                                <a:xfrm>
                                  <a:off x="1066800" y="1988185"/>
                                  <a:ext cx="739775" cy="232410"/>
                                </a:xfrm>
                                <a:prstGeom prst="flowChartProcess">
                                  <a:avLst/>
                                </a:prstGeom>
                                <a:noFill/>
                                <a:ln w="6350">
                                  <a:noFill/>
                                </a:ln>
                              </wps:spPr>
                              <wps:txbx>
                                <w:txbxContent>
                                  <w:p w14:paraId="4016BF32">
                                    <w:pPr>
                                      <w:jc w:val="center"/>
                                      <w:rPr>
                                        <w:rFonts w:ascii="Times New Roman" w:hAnsi="Times New Roman" w:eastAsia="黑体" w:cs="Times New Roman"/>
                                        <w:bCs/>
                                        <w:sz w:val="18"/>
                                        <w:szCs w:val="18"/>
                                      </w:rPr>
                                    </w:pPr>
                                    <w:r>
                                      <w:rPr>
                                        <w:rFonts w:hint="eastAsia" w:ascii="Times New Roman" w:hAnsi="黑体" w:eastAsia="黑体" w:cs="Times New Roman"/>
                                        <w:bCs/>
                                        <w:sz w:val="18"/>
                                        <w:szCs w:val="18"/>
                                      </w:rPr>
                                      <w:t>自来水</w:t>
                                    </w:r>
                                  </w:p>
                                </w:txbxContent>
                              </wps:txbx>
                              <wps:bodyPr lIns="19440" tIns="9720" rIns="19440" bIns="9720" upright="1"/>
                            </wps:wsp>
                            <wps:wsp>
                              <wps:cNvPr id="96" name="自选图形 1506"/>
                              <wps:cNvCnPr/>
                              <wps:spPr>
                                <a:xfrm flipV="1">
                                  <a:off x="1718945" y="2075180"/>
                                  <a:ext cx="360045" cy="635"/>
                                </a:xfrm>
                                <a:prstGeom prst="straightConnector1">
                                  <a:avLst/>
                                </a:prstGeom>
                                <a:ln w="6350" cap="flat" cmpd="sng">
                                  <a:solidFill>
                                    <a:srgbClr val="000000"/>
                                  </a:solidFill>
                                  <a:prstDash val="solid"/>
                                  <a:headEnd type="none" w="med" len="med"/>
                                  <a:tailEnd type="triangle" w="sm" len="med"/>
                                </a:ln>
                              </wps:spPr>
                              <wps:bodyPr/>
                            </wps:wsp>
                            <wps:wsp>
                              <wps:cNvPr id="97" name="自选图形 516"/>
                              <wps:cNvSpPr/>
                              <wps:spPr>
                                <a:xfrm>
                                  <a:off x="1085850" y="2388235"/>
                                  <a:ext cx="739775" cy="232410"/>
                                </a:xfrm>
                                <a:prstGeom prst="flowChartProcess">
                                  <a:avLst/>
                                </a:prstGeom>
                                <a:noFill/>
                                <a:ln w="6350">
                                  <a:noFill/>
                                </a:ln>
                              </wps:spPr>
                              <wps:txbx>
                                <w:txbxContent>
                                  <w:p w14:paraId="00129082">
                                    <w:pPr>
                                      <w:jc w:val="center"/>
                                      <w:rPr>
                                        <w:rFonts w:hint="eastAsia" w:ascii="Times New Roman" w:hAnsi="Times New Roman" w:eastAsia="黑体" w:cs="Times New Roman"/>
                                        <w:bCs/>
                                        <w:sz w:val="18"/>
                                        <w:szCs w:val="18"/>
                                        <w:lang w:val="en-US" w:eastAsia="zh-CN"/>
                                      </w:rPr>
                                    </w:pPr>
                                    <w:r>
                                      <w:rPr>
                                        <w:rFonts w:hint="eastAsia" w:ascii="Times New Roman" w:hAnsi="黑体" w:eastAsia="黑体" w:cs="Times New Roman"/>
                                        <w:bCs/>
                                        <w:sz w:val="18"/>
                                        <w:szCs w:val="18"/>
                                        <w:lang w:val="en-US" w:eastAsia="zh-CN"/>
                                      </w:rPr>
                                      <w:t>纯净水</w:t>
                                    </w:r>
                                  </w:p>
                                </w:txbxContent>
                              </wps:txbx>
                              <wps:bodyPr lIns="19440" tIns="9720" rIns="19440" bIns="9720" upright="1"/>
                            </wps:wsp>
                            <wps:wsp>
                              <wps:cNvPr id="98" name="自选图形 1508"/>
                              <wps:cNvCnPr/>
                              <wps:spPr>
                                <a:xfrm flipV="1">
                                  <a:off x="1737995" y="2475230"/>
                                  <a:ext cx="360045" cy="635"/>
                                </a:xfrm>
                                <a:prstGeom prst="straightConnector1">
                                  <a:avLst/>
                                </a:prstGeom>
                                <a:ln w="6350" cap="flat" cmpd="sng">
                                  <a:solidFill>
                                    <a:srgbClr val="000000"/>
                                  </a:solidFill>
                                  <a:prstDash val="solid"/>
                                  <a:headEnd type="none" w="med" len="med"/>
                                  <a:tailEnd type="triangle" w="sm" len="med"/>
                                </a:ln>
                              </wps:spPr>
                              <wps:bodyPr/>
                            </wps:wsp>
                            <wps:wsp>
                              <wps:cNvPr id="108" name="文本框 1486"/>
                              <wps:cNvSpPr txBox="1"/>
                              <wps:spPr>
                                <a:xfrm>
                                  <a:off x="3230245" y="1100455"/>
                                  <a:ext cx="899795" cy="212090"/>
                                </a:xfrm>
                                <a:prstGeom prst="rect">
                                  <a:avLst/>
                                </a:prstGeom>
                                <a:solidFill>
                                  <a:srgbClr val="FDE9D9"/>
                                </a:solidFill>
                                <a:ln w="12700">
                                  <a:noFill/>
                                </a:ln>
                              </wps:spPr>
                              <wps:txbx>
                                <w:txbxContent>
                                  <w:p w14:paraId="3E606CBF">
                                    <w:pPr>
                                      <w:snapToGrid w:val="0"/>
                                      <w:jc w:val="center"/>
                                      <w:rPr>
                                        <w:rFonts w:hint="eastAsia" w:ascii="Times New Roman" w:hAnsi="Times New Roman" w:eastAsia="黑体" w:cs="Times New Roman"/>
                                        <w:color w:val="FF0000"/>
                                        <w:sz w:val="18"/>
                                        <w:szCs w:val="18"/>
                                        <w:lang w:val="en-US" w:eastAsia="zh-CN"/>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rPr>
                                      <w:t>：</w:t>
                                    </w:r>
                                    <w:r>
                                      <w:rPr>
                                        <w:rFonts w:hint="eastAsia" w:ascii="Times New Roman" w:hAnsi="Times New Roman" w:eastAsia="黑体" w:cs="Times New Roman"/>
                                        <w:color w:val="FF0000"/>
                                        <w:sz w:val="18"/>
                                        <w:szCs w:val="18"/>
                                        <w:lang w:val="en-US" w:eastAsia="zh-CN"/>
                                      </w:rPr>
                                      <w:t>实验废液</w:t>
                                    </w:r>
                                  </w:p>
                                </w:txbxContent>
                              </wps:txbx>
                              <wps:bodyPr lIns="10800" tIns="18000" rIns="10800" bIns="3600" anchor="ctr" anchorCtr="0" upright="1"/>
                            </wps:wsp>
                            <wps:wsp>
                              <wps:cNvPr id="109" name="自选图形 1495"/>
                              <wps:cNvCnPr/>
                              <wps:spPr>
                                <a:xfrm>
                                  <a:off x="3051810" y="1214755"/>
                                  <a:ext cx="190500" cy="635"/>
                                </a:xfrm>
                                <a:prstGeom prst="straightConnector1">
                                  <a:avLst/>
                                </a:prstGeom>
                                <a:ln w="9525" cap="flat" cmpd="sng">
                                  <a:solidFill>
                                    <a:srgbClr val="FF0000"/>
                                  </a:solidFill>
                                  <a:prstDash val="dash"/>
                                  <a:headEnd type="none" w="med" len="med"/>
                                  <a:tailEnd type="triangle" w="sm" len="med"/>
                                </a:ln>
                              </wps:spPr>
                              <wps:bodyPr/>
                            </wps:wsp>
                          </wpc:wpc>
                        </a:graphicData>
                      </a:graphic>
                    </wp:inline>
                  </w:drawing>
                </mc:Choice>
                <mc:Fallback>
                  <w:pict>
                    <v:group id="画布 1459" o:spid="_x0000_s1026" o:spt="203" style="height:287.25pt;width:392.8pt;" coordsize="4988560,3648075" editas="canvas" o:gfxdata="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">
                      <o:lock v:ext="edit" aspectratio="f"/>
                      <v:shape id="画布 1459" o:spid="_x0000_s1026" style="position:absolute;left:0;top:0;height:3648075;width:4988560;" filled="f" stroked="f" coordsize="21600,21600" o:gfxdata="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Br/M5q1wAAAAUBAAAPAAAAAAAAAAEAIAAAACIAAABkcnMv&#10;ZG93bnJldi54bWxQSwECFAAUAAAACACHTuJA93kU8CMHAACuRAAADgAAAAAAAAABACAAAAAmAQAA&#10;ZHJzL2Uyb0RvYy54bWxQSwUGAAAAAAYABgBZAQAAuwoAAAAA&#10;">
                        <v:fill on="f" focussize="0,0"/>
                        <v:stroke on="f"/>
                        <v:imagedata o:title=""/>
                        <o:lock v:ext="edit" aspectratio="t"/>
                      </v:shape>
                      <v:shape id="自选图形 516" o:spid="_x0000_s1026" o:spt="109" type="#_x0000_t109" style="position:absolute;left:2107565;top:1106805;height:232410;width:935990;" filled="f" stroked="t" coordsize="21600,21600" o:gfxdata="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6FcojXAAAABQEAAA8AAAAAAAAAAQAgAAAAIgAAAGRycy9kb3ducmV2&#10;LnhtbFBLAQIUABQAAAAIAIdO4kCvXdLlNgIAAFIEAAAOAAAAAAAAAAEAIAAAACYBAABkcnMvZTJv&#10;RG9jLnhtbFBLBQYAAAAABgAGAFkBAADOBQAAAAA=&#10;">
                        <v:fill on="f" focussize="0,0"/>
                        <v:stroke weight="0.5pt" color="#000000" joinstyle="miter"/>
                        <v:imagedata o:title=""/>
                        <o:lock v:ext="edit" aspectratio="f"/>
                        <v:textbox inset="0.54mm,0.27mm,0.54mm,0.27mm">
                          <w:txbxContent>
                            <w:p w14:paraId="3A3B2EAC">
                              <w:pPr>
                                <w:jc w:val="center"/>
                                <w:rPr>
                                  <w:rFonts w:ascii="Times New Roman" w:hAnsi="Times New Roman" w:eastAsia="黑体" w:cs="Times New Roman"/>
                                  <w:bCs/>
                                  <w:sz w:val="18"/>
                                  <w:szCs w:val="18"/>
                                </w:rPr>
                              </w:pPr>
                              <w:r>
                                <w:rPr>
                                  <w:rFonts w:hint="eastAsia" w:ascii="Times New Roman" w:hAnsi="黑体" w:eastAsia="黑体" w:cs="Times New Roman"/>
                                  <w:bCs/>
                                  <w:sz w:val="18"/>
                                  <w:szCs w:val="18"/>
                                </w:rPr>
                                <w:t>样品前处理</w:t>
                              </w:r>
                            </w:p>
                          </w:txbxContent>
                        </v:textbox>
                      </v:shape>
                      <v:shape id="自选图形 516" o:spid="_x0000_s1026" o:spt="109" type="#_x0000_t109" style="position:absolute;left:2107565;top:1536065;height:232410;width:935990;" filled="f" stroked="t" coordsize="21600,21600" o:gfxdata="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oVyiNcAAAAFAQAADwAAAAAAAAABACAAAAAiAAAAZHJzL2Rvd25yZXYu&#10;eG1sUEsBAhQAFAAAAAgAh07iQM+apZ81AgAAUgQAAA4AAAAAAAAAAQAgAAAAJgEAAGRycy9lMm9E&#10;b2MueG1sUEsFBgAAAAAGAAYAWQEAAM0FAAAAAA==&#10;">
                        <v:fill on="f" focussize="0,0"/>
                        <v:stroke weight="0.5pt" color="#000000" joinstyle="miter"/>
                        <v:imagedata o:title=""/>
                        <o:lock v:ext="edit" aspectratio="f"/>
                        <v:textbox inset="0.54mm,0.27mm,0.54mm,0.27mm">
                          <w:txbxContent>
                            <w:p w14:paraId="6FA0052E">
                              <w:pPr>
                                <w:jc w:val="center"/>
                                <w:rPr>
                                  <w:rFonts w:ascii="Times New Roman" w:hAnsi="Times New Roman" w:eastAsia="黑体" w:cs="Times New Roman"/>
                                  <w:bCs/>
                                  <w:sz w:val="18"/>
                                  <w:szCs w:val="18"/>
                                </w:rPr>
                              </w:pPr>
                              <w:r>
                                <w:rPr>
                                  <w:rFonts w:hint="eastAsia" w:ascii="Times New Roman" w:hAnsi="黑体" w:eastAsia="黑体" w:cs="Times New Roman"/>
                                  <w:bCs/>
                                  <w:sz w:val="18"/>
                                  <w:szCs w:val="18"/>
                                </w:rPr>
                                <w:t>培养、分析</w:t>
                              </w:r>
                            </w:p>
                          </w:txbxContent>
                        </v:textbox>
                      </v:shape>
                      <v:shape id="自选图形 516" o:spid="_x0000_s1026" o:spt="109" type="#_x0000_t109" style="position:absolute;left:2107565;top:2816225;height:233045;width:935990;" filled="f" stroked="t" coordsize="21600,21600" o:gfxdata="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oVyiNcAAAAFAQAADwAAAAAAAAABACAAAAAiAAAAZHJzL2Rvd25yZXYu&#10;eG1sUEsBAhQAFAAAAAgAh07iQF10u501AgAAUgQAAA4AAAAAAAAAAQAgAAAAJgEAAGRycy9lMm9E&#10;b2MueG1sUEsFBgAAAAAGAAYAWQEAAM0FAAAAAA==&#10;">
                        <v:fill on="f" focussize="0,0"/>
                        <v:stroke weight="0.5pt" color="#000000" joinstyle="miter"/>
                        <v:imagedata o:title=""/>
                        <o:lock v:ext="edit" aspectratio="f"/>
                        <v:textbox inset="0.54mm,0.27mm,0.54mm,0.27mm">
                          <w:txbxContent>
                            <w:p w14:paraId="404814BE">
                              <w:pPr>
                                <w:jc w:val="center"/>
                                <w:rPr>
                                  <w:rFonts w:ascii="Times New Roman" w:hAnsi="Times New Roman" w:eastAsia="黑体" w:cs="Times New Roman"/>
                                  <w:bCs/>
                                  <w:sz w:val="18"/>
                                  <w:szCs w:val="18"/>
                                </w:rPr>
                              </w:pPr>
                              <w:r>
                                <w:rPr>
                                  <w:rFonts w:hint="eastAsia" w:ascii="Times New Roman" w:hAnsi="黑体" w:eastAsia="黑体" w:cs="Times New Roman"/>
                                  <w:bCs/>
                                  <w:sz w:val="18"/>
                                  <w:szCs w:val="18"/>
                                </w:rPr>
                                <w:t>数据处理</w:t>
                              </w:r>
                            </w:p>
                          </w:txbxContent>
                        </v:textbox>
                      </v:shape>
                      <v:shape id="自选图形 516" o:spid="_x0000_s1026" o:spt="109" type="#_x0000_t109" style="position:absolute;left:2078990;top:1950085;height:234315;width:969010;" filled="f" stroked="t" coordsize="21600,21600" o:gfxdata="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oVyiNcAAAAFAQAADwAAAAAAAAABACAAAAAiAAAAZHJzL2Rvd25yZXYu&#10;eG1sUEsBAhQAFAAAAAgAh07iQHIFT3s1AgAAUgQAAA4AAAAAAAAAAQAgAAAAJgEAAGRycy9lMm9E&#10;b2MueG1sUEsFBgAAAAAGAAYAWQEAAM0FAAAAAA==&#10;">
                        <v:fill on="f" focussize="0,0"/>
                        <v:stroke weight="0.5pt" color="#000000" joinstyle="miter"/>
                        <v:imagedata o:title=""/>
                        <o:lock v:ext="edit" aspectratio="f"/>
                        <v:textbox inset="0.54mm,0.27mm,0.54mm,0.27mm">
                          <w:txbxContent>
                            <w:p w14:paraId="0D33ED1D">
                              <w:pPr>
                                <w:jc w:val="center"/>
                                <w:rPr>
                                  <w:rFonts w:ascii="Times New Roman" w:hAnsi="黑体" w:eastAsia="黑体" w:cs="Times New Roman"/>
                                  <w:bCs/>
                                  <w:sz w:val="18"/>
                                  <w:szCs w:val="18"/>
                                </w:rPr>
                              </w:pPr>
                              <w:r>
                                <w:rPr>
                                  <w:rFonts w:hint="eastAsia" w:ascii="Times New Roman" w:hAnsi="黑体" w:eastAsia="黑体" w:cs="Times New Roman"/>
                                  <w:bCs/>
                                  <w:sz w:val="18"/>
                                  <w:szCs w:val="18"/>
                                </w:rPr>
                                <w:t>器皿前段清洗</w:t>
                              </w:r>
                            </w:p>
                          </w:txbxContent>
                        </v:textbox>
                      </v:shape>
                      <v:shape id="自选图形 1467" o:spid="_x0000_s1026" o:spt="32" type="#_x0000_t32" style="position:absolute;left:2575560;top:1768475;height:181610;width:635;" filled="f" stroked="t" coordsize="21600,21600" o:gfxdata="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TWCq1QAAAAUBAAAPAAAAAAAAAAEAIAAA&#10;ACIAAABkcnMvZG93bnJldi54bWxQSwECFAAUAAAACACHTuJAwHGutw8CAAD3AwAADgAAAAAAAAAB&#10;ACAAAAAkAQAAZHJzL2Uyb0RvYy54bWxQSwUGAAAAAAYABgBZAQAApQUAAAAA&#10;">
                        <v:fill on="f" focussize="0,0"/>
                        <v:stroke weight="0.5pt" color="#000000" joinstyle="round" endarrow="block" endarrowwidth="narrow"/>
                        <v:imagedata o:title=""/>
                        <o:lock v:ext="edit" aspectratio="f"/>
                      </v:shape>
                      <v:shape id="自选图形 1468" o:spid="_x0000_s1026" o:spt="32" type="#_x0000_t32" style="position:absolute;left:2575560;top:2611120;height:194945;width:635;" filled="f" stroked="t" coordsize="21600,21600" o:gfxdata="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TWCq1QAAAAUBAAAPAAAAAAAAAAEAIAAAACIA&#10;AABkcnMvZG93bnJldi54bWxQSwECFAAUAAAACACHTuJA89Y3IAwCAAD3AwAADgAAAAAAAAABACAA&#10;AAAkAQAAZHJzL2Uyb0RvYy54bWxQSwUGAAAAAAYABgBZAQAAogUAAAAA&#10;">
                        <v:fill on="f" focussize="0,0"/>
                        <v:stroke weight="0.5pt" color="#000000" joinstyle="round" endarrow="block" endarrowwidth="narrow"/>
                        <v:imagedata o:title=""/>
                        <o:lock v:ext="edit" aspectratio="f"/>
                      </v:shape>
                      <v:shape id="自选图形 516" o:spid="_x0000_s1026" o:spt="109" type="#_x0000_t109" style="position:absolute;left:2107565;top:170815;height:232410;width:935990;" filled="f" stroked="t" coordsize="21600,21600" o:gfxdata="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6FcojXAAAABQEAAA8AAAAAAAAAAQAgAAAAIgAAAGRycy9kb3ducmV2&#10;LnhtbFBLAQIUABQAAAAIAIdO4kBaZ/xFNgIAAFEEAAAOAAAAAAAAAAEAIAAAACYBAABkcnMvZTJv&#10;RG9jLnhtbFBLBQYAAAAABgAGAFkBAADOBQAAAAA=&#10;">
                        <v:fill on="f" focussize="0,0"/>
                        <v:stroke weight="0.5pt" color="#000000" joinstyle="miter"/>
                        <v:imagedata o:title=""/>
                        <o:lock v:ext="edit" aspectratio="f"/>
                        <v:textbox inset="0.54mm,0.27mm,0.54mm,0.27mm">
                          <w:txbxContent>
                            <w:p w14:paraId="2CE6DC44">
                              <w:pPr>
                                <w:jc w:val="center"/>
                                <w:rPr>
                                  <w:rFonts w:ascii="Times New Roman" w:hAnsi="Times New Roman" w:eastAsia="黑体" w:cs="Times New Roman"/>
                                  <w:bCs/>
                                  <w:sz w:val="18"/>
                                  <w:szCs w:val="18"/>
                                </w:rPr>
                              </w:pPr>
                              <w:r>
                                <w:rPr>
                                  <w:rFonts w:ascii="Times New Roman" w:hAnsi="黑体" w:eastAsia="黑体" w:cs="Times New Roman"/>
                                  <w:bCs/>
                                  <w:sz w:val="18"/>
                                  <w:szCs w:val="18"/>
                                </w:rPr>
                                <w:t>拟定方案</w:t>
                              </w:r>
                            </w:p>
                          </w:txbxContent>
                        </v:textbox>
                      </v:shape>
                      <v:shape id="自选图形 1473" o:spid="_x0000_s1026" o:spt="32" type="#_x0000_t32" style="position:absolute;left:2575560;top:411480;height:245110;width:635;" filled="f" stroked="t" coordsize="21600,21600" o:gfxdata="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NNYKrVAAAABQEAAA8AAAAAAAAAAQAgAAAA&#10;IgAAAGRycy9kb3ducmV2LnhtbFBLAQIUABQAAAAIAIdO4kCT/PsJDgIAAPYDAAAOAAAAAAAAAAEA&#10;IAAAACQBAABkcnMvZTJvRG9jLnhtbFBLBQYAAAAABgAGAFkBAACkBQAAAAA=&#10;">
                        <v:fill on="f" focussize="0,0"/>
                        <v:stroke weight="0.5pt" color="#000000" joinstyle="round" endarrow="block" endarrowwidth="narrow"/>
                        <v:imagedata o:title=""/>
                        <o:lock v:ext="edit" aspectratio="f"/>
                      </v:shape>
                      <v:shape id="自选图形 1474" o:spid="_x0000_s1026" o:spt="32" type="#_x0000_t32" style="position:absolute;left:2575560;top:1339215;height:183515;width:635;" filled="f" stroked="t" coordsize="21600,21600" o:gfxdata="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TWCq1QAAAAUBAAAPAAAAAAAAAAEAIAAA&#10;ACIAAABkcnMvZG93bnJldi54bWxQSwECFAAUAAAACACHTuJA/DaN2w8CAAD3AwAADgAAAAAAAAAB&#10;ACAAAAAkAQAAZHJzL2Uyb0RvYy54bWxQSwUGAAAAAAYABgBZAQAApQUAAAAA&#10;">
                        <v:fill on="f" focussize="0,0"/>
                        <v:stroke weight="0.5pt" color="#000000" joinstyle="round" endarrow="block" endarrowwidth="narrow"/>
                        <v:imagedata o:title=""/>
                        <o:lock v:ext="edit" aspectratio="f"/>
                      </v:shape>
                      <v:shape id="自选图形 1475" o:spid="_x0000_s1026" o:spt="32" type="#_x0000_t32" style="position:absolute;left:2575560;top:906145;height:184150;width:635;" filled="f" stroked="t" coordsize="21600,21600" o:gfxdata="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01gqtUAAAAFAQAADwAAAAAAAAABACAA&#10;AAAiAAAAZHJzL2Rvd25yZXYueG1sUEsBAhQAFAAAAAgAh07iQP3AAkYQAgAA9gMAAA4AAAAAAAAA&#10;AQAgAAAAJAEAAGRycy9lMm9Eb2MueG1sUEsFBgAAAAAGAAYAWQEAAKYFAAAAAA==&#10;">
                        <v:fill on="f" focussize="0,0"/>
                        <v:stroke weight="0.5pt" color="#000000" joinstyle="round" endarrow="block" endarrowwidth="narrow"/>
                        <v:imagedata o:title=""/>
                        <o:lock v:ext="edit" aspectratio="f"/>
                      </v:shape>
                      <v:shape id="自选图形 516" o:spid="_x0000_s1026" o:spt="109" type="#_x0000_t109" style="position:absolute;left:1002030;top:1129030;height:232410;width:892175;" filled="f" stroked="f" coordsize="21600,21600" o:gfxdata="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ejVR3WAAAABQEAAA8A&#10;AAAAAAAAAQAgAAAAIgAAAGRycy9kb3ducmV2LnhtbFBLAQIUABQAAAAIAIdO4kD7j6+q4AEAAJwD&#10;AAAOAAAAAAAAAAEAIAAAACUBAABkcnMvZTJvRG9jLnhtbFBLBQYAAAAABgAGAFkBAAB3BQAAAAA=&#10;">
                        <v:fill on="f" focussize="0,0"/>
                        <v:stroke on="f" weight="0.5pt"/>
                        <v:imagedata o:title=""/>
                        <o:lock v:ext="edit" aspectratio="f"/>
                        <v:textbox inset="0.54mm,0.27mm,0.54mm,0.27mm">
                          <w:txbxContent>
                            <w:p w14:paraId="4DB37051">
                              <w:pPr>
                                <w:jc w:val="center"/>
                                <w:rPr>
                                  <w:rFonts w:hint="eastAsia" w:ascii="Times New Roman" w:hAnsi="Times New Roman" w:eastAsia="黑体" w:cs="Times New Roman"/>
                                  <w:bCs/>
                                  <w:sz w:val="18"/>
                                  <w:szCs w:val="18"/>
                                  <w:lang w:val="en-US" w:eastAsia="zh-CN"/>
                                </w:rPr>
                              </w:pPr>
                              <w:r>
                                <w:rPr>
                                  <w:rFonts w:hint="eastAsia" w:ascii="Times New Roman" w:hAnsi="黑体" w:eastAsia="黑体" w:cs="Times New Roman"/>
                                  <w:bCs/>
                                  <w:sz w:val="18"/>
                                  <w:szCs w:val="18"/>
                                  <w:lang w:val="en-US" w:eastAsia="zh-CN"/>
                                </w:rPr>
                                <w:t>纯净水</w:t>
                              </w:r>
                            </w:p>
                          </w:txbxContent>
                        </v:textbox>
                      </v:shape>
                      <v:shape id="自选图形 516" o:spid="_x0000_s1026" o:spt="109" type="#_x0000_t109" style="position:absolute;left:2107565;top:3233420;height:232410;width:935990;" filled="f" stroked="t" coordsize="21600,21600" o:gfxdata="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hXKI1wAAAAUBAAAPAAAAAAAAAAEAIAAAACIAAABkcnMvZG93bnJl&#10;di54bWxQSwECFAAUAAAACACHTuJAU4YNFDcCAABSBAAADgAAAAAAAAABACAAAAAmAQAAZHJzL2Uy&#10;b0RvYy54bWxQSwUGAAAAAAYABgBZAQAAzwUAAAAA&#10;">
                        <v:fill on="f" focussize="0,0"/>
                        <v:stroke weight="0.5pt" color="#000000" joinstyle="miter"/>
                        <v:imagedata o:title=""/>
                        <o:lock v:ext="edit" aspectratio="f"/>
                        <v:textbox inset="0.54mm,0.27mm,0.54mm,0.27mm">
                          <w:txbxContent>
                            <w:p w14:paraId="34F12D85">
                              <w:pPr>
                                <w:jc w:val="center"/>
                                <w:rPr>
                                  <w:rFonts w:ascii="Times New Roman" w:hAnsi="Times New Roman" w:eastAsia="黑体" w:cs="Times New Roman"/>
                                  <w:bCs/>
                                  <w:sz w:val="18"/>
                                  <w:szCs w:val="18"/>
                                </w:rPr>
                              </w:pPr>
                              <w:r>
                                <w:rPr>
                                  <w:rFonts w:hint="eastAsia" w:ascii="Times New Roman" w:hAnsi="Times New Roman" w:eastAsia="黑体" w:cs="Times New Roman"/>
                                  <w:bCs/>
                                  <w:sz w:val="18"/>
                                  <w:szCs w:val="18"/>
                                </w:rPr>
                                <w:t>出具检验报告</w:t>
                              </w:r>
                            </w:p>
                          </w:txbxContent>
                        </v:textbox>
                      </v:shape>
                      <v:shape id="自选图形 1480" o:spid="_x0000_s1026" o:spt="32" type="#_x0000_t32" style="position:absolute;left:2575560;top:3049270;height:184150;width:635;" filled="f" stroked="t" coordsize="21600,21600" o:gfxdata="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TWCq1QAAAAUBAAAPAAAAAAAAAAEAIAAA&#10;ACIAAABkcnMvZG93bnJldi54bWxQSwECFAAUAAAACACHTuJA6BtAHg8CAAD3AwAADgAAAAAAAAAB&#10;ACAAAAAkAQAAZHJzL2Uyb0RvYy54bWxQSwUGAAAAAAYABgBZAQAApQUAAAAA&#10;">
                        <v:fill on="f" focussize="0,0"/>
                        <v:stroke weight="0.5pt" color="#000000" joinstyle="round" endarrow="block" endarrowwidth="narrow"/>
                        <v:imagedata o:title=""/>
                        <o:lock v:ext="edit" aspectratio="f"/>
                      </v:shape>
                      <v:shape id="文本框 1481" o:spid="_x0000_s1026" o:spt="202" type="#_x0000_t202" style="position:absolute;left:3235960;top:1863090;height:367665;width:899795;v-text-anchor:middle;" fillcolor="#FDE9D9" filled="t" stroked="f" coordsize="21600,21600" o:gfxdata="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32iv9QAAAAFAQAADwAAAAAAAAABACAAAAAiAAAAZHJzL2Rvd25yZXYueG1s&#10;UEsBAhQAFAAAAAgAh07iQJc9Qtj8AQAA3gMAAA4AAAAAAAAAAQAgAAAAIwEAAGRycy9lMm9Eb2Mu&#10;eG1sUEsFBgAAAAAGAAYAWQEAAJEFAAAAAA==&#10;">
                        <v:fill on="t" focussize="0,0"/>
                        <v:stroke on="f" weight="1pt"/>
                        <v:imagedata o:title=""/>
                        <o:lock v:ext="edit" aspectratio="f"/>
                        <v:textbox inset="0.3mm,0.5mm,0.3mm,0.1mm">
                          <w:txbxContent>
                            <w:p w14:paraId="754CDDD8">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lang w:val="en-US" w:eastAsia="zh-CN"/>
                                </w:rPr>
                                <w:t>5</w:t>
                              </w:r>
                              <w:r>
                                <w:rPr>
                                  <w:rFonts w:ascii="Times New Roman" w:hAnsi="Times New Roman" w:eastAsia="黑体" w:cs="Times New Roman"/>
                                  <w:color w:val="FF0000"/>
                                  <w:sz w:val="18"/>
                                  <w:szCs w:val="18"/>
                                </w:rPr>
                                <w:t>：一次</w:t>
                              </w:r>
                              <w:r>
                                <w:rPr>
                                  <w:rFonts w:hint="eastAsia" w:ascii="Times New Roman" w:hAnsi="Times New Roman" w:eastAsia="黑体" w:cs="Times New Roman"/>
                                  <w:color w:val="FF0000"/>
                                  <w:sz w:val="18"/>
                                  <w:szCs w:val="18"/>
                                </w:rPr>
                                <w:t>、</w:t>
                              </w:r>
                              <w:r>
                                <w:rPr>
                                  <w:rFonts w:ascii="Times New Roman" w:hAnsi="Times New Roman" w:eastAsia="黑体" w:cs="Times New Roman"/>
                                  <w:color w:val="FF0000"/>
                                  <w:sz w:val="18"/>
                                  <w:szCs w:val="18"/>
                                </w:rPr>
                                <w:t>二次</w:t>
                              </w:r>
                              <w:r>
                                <w:rPr>
                                  <w:rFonts w:hint="eastAsia" w:ascii="Times New Roman" w:hAnsi="Times New Roman" w:eastAsia="黑体" w:cs="Times New Roman"/>
                                  <w:color w:val="FF0000"/>
                                  <w:sz w:val="18"/>
                                  <w:szCs w:val="18"/>
                                </w:rPr>
                                <w:t>清洗废液</w:t>
                              </w:r>
                            </w:p>
                          </w:txbxContent>
                        </v:textbox>
                      </v:shape>
                      <v:shape id="自选图形 1482" o:spid="_x0000_s1026" o:spt="32" type="#_x0000_t32" style="position:absolute;left:1736725;top:1234440;flip:y;height:635;width:360045;" filled="f" stroked="t" coordsize="21600,21600" o:gfxdata="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3kzJbWAAAABQEAAA8AAAAAAAAA&#10;AQAgAAAAIgAAAGRycy9kb3ducmV2LnhtbFBLAQIUABQAAAAIAIdO4kA38qRgEwIAAAEEAAAOAAAA&#10;AAAAAAEAIAAAACUBAABkcnMvZTJvRG9jLnhtbFBLBQYAAAAABgAGAFkBAACqBQAAAAA=&#10;">
                        <v:fill on="f" focussize="0,0"/>
                        <v:stroke weight="0.5pt" color="#000000" joinstyle="round" endarrow="block" endarrowwidth="narrow"/>
                        <v:imagedata o:title=""/>
                        <o:lock v:ext="edit" aspectratio="f"/>
                      </v:shape>
                      <v:shape id="文本框 1486" o:spid="_x0000_s1026" o:spt="202" type="#_x0000_t202" style="position:absolute;left:3235960;top:1529715;height:212090;width:900000;v-text-anchor:middle;" fillcolor="#FDE9D9" filled="t" stroked="f" coordsize="21600,21600" o:gfxdata="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faK/1AAAAAUBAAAPAAAAAAAAAAEAIAAAACIAAABkcnMvZG93bnJldi54&#10;bWxQSwECFAAUAAAACACHTuJAXJMthv4BAADeAwAADgAAAAAAAAABACAAAAAjAQAAZHJzL2Uyb0Rv&#10;Yy54bWxQSwUGAAAAAAYABgBZAQAAkwUAAAAA&#10;">
                        <v:fill on="t" focussize="0,0"/>
                        <v:stroke on="f" weight="1pt"/>
                        <v:imagedata o:title=""/>
                        <o:lock v:ext="edit" aspectratio="f"/>
                        <v:textbox inset="0.3mm,0.5mm,0.3mm,0.1mm">
                          <w:txbxContent>
                            <w:p w14:paraId="75426590">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lang w:val="en-US" w:eastAsia="zh-CN"/>
                                </w:rPr>
                                <w:t>4</w:t>
                              </w:r>
                              <w:r>
                                <w:rPr>
                                  <w:rFonts w:ascii="Times New Roman" w:hAnsi="Times New Roman" w:eastAsia="黑体" w:cs="Times New Roman"/>
                                  <w:color w:val="FF0000"/>
                                  <w:sz w:val="18"/>
                                  <w:szCs w:val="18"/>
                                </w:rPr>
                                <w:t>：</w:t>
                              </w:r>
                              <w:r>
                                <w:rPr>
                                  <w:rFonts w:hint="eastAsia" w:ascii="Times New Roman" w:hAnsi="Times New Roman" w:eastAsia="黑体" w:cs="Times New Roman"/>
                                  <w:color w:val="FF0000"/>
                                  <w:sz w:val="18"/>
                                  <w:szCs w:val="18"/>
                                </w:rPr>
                                <w:t>废培养</w:t>
                              </w:r>
                              <w:r>
                                <w:rPr>
                                  <w:rFonts w:hint="eastAsia" w:ascii="Times New Roman" w:hAnsi="Times New Roman" w:eastAsia="黑体" w:cs="Times New Roman"/>
                                  <w:color w:val="FF0000"/>
                                  <w:sz w:val="18"/>
                                  <w:szCs w:val="18"/>
                                  <w:lang w:val="en-US" w:eastAsia="zh-CN"/>
                                </w:rPr>
                                <w:t>基</w:t>
                              </w:r>
                            </w:p>
                          </w:txbxContent>
                        </v:textbox>
                      </v:shape>
                      <v:shape id="自选图形 516" o:spid="_x0000_s1026" o:spt="109" type="#_x0000_t109" style="position:absolute;left:2107565;top:664210;height:232410;width:935990;" filled="f" stroked="t" coordsize="21600,21600" o:gfxdata="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6FcojXAAAABQEAAA8AAAAAAAAAAQAgAAAAIgAAAGRycy9kb3ducmV2Lnht&#10;bFBLAQIUABQAAAAIAIdO4kBqWIH3MwIAAFEEAAAOAAAAAAAAAAEAIAAAACYBAABkcnMvZTJvRG9j&#10;LnhtbFBLBQYAAAAABgAGAFkBAADLBQAAAAA=&#10;">
                        <v:fill on="f" focussize="0,0"/>
                        <v:stroke weight="0.5pt" color="#000000" joinstyle="miter"/>
                        <v:imagedata o:title=""/>
                        <o:lock v:ext="edit" aspectratio="f"/>
                        <v:textbox inset="0.54mm,0.27mm,0.54mm,0.27mm">
                          <w:txbxContent>
                            <w:p w14:paraId="15578511">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取样</w:t>
                              </w:r>
                            </w:p>
                          </w:txbxContent>
                        </v:textbox>
                      </v:shape>
                      <v:shape id="自选图形 1494" o:spid="_x0000_s1026" o:spt="32" type="#_x0000_t32" style="position:absolute;left:3056255;top:2067560;height:635;width:179705;" filled="f" stroked="t" coordsize="21600,21600" o:gfxdata="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IAdVrXAAAABQEAAA8AAAAAAAAA&#10;AQAgAAAAIgAAAGRycy9kb3ducmV2LnhtbFBLAQIUABQAAAAIAIdO4kC8+W/bEgIAAPYDAAAOAAAA&#10;AAAAAAEAIAAAACYBAABkcnMvZTJvRG9jLnhtbFBLBQYAAAAABgAGAFkBAACqBQAAAAA=&#10;">
                        <v:fill on="f" focussize="0,0"/>
                        <v:stroke color="#FF0000" joinstyle="round" dashstyle="dash" endarrow="block" endarrowwidth="narrow"/>
                        <v:imagedata o:title=""/>
                        <o:lock v:ext="edit" aspectratio="f"/>
                      </v:shape>
                      <v:shape id="自选图形 1495" o:spid="_x0000_s1026" o:spt="32" type="#_x0000_t32" style="position:absolute;left:3057525;top:1644015;height:635;width:190500;" filled="f" stroked="t" coordsize="21600,21600" o:gfxdata="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gB1WtcAAAAFAQAADwAAAAAA&#10;AAABACAAAAAiAAAAZHJzL2Rvd25yZXYueG1sUEsBAhQAFAAAAAgAh07iQFbs+bUUAgAA9gMAAA4A&#10;AAAAAAAAAQAgAAAAJgEAAGRycy9lMm9Eb2MueG1sUEsFBgAAAAAGAAYAWQEAAKwFAAAAAA==&#10;">
                        <v:fill on="f" focussize="0,0"/>
                        <v:stroke color="#FF0000" joinstyle="round" dashstyle="dash" endarrow="block" endarrowwidth="narrow"/>
                        <v:imagedata o:title=""/>
                        <o:lock v:ext="edit" aspectratio="f"/>
                      </v:shape>
                      <v:shape id="自选图形 1499" o:spid="_x0000_s1026" o:spt="32" type="#_x0000_t32" style="position:absolute;left:3062605;top:2474595;height:635;width:207010;" filled="f" stroked="t" coordsize="21600,21600" o:gfxdata="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7pIndYAAAAFAQAADwAAAAAAAAAB&#10;ACAAAAAiAAAAZHJzL2Rvd25yZXYueG1sUEsBAhQAFAAAAAgAh07iQJI/gRgSAgAA9gMAAA4AAAAA&#10;AAAAAQAgAAAAJQEAAGRycy9lMm9Eb2MueG1sUEsFBgAAAAAGAAYAWQEAAKkFAAAAAA==&#10;">
                        <v:fill on="f" focussize="0,0"/>
                        <v:stroke color="#0070C0" joinstyle="round" dashstyle="dash" endarrow="block" endarrowwidth="narrow"/>
                        <v:imagedata o:title=""/>
                        <o:lock v:ext="edit" aspectratio="f"/>
                      </v:shape>
                      <v:rect id="矩形 1500" o:spid="_x0000_s1026" o:spt="1" style="position:absolute;left:3255010;top:2287905;height:389890;width:899795;" fillcolor="#548DD4" filled="t" stroked="f" coordsize="21600,21600" o:gfxdata="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g1cIXXAAAABQEAAA8AAAAAAAAAAQAg&#10;AAAAIgAAAGRycy9kb3ducmV2LnhtbFBLAQIUABQAAAAIAIdO4kCjLYxt1gEAAJoDAAAOAAAAAAAA&#10;AAEAIAAAACYBAABkcnMvZTJvRG9jLnhtbFBLBQYAAAAABgAGAFkBAABuBQAAAAA=&#10;">
                        <v:fill on="t" opacity="13107f" focussize="0,0"/>
                        <v:stroke on="f"/>
                        <v:imagedata o:title=""/>
                        <o:lock v:ext="edit" aspectratio="f"/>
                        <v:textbox>
                          <w:txbxContent>
                            <w:p w14:paraId="17ACB9BF">
                              <w:pPr>
                                <w:snapToGrid w:val="0"/>
                                <w:jc w:val="center"/>
                                <w:rPr>
                                  <w:rFonts w:ascii="Times New Roman" w:hAnsi="Times New Roman" w:eastAsia="黑体" w:cs="Times New Roman"/>
                                  <w:color w:val="0070C0"/>
                                  <w:sz w:val="18"/>
                                  <w:szCs w:val="18"/>
                                </w:rPr>
                              </w:pPr>
                              <w:r>
                                <w:rPr>
                                  <w:rFonts w:ascii="Times New Roman" w:hAnsi="Times New Roman" w:eastAsia="黑体" w:cs="Times New Roman"/>
                                  <w:color w:val="0070C0"/>
                                  <w:sz w:val="18"/>
                                  <w:szCs w:val="18"/>
                                </w:rPr>
                                <w:t>W</w:t>
                              </w:r>
                              <w:r>
                                <w:rPr>
                                  <w:rFonts w:hint="eastAsia" w:ascii="Times New Roman" w:hAnsi="Times New Roman" w:eastAsia="黑体" w:cs="Times New Roman"/>
                                  <w:color w:val="0070C0"/>
                                  <w:sz w:val="18"/>
                                  <w:szCs w:val="18"/>
                                  <w:vertAlign w:val="subscript"/>
                                </w:rPr>
                                <w:t>1</w:t>
                              </w:r>
                              <w:r>
                                <w:rPr>
                                  <w:rFonts w:hint="eastAsia" w:ascii="Times New Roman" w:hAnsi="Times New Roman" w:eastAsia="黑体" w:cs="Times New Roman"/>
                                  <w:color w:val="0070C0"/>
                                  <w:sz w:val="18"/>
                                  <w:szCs w:val="18"/>
                                </w:rPr>
                                <w:t>：后段清洗废水</w:t>
                              </w:r>
                            </w:p>
                          </w:txbxContent>
                        </v:textbox>
                      </v:rect>
                      <v:shape id="自选图形 1501" o:spid="_x0000_s1026" o:spt="32" type="#_x0000_t32" style="position:absolute;left:3074035;top:751205;height:635;width:163195;" filled="f" stroked="t" coordsize="21600,21600" o:gfxdata="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AHVa1wAAAAUBAAAPAAAAAAAAAAEA&#10;IAAAACIAAABkcnMvZG93bnJldi54bWxQSwECFAAUAAAACACHTuJAYd40oBACAAD1AwAADgAAAAAA&#10;AAABACAAAAAmAQAAZHJzL2Uyb0RvYy54bWxQSwUGAAAAAAYABgBZAQAAqAUAAAAA&#10;">
                        <v:fill on="f" focussize="0,0"/>
                        <v:stroke color="#FF0000" joinstyle="round" dashstyle="dash" endarrow="block" endarrowwidth="narrow"/>
                        <v:imagedata o:title=""/>
                        <o:lock v:ext="edit" aspectratio="f"/>
                      </v:shape>
                      <v:shape id="文本框 1502" o:spid="_x0000_s1026" o:spt="202" type="#_x0000_t202" style="position:absolute;left:3244850;top:645795;height:212090;width:899795;v-text-anchor:middle;" fillcolor="#FDE9D9" filled="t" stroked="f" coordsize="21600,21600" o:gfxdata="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9or/UAAAABQEAAA8AAAAAAAAAAQAgAAAAIgAAAGRycy9kb3ducmV2Lnht&#10;bFBLAQIUABQAAAAIAIdO4kBPNl7L/QEAAN0DAAAOAAAAAAAAAAEAIAAAACMBAABkcnMvZTJvRG9j&#10;LnhtbFBLBQYAAAAABgAGAFkBAACSBQAAAAA=&#10;">
                        <v:fill on="t" focussize="0,0"/>
                        <v:stroke on="f" weight="1pt"/>
                        <v:imagedata o:title=""/>
                        <o:lock v:ext="edit" aspectratio="f"/>
                        <v:textbox inset="0.3mm,0.5mm,0.3mm,0.1mm">
                          <w:txbxContent>
                            <w:p w14:paraId="6151685C">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rPr>
                                <w:t>：</w:t>
                              </w:r>
                              <w:r>
                                <w:rPr>
                                  <w:rFonts w:hint="eastAsia" w:ascii="Times New Roman" w:hAnsi="Times New Roman" w:eastAsia="黑体" w:cs="Times New Roman"/>
                                  <w:color w:val="FF0000"/>
                                  <w:sz w:val="18"/>
                                  <w:szCs w:val="18"/>
                                </w:rPr>
                                <w:t>废弃样品</w:t>
                              </w:r>
                            </w:p>
                          </w:txbxContent>
                        </v:textbox>
                      </v:shape>
                      <v:shape id="自选图形 516" o:spid="_x0000_s1026" o:spt="109" type="#_x0000_t109" style="position:absolute;left:2107565;top:2378075;height:233045;width:935990;" filled="f" stroked="t" coordsize="21600,21600" o:gfxdata="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oVyiNcAAAAFAQAADwAAAAAAAAABACAAAAAiAAAAZHJzL2Rvd25yZXYueG1s&#10;UEsBAhQAFAAAAAgAh07iQAEk9hUyAgAAUgQAAA4AAAAAAAAAAQAgAAAAJgEAAGRycy9lMm9Eb2Mu&#10;eG1sUEsFBgAAAAAGAAYAWQEAAMoFAAAAAA==&#10;">
                        <v:fill on="f" focussize="0,0"/>
                        <v:stroke weight="0.5pt" color="#000000" joinstyle="miter"/>
                        <v:imagedata o:title=""/>
                        <o:lock v:ext="edit" aspectratio="f"/>
                        <v:textbox inset="0.54mm,0.27mm,0.54mm,0.27mm">
                          <w:txbxContent>
                            <w:p w14:paraId="2B024E96">
                              <w:pPr>
                                <w:jc w:val="center"/>
                                <w:rPr>
                                  <w:rFonts w:ascii="Times New Roman" w:hAnsi="Times New Roman" w:eastAsia="黑体" w:cs="Times New Roman"/>
                                  <w:bCs/>
                                  <w:sz w:val="18"/>
                                  <w:szCs w:val="18"/>
                                </w:rPr>
                              </w:pPr>
                              <w:r>
                                <w:rPr>
                                  <w:rFonts w:hint="eastAsia" w:ascii="Times New Roman" w:hAnsi="黑体" w:eastAsia="黑体" w:cs="Times New Roman"/>
                                  <w:bCs/>
                                  <w:sz w:val="18"/>
                                  <w:szCs w:val="18"/>
                                </w:rPr>
                                <w:t>器皿后段清洗</w:t>
                              </w:r>
                            </w:p>
                          </w:txbxContent>
                        </v:textbox>
                      </v:shape>
                      <v:shape id="自选图形 1504" o:spid="_x0000_s1026" o:spt="32" type="#_x0000_t32" style="position:absolute;left:2575560;top:2182495;height:194945;width:635;" filled="f" stroked="t" coordsize="21600,21600" o:gfxdata="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TWCq1QAAAAUBAAAPAAAAAAAAAAEAIAAA&#10;ACIAAABkcnMvZG93bnJldi54bWxQSwECFAAUAAAACACHTuJA0JQ9vw8CAAD3AwAADgAAAAAAAAAB&#10;ACAAAAAkAQAAZHJzL2Uyb0RvYy54bWxQSwUGAAAAAAYABgBZAQAApQUAAAAA&#10;">
                        <v:fill on="f" focussize="0,0"/>
                        <v:stroke weight="0.5pt" color="#000000" joinstyle="round" endarrow="block" endarrowwidth="narrow"/>
                        <v:imagedata o:title=""/>
                        <o:lock v:ext="edit" aspectratio="f"/>
                      </v:shape>
                      <v:shape id="自选图形 516" o:spid="_x0000_s1026" o:spt="109" type="#_x0000_t109" style="position:absolute;left:1066800;top:1988185;height:232410;width:739775;" filled="f" stroked="f" coordsize="21600,21600" o:gfxdata="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jVR3WAAAABQEA&#10;AA8AAAAAAAAAAQAgAAAAIgAAAGRycy9kb3ducmV2LnhtbFBLAQIUABQAAAAIAIdO4kC4C7FL4wEA&#10;AJwDAAAOAAAAAAAAAAEAIAAAACUBAABkcnMvZTJvRG9jLnhtbFBLBQYAAAAABgAGAFkBAAB6BQAA&#10;AAA=&#10;">
                        <v:fill on="f" focussize="0,0"/>
                        <v:stroke on="f" weight="0.5pt"/>
                        <v:imagedata o:title=""/>
                        <o:lock v:ext="edit" aspectratio="f"/>
                        <v:textbox inset="0.54mm,0.27mm,0.54mm,0.27mm">
                          <w:txbxContent>
                            <w:p w14:paraId="4016BF32">
                              <w:pPr>
                                <w:jc w:val="center"/>
                                <w:rPr>
                                  <w:rFonts w:ascii="Times New Roman" w:hAnsi="Times New Roman" w:eastAsia="黑体" w:cs="Times New Roman"/>
                                  <w:bCs/>
                                  <w:sz w:val="18"/>
                                  <w:szCs w:val="18"/>
                                </w:rPr>
                              </w:pPr>
                              <w:r>
                                <w:rPr>
                                  <w:rFonts w:hint="eastAsia" w:ascii="Times New Roman" w:hAnsi="黑体" w:eastAsia="黑体" w:cs="Times New Roman"/>
                                  <w:bCs/>
                                  <w:sz w:val="18"/>
                                  <w:szCs w:val="18"/>
                                </w:rPr>
                                <w:t>自来水</w:t>
                              </w:r>
                            </w:p>
                          </w:txbxContent>
                        </v:textbox>
                      </v:shape>
                      <v:shape id="自选图形 1506" o:spid="_x0000_s1026" o:spt="32" type="#_x0000_t32" style="position:absolute;left:1718945;top:2075180;flip:y;height:635;width:360045;" filled="f" stroked="t" coordsize="21600,21600" o:gfxdata="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3kzJbWAAAABQEAAA8AAAAAAAAA&#10;AQAgAAAAIgAAAGRycy9kb3ducmV2LnhtbFBLAQIUABQAAAAIAIdO4kDg5/RWEwIAAAEEAAAOAAAA&#10;AAAAAAEAIAAAACUBAABkcnMvZTJvRG9jLnhtbFBLBQYAAAAABgAGAFkBAACqBQAAAAA=&#10;">
                        <v:fill on="f" focussize="0,0"/>
                        <v:stroke weight="0.5pt" color="#000000" joinstyle="round" endarrow="block" endarrowwidth="narrow"/>
                        <v:imagedata o:title=""/>
                        <o:lock v:ext="edit" aspectratio="f"/>
                      </v:shape>
                      <v:shape id="自选图形 516" o:spid="_x0000_s1026" o:spt="109" type="#_x0000_t109" style="position:absolute;left:1085850;top:2388235;height:232410;width:739775;" filled="f" stroked="f" coordsize="21600,21600" o:gfxdata="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6NVHdYAAAAFAQAA&#10;DwAAAAAAAAABACAAAAAiAAAAZHJzL2Rvd25yZXYueG1sUEsBAhQAFAAAAAgAh07iQEq+OkviAQAA&#10;nAMAAA4AAAAAAAAAAQAgAAAAJQEAAGRycy9lMm9Eb2MueG1sUEsFBgAAAAAGAAYAWQEAAHkFAAAA&#10;AA==&#10;">
                        <v:fill on="f" focussize="0,0"/>
                        <v:stroke on="f" weight="0.5pt"/>
                        <v:imagedata o:title=""/>
                        <o:lock v:ext="edit" aspectratio="f"/>
                        <v:textbox inset="0.54mm,0.27mm,0.54mm,0.27mm">
                          <w:txbxContent>
                            <w:p w14:paraId="00129082">
                              <w:pPr>
                                <w:jc w:val="center"/>
                                <w:rPr>
                                  <w:rFonts w:hint="eastAsia" w:ascii="Times New Roman" w:hAnsi="Times New Roman" w:eastAsia="黑体" w:cs="Times New Roman"/>
                                  <w:bCs/>
                                  <w:sz w:val="18"/>
                                  <w:szCs w:val="18"/>
                                  <w:lang w:val="en-US" w:eastAsia="zh-CN"/>
                                </w:rPr>
                              </w:pPr>
                              <w:r>
                                <w:rPr>
                                  <w:rFonts w:hint="eastAsia" w:ascii="Times New Roman" w:hAnsi="黑体" w:eastAsia="黑体" w:cs="Times New Roman"/>
                                  <w:bCs/>
                                  <w:sz w:val="18"/>
                                  <w:szCs w:val="18"/>
                                  <w:lang w:val="en-US" w:eastAsia="zh-CN"/>
                                </w:rPr>
                                <w:t>纯净水</w:t>
                              </w:r>
                            </w:p>
                          </w:txbxContent>
                        </v:textbox>
                      </v:shape>
                      <v:shape id="自选图形 1508" o:spid="_x0000_s1026" o:spt="32" type="#_x0000_t32" style="position:absolute;left:1737995;top:2475230;flip:y;height:635;width:360045;" filled="f" stroked="t" coordsize="21600,21600" o:gfxdata="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eTMltYAAAAFAQAADwAAAAAA&#10;AAABACAAAAAiAAAAZHJzL2Rvd25yZXYueG1sUEsBAhQAFAAAAAgAh07iQB96rHEVAgAAAQQAAA4A&#10;AAAAAAAAAQAgAAAAJQEAAGRycy9lMm9Eb2MueG1sUEsFBgAAAAAGAAYAWQEAAKwFAAAAAA==&#10;">
                        <v:fill on="f" focussize="0,0"/>
                        <v:stroke weight="0.5pt" color="#000000" joinstyle="round" endarrow="block" endarrowwidth="narrow"/>
                        <v:imagedata o:title=""/>
                        <o:lock v:ext="edit" aspectratio="f"/>
                      </v:shape>
                      <v:shape id="文本框 1486" o:spid="_x0000_s1026" o:spt="202" type="#_x0000_t202" style="position:absolute;left:3230245;top:1100455;height:212090;width:899795;v-text-anchor:middle;" fillcolor="#FDE9D9" filled="t" stroked="f" coordsize="21600,21600" o:gfxdata="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faK/1AAAAAUBAAAPAAAAAAAAAAEAIAAAACIAAABkcnMvZG93bnJldi54&#10;bWxQSwECFAAUAAAACACHTuJAQyEoJf4BAADfAwAADgAAAAAAAAABACAAAAAjAQAAZHJzL2Uyb0Rv&#10;Yy54bWxQSwUGAAAAAAYABgBZAQAAkwUAAAAA&#10;">
                        <v:fill on="t" focussize="0,0"/>
                        <v:stroke on="f" weight="1pt"/>
                        <v:imagedata o:title=""/>
                        <o:lock v:ext="edit" aspectratio="f"/>
                        <v:textbox inset="0.3mm,0.5mm,0.3mm,0.1mm">
                          <w:txbxContent>
                            <w:p w14:paraId="3E606CBF">
                              <w:pPr>
                                <w:snapToGrid w:val="0"/>
                                <w:jc w:val="center"/>
                                <w:rPr>
                                  <w:rFonts w:hint="eastAsia" w:ascii="Times New Roman" w:hAnsi="Times New Roman" w:eastAsia="黑体" w:cs="Times New Roman"/>
                                  <w:color w:val="FF0000"/>
                                  <w:sz w:val="18"/>
                                  <w:szCs w:val="18"/>
                                  <w:lang w:val="en-US" w:eastAsia="zh-CN"/>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rPr>
                                <w:t>：</w:t>
                              </w:r>
                              <w:r>
                                <w:rPr>
                                  <w:rFonts w:hint="eastAsia" w:ascii="Times New Roman" w:hAnsi="Times New Roman" w:eastAsia="黑体" w:cs="Times New Roman"/>
                                  <w:color w:val="FF0000"/>
                                  <w:sz w:val="18"/>
                                  <w:szCs w:val="18"/>
                                  <w:lang w:val="en-US" w:eastAsia="zh-CN"/>
                                </w:rPr>
                                <w:t>实验废液</w:t>
                              </w:r>
                            </w:p>
                          </w:txbxContent>
                        </v:textbox>
                      </v:shape>
                      <v:shape id="自选图形 1495" o:spid="_x0000_s1026" o:spt="32" type="#_x0000_t32" style="position:absolute;left:3051810;top:1214755;height:635;width:190500;" filled="f" stroked="t" coordsize="21600,21600" o:gfxdata="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IAdVrXAAAABQEAAA8AAAAA&#10;AAAAAQAgAAAAIgAAAGRycy9kb3ducmV2LnhtbFBLAQIUABQAAAAIAIdO4kCXsbYPFQIAAPcDAAAO&#10;AAAAAAAAAAEAIAAAACYBAABkcnMvZTJvRG9jLnhtbFBLBQYAAAAABgAGAFkBAACtBQAAAAA=&#10;">
                        <v:fill on="f" focussize="0,0"/>
                        <v:stroke color="#FF0000" joinstyle="round" dashstyle="dash" endarrow="block" endarrowwidth="narrow"/>
                        <v:imagedata o:title=""/>
                        <o:lock v:ext="edit" aspectratio="f"/>
                      </v:shape>
                      <w10:wrap type="none"/>
                      <w10:anchorlock/>
                    </v:group>
                  </w:pict>
                </mc:Fallback>
              </mc:AlternateContent>
            </w:r>
          </w:p>
          <w:p w14:paraId="7C66FD6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s="Times New Roman"/>
                <w:sz w:val="24"/>
                <w:szCs w:val="28"/>
              </w:rPr>
            </w:pPr>
            <w:r>
              <w:rPr>
                <w:rFonts w:hint="eastAsia" w:ascii="Times New Roman" w:hAnsi="黑体" w:eastAsia="黑体" w:cs="Times New Roman"/>
                <w:sz w:val="24"/>
                <w:szCs w:val="28"/>
              </w:rPr>
              <w:t>图</w:t>
            </w:r>
            <w:r>
              <w:rPr>
                <w:rFonts w:hint="default" w:ascii="Times New Roman" w:hAnsi="Times New Roman" w:eastAsia="黑体" w:cs="Times New Roman"/>
                <w:sz w:val="24"/>
                <w:szCs w:val="28"/>
              </w:rPr>
              <w:t>2-</w:t>
            </w:r>
            <w:r>
              <w:rPr>
                <w:rFonts w:hint="eastAsia" w:ascii="Times New Roman" w:hAnsi="Times New Roman" w:eastAsia="黑体" w:cs="Times New Roman"/>
                <w:sz w:val="24"/>
                <w:szCs w:val="28"/>
              </w:rPr>
              <w:t xml:space="preserve">3  </w:t>
            </w:r>
            <w:r>
              <w:rPr>
                <w:rFonts w:hint="eastAsia" w:ascii="Times New Roman" w:hAnsi="黑体" w:eastAsia="黑体"/>
                <w:bCs/>
                <w:kern w:val="0"/>
                <w:sz w:val="24"/>
                <w:szCs w:val="24"/>
                <w:lang w:val="en-US" w:eastAsia="zh-CN"/>
              </w:rPr>
              <w:t>质检室</w:t>
            </w:r>
            <w:r>
              <w:rPr>
                <w:rFonts w:hint="eastAsia" w:ascii="Times New Roman" w:hAnsi="黑体" w:eastAsia="黑体"/>
                <w:bCs/>
                <w:kern w:val="0"/>
                <w:sz w:val="24"/>
                <w:szCs w:val="24"/>
              </w:rPr>
              <w:t>检验流程</w:t>
            </w:r>
            <w:r>
              <w:rPr>
                <w:rFonts w:hint="default" w:ascii="Times New Roman" w:hAnsi="黑体" w:eastAsia="黑体"/>
                <w:bCs/>
                <w:kern w:val="0"/>
                <w:sz w:val="24"/>
                <w:szCs w:val="24"/>
              </w:rPr>
              <w:t>及产污节点图</w:t>
            </w:r>
          </w:p>
          <w:p w14:paraId="225058F8">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宋体"/>
                <w:b/>
                <w:sz w:val="24"/>
                <w:szCs w:val="28"/>
              </w:rPr>
            </w:pPr>
            <w:bookmarkStart w:id="3" w:name="OLE_LINK13"/>
            <w:r>
              <w:rPr>
                <w:rFonts w:hint="eastAsia" w:ascii="Times New Roman" w:hAnsi="Times New Roman" w:eastAsia="宋体" w:cs="宋体"/>
                <w:b/>
                <w:sz w:val="24"/>
                <w:szCs w:val="28"/>
                <w:lang w:val="en-US" w:eastAsia="zh-CN"/>
              </w:rPr>
              <w:t>质检室</w:t>
            </w:r>
            <w:r>
              <w:rPr>
                <w:rFonts w:hint="eastAsia" w:ascii="Times New Roman" w:hAnsi="Times New Roman" w:eastAsia="宋体" w:cs="宋体"/>
                <w:b/>
                <w:sz w:val="24"/>
                <w:szCs w:val="28"/>
              </w:rPr>
              <w:t>检验流程简述：</w:t>
            </w:r>
            <w:bookmarkStart w:id="4" w:name="OLE_LINK39"/>
          </w:p>
          <w:p w14:paraId="5F11ADC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kern w:val="0"/>
                <w:sz w:val="24"/>
                <w:szCs w:val="24"/>
              </w:rPr>
            </w:pPr>
            <w:r>
              <w:rPr>
                <w:rFonts w:hint="eastAsia" w:ascii="Times New Roman" w:hAnsi="Times New Roman"/>
                <w:bCs/>
                <w:kern w:val="0"/>
                <w:sz w:val="24"/>
                <w:szCs w:val="24"/>
              </w:rPr>
              <w:t>1、拟定方案、取样：</w:t>
            </w:r>
            <w:r>
              <w:rPr>
                <w:rFonts w:hint="eastAsia" w:ascii="Times New Roman" w:hAnsi="Times New Roman"/>
                <w:bCs/>
                <w:kern w:val="0"/>
                <w:sz w:val="24"/>
                <w:szCs w:val="24"/>
                <w:lang w:eastAsia="zh-CN"/>
              </w:rPr>
              <w:t>质检室</w:t>
            </w:r>
            <w:r>
              <w:rPr>
                <w:rFonts w:hint="eastAsia" w:ascii="Times New Roman" w:hAnsi="Times New Roman"/>
                <w:bCs/>
                <w:kern w:val="0"/>
                <w:sz w:val="24"/>
                <w:szCs w:val="24"/>
              </w:rPr>
              <w:t>接受委托后确定监测方案，并将需抽检的干燥剂产品运至</w:t>
            </w:r>
            <w:r>
              <w:rPr>
                <w:rFonts w:hint="eastAsia" w:ascii="Times New Roman" w:hAnsi="Times New Roman"/>
                <w:bCs/>
                <w:kern w:val="0"/>
                <w:sz w:val="24"/>
                <w:szCs w:val="24"/>
                <w:lang w:eastAsia="zh-CN"/>
              </w:rPr>
              <w:t>质检室</w:t>
            </w:r>
            <w:r>
              <w:rPr>
                <w:rFonts w:hint="eastAsia" w:ascii="Times New Roman" w:hAnsi="Times New Roman"/>
                <w:bCs/>
                <w:kern w:val="0"/>
                <w:sz w:val="24"/>
                <w:szCs w:val="24"/>
              </w:rPr>
              <w:t>。</w:t>
            </w:r>
          </w:p>
          <w:p w14:paraId="54C46BDC">
            <w:pPr>
              <w:pStyle w:val="53"/>
              <w:keepNext w:val="0"/>
              <w:keepLines w:val="0"/>
              <w:suppressLineNumbers w:val="0"/>
              <w:adjustRightInd/>
              <w:spacing w:before="0" w:beforeAutospacing="0" w:after="0" w:afterAutospacing="0" w:line="360" w:lineRule="auto"/>
              <w:ind w:left="0" w:right="0" w:firstLineChars="200"/>
              <w:jc w:val="both"/>
              <w:rPr>
                <w:rFonts w:hint="default" w:ascii="Times New Roman" w:hAnsi="Times New Roman"/>
                <w:bCs/>
                <w:kern w:val="0"/>
                <w:szCs w:val="24"/>
              </w:rPr>
            </w:pPr>
            <w:r>
              <w:rPr>
                <w:rFonts w:hint="eastAsia" w:ascii="Times New Roman" w:hAnsi="Times New Roman"/>
                <w:b/>
                <w:kern w:val="0"/>
                <w:szCs w:val="24"/>
              </w:rPr>
              <w:t>产排污环节分析</w:t>
            </w:r>
            <w:r>
              <w:rPr>
                <w:rFonts w:hint="eastAsia" w:ascii="Times New Roman" w:hAnsi="Times New Roman"/>
                <w:b/>
                <w:bCs/>
                <w:kern w:val="0"/>
                <w:szCs w:val="24"/>
              </w:rPr>
              <w:t>及治理措施：</w:t>
            </w:r>
            <w:r>
              <w:rPr>
                <w:rFonts w:hint="eastAsia" w:ascii="Times New Roman" w:hAnsi="Times New Roman"/>
                <w:bCs/>
                <w:kern w:val="0"/>
                <w:szCs w:val="24"/>
              </w:rPr>
              <w:t>本工序产生废弃样品（S</w:t>
            </w:r>
            <w:r>
              <w:rPr>
                <w:rFonts w:hint="eastAsia" w:ascii="Times New Roman" w:hAnsi="Times New Roman"/>
                <w:bCs/>
                <w:kern w:val="0"/>
                <w:szCs w:val="24"/>
                <w:vertAlign w:val="subscript"/>
              </w:rPr>
              <w:t>2</w:t>
            </w:r>
            <w:r>
              <w:rPr>
                <w:rFonts w:hint="eastAsia" w:ascii="Times New Roman" w:hAnsi="Times New Roman"/>
                <w:bCs/>
                <w:kern w:val="0"/>
                <w:szCs w:val="24"/>
              </w:rPr>
              <w:t>）。废弃样品（S</w:t>
            </w:r>
            <w:r>
              <w:rPr>
                <w:rFonts w:hint="eastAsia" w:ascii="Times New Roman" w:hAnsi="Times New Roman"/>
                <w:bCs/>
                <w:kern w:val="0"/>
                <w:szCs w:val="24"/>
                <w:vertAlign w:val="subscript"/>
              </w:rPr>
              <w:t>2</w:t>
            </w:r>
            <w:r>
              <w:rPr>
                <w:rFonts w:hint="eastAsia" w:ascii="Times New Roman" w:hAnsi="Times New Roman"/>
                <w:bCs/>
                <w:kern w:val="0"/>
                <w:szCs w:val="24"/>
              </w:rPr>
              <w:t>）暂存于危险废物暂存间，委托有资质单位处理。</w:t>
            </w:r>
          </w:p>
          <w:p w14:paraId="588FFDF0">
            <w:pPr>
              <w:pStyle w:val="53"/>
              <w:keepNext w:val="0"/>
              <w:keepLines w:val="0"/>
              <w:suppressLineNumbers w:val="0"/>
              <w:adjustRightInd/>
              <w:spacing w:before="0" w:beforeAutospacing="0" w:after="0" w:afterAutospacing="0" w:line="360" w:lineRule="auto"/>
              <w:ind w:left="0" w:right="0" w:firstLine="480" w:firstLineChars="200"/>
              <w:jc w:val="both"/>
              <w:rPr>
                <w:rFonts w:hint="default" w:ascii="Times New Roman" w:hAnsi="Times New Roman" w:cs="Times New Roman"/>
              </w:rPr>
            </w:pPr>
            <w:r>
              <w:rPr>
                <w:rFonts w:hint="eastAsia" w:ascii="Times New Roman" w:hAnsi="Times New Roman" w:cs="Times New Roman"/>
              </w:rPr>
              <w:t>2、样品前处理：前处理的目的</w:t>
            </w:r>
            <w:r>
              <w:rPr>
                <w:rFonts w:hint="eastAsia" w:ascii="Times New Roman" w:hAnsi="Times New Roman" w:cs="Times New Roman"/>
                <w:lang w:eastAsia="zh-CN"/>
              </w:rPr>
              <w:t>是</w:t>
            </w:r>
            <w:r>
              <w:rPr>
                <w:rFonts w:hint="eastAsia" w:ascii="Times New Roman" w:hAnsi="Times New Roman" w:cs="Times New Roman"/>
              </w:rPr>
              <w:t>把微量或痕量的被测组分从样品基体中分离和富集、除去干扰物质，或者将无法测定的组分转化成可以测定的衍生物。检验人员根据检测标准对样品进行消解、酸化、萃取、解析、浓缩、浸出、烘干等前处理。操作流程主要为：溶解、滤清、分装、灭菌。</w:t>
            </w:r>
          </w:p>
          <w:p w14:paraId="18278D57">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kern w:val="0"/>
                <w:sz w:val="24"/>
                <w:szCs w:val="24"/>
              </w:rPr>
            </w:pPr>
            <w:r>
              <w:rPr>
                <w:rFonts w:hint="default" w:ascii="Times New Roman" w:hAnsi="Times New Roman" w:cs="Times New Roman"/>
                <w:b/>
                <w:bCs/>
                <w:kern w:val="0"/>
                <w:sz w:val="24"/>
                <w:szCs w:val="24"/>
              </w:rPr>
              <w:t>产排污环节分析及治</w:t>
            </w:r>
            <w:r>
              <w:rPr>
                <w:rFonts w:hint="eastAsia" w:ascii="Times New Roman" w:hAnsi="Times New Roman"/>
                <w:b/>
                <w:bCs/>
                <w:kern w:val="0"/>
                <w:sz w:val="24"/>
                <w:szCs w:val="24"/>
              </w:rPr>
              <w:t>理措施：</w:t>
            </w:r>
            <w:r>
              <w:rPr>
                <w:rFonts w:hint="eastAsia" w:ascii="Times New Roman" w:hAnsi="Times New Roman"/>
                <w:b w:val="0"/>
                <w:bCs w:val="0"/>
                <w:kern w:val="0"/>
                <w:sz w:val="24"/>
                <w:szCs w:val="24"/>
              </w:rPr>
              <w:t>本工序产生</w:t>
            </w:r>
            <w:r>
              <w:rPr>
                <w:rFonts w:hint="eastAsia" w:ascii="Times New Roman" w:hAnsi="Times New Roman"/>
                <w:b w:val="0"/>
                <w:bCs w:val="0"/>
                <w:kern w:val="0"/>
                <w:sz w:val="24"/>
                <w:szCs w:val="24"/>
                <w:lang w:val="en-US" w:eastAsia="zh-CN"/>
              </w:rPr>
              <w:t>实验废液</w:t>
            </w:r>
            <w:r>
              <w:rPr>
                <w:rFonts w:hint="eastAsia" w:ascii="Times New Roman" w:hAnsi="Times New Roman"/>
                <w:b w:val="0"/>
                <w:bCs w:val="0"/>
                <w:kern w:val="0"/>
                <w:sz w:val="24"/>
                <w:szCs w:val="24"/>
              </w:rPr>
              <w:t>（S</w:t>
            </w:r>
            <w:r>
              <w:rPr>
                <w:rFonts w:hint="eastAsia" w:ascii="Times New Roman" w:hAnsi="Times New Roman"/>
                <w:b w:val="0"/>
                <w:bCs w:val="0"/>
                <w:kern w:val="0"/>
                <w:sz w:val="24"/>
                <w:szCs w:val="24"/>
                <w:vertAlign w:val="subscript"/>
                <w:lang w:val="en-US" w:eastAsia="zh-CN"/>
              </w:rPr>
              <w:t>3</w:t>
            </w:r>
            <w:r>
              <w:rPr>
                <w:rFonts w:hint="eastAsia" w:ascii="Times New Roman" w:hAnsi="Times New Roman"/>
                <w:b w:val="0"/>
                <w:bCs w:val="0"/>
                <w:kern w:val="0"/>
                <w:sz w:val="24"/>
                <w:szCs w:val="24"/>
              </w:rPr>
              <w:t>）。</w:t>
            </w:r>
            <w:r>
              <w:rPr>
                <w:rFonts w:hint="eastAsia" w:ascii="Times New Roman" w:hAnsi="Times New Roman"/>
                <w:b w:val="0"/>
                <w:bCs w:val="0"/>
                <w:kern w:val="0"/>
                <w:sz w:val="24"/>
                <w:szCs w:val="24"/>
                <w:lang w:val="en-US" w:eastAsia="zh-CN"/>
              </w:rPr>
              <w:t>实验废液</w:t>
            </w:r>
            <w:r>
              <w:rPr>
                <w:rFonts w:hint="eastAsia" w:ascii="Times New Roman" w:hAnsi="Times New Roman"/>
                <w:b w:val="0"/>
                <w:bCs w:val="0"/>
                <w:kern w:val="0"/>
                <w:sz w:val="24"/>
                <w:szCs w:val="24"/>
              </w:rPr>
              <w:t>（S</w:t>
            </w:r>
            <w:r>
              <w:rPr>
                <w:rFonts w:hint="eastAsia" w:ascii="Times New Roman" w:hAnsi="Times New Roman"/>
                <w:b w:val="0"/>
                <w:bCs w:val="0"/>
                <w:kern w:val="0"/>
                <w:sz w:val="24"/>
                <w:szCs w:val="24"/>
                <w:vertAlign w:val="subscript"/>
                <w:lang w:val="en-US" w:eastAsia="zh-CN"/>
              </w:rPr>
              <w:t>3</w:t>
            </w:r>
            <w:r>
              <w:rPr>
                <w:rFonts w:hint="eastAsia" w:ascii="Times New Roman" w:hAnsi="Times New Roman"/>
                <w:b w:val="0"/>
                <w:bCs w:val="0"/>
                <w:kern w:val="0"/>
                <w:sz w:val="24"/>
                <w:szCs w:val="24"/>
              </w:rPr>
              <w:t>）暂存于危险废物暂存间，委托有资质单位处理。</w:t>
            </w:r>
          </w:p>
          <w:p w14:paraId="61FB32EE">
            <w:pPr>
              <w:pStyle w:val="53"/>
              <w:keepNext w:val="0"/>
              <w:keepLines w:val="0"/>
              <w:suppressLineNumbers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lang w:val="en-US" w:eastAsia="zh-CN"/>
              </w:rPr>
            </w:pPr>
            <w:r>
              <w:rPr>
                <w:rFonts w:hint="default" w:ascii="Times New Roman" w:hAnsi="Times New Roman" w:cs="Times New Roman"/>
              </w:rPr>
              <w:t>3、培养、分析：根据检测因子，将样品倾注在已培养好的胰酪大豆胨琼脂</w:t>
            </w:r>
            <w:r>
              <w:rPr>
                <w:rFonts w:hint="eastAsia" w:ascii="Times New Roman" w:hAnsi="Times New Roman" w:cs="Times New Roman"/>
                <w:lang w:val="en-US" w:eastAsia="zh-CN"/>
              </w:rPr>
              <w:t>培</w:t>
            </w:r>
            <w:r>
              <w:rPr>
                <w:rFonts w:hint="default" w:ascii="Times New Roman" w:hAnsi="Times New Roman" w:cs="Times New Roman"/>
              </w:rPr>
              <w:t>养基、沙氏葡萄糖琼脂培养基、胰酪大豆胨液体培养基、麦康凯液体培养基、麦康凯琼脂培养基、PH-7氯化钠蛋白胨缓冲液（干粉）上，置于30-35℃培养箱中培养3-5天。</w:t>
            </w:r>
            <w:r>
              <w:rPr>
                <w:rFonts w:hint="eastAsia"/>
                <w:lang w:val="en-US" w:eastAsia="zh-CN"/>
              </w:rPr>
              <w:t>根据样品前处理的稀释倍数和取样接种量可换算出样品中的含菌数。</w:t>
            </w:r>
          </w:p>
          <w:p w14:paraId="0E9D2F8A">
            <w:pPr>
              <w:pStyle w:val="53"/>
              <w:keepNext w:val="0"/>
              <w:keepLines w:val="0"/>
              <w:suppressLineNumbers w:val="0"/>
              <w:adjustRightInd/>
              <w:spacing w:before="0" w:beforeAutospacing="0" w:after="0" w:afterAutospacing="0" w:line="360" w:lineRule="auto"/>
              <w:ind w:left="0" w:right="0" w:firstLineChars="200"/>
              <w:jc w:val="both"/>
              <w:rPr>
                <w:rFonts w:hint="default" w:ascii="Times New Roman" w:hAnsi="Times New Roman"/>
                <w:bCs/>
                <w:kern w:val="0"/>
                <w:szCs w:val="24"/>
              </w:rPr>
            </w:pPr>
            <w:r>
              <w:rPr>
                <w:rFonts w:hint="eastAsia" w:ascii="Times New Roman" w:hAnsi="Times New Roman"/>
                <w:b/>
                <w:kern w:val="0"/>
                <w:szCs w:val="24"/>
              </w:rPr>
              <w:t>产排污环节分析</w:t>
            </w:r>
            <w:r>
              <w:rPr>
                <w:rFonts w:hint="eastAsia" w:ascii="Times New Roman" w:hAnsi="Times New Roman"/>
                <w:b/>
                <w:bCs/>
                <w:kern w:val="0"/>
                <w:szCs w:val="24"/>
              </w:rPr>
              <w:t>及治理措施：</w:t>
            </w:r>
            <w:r>
              <w:rPr>
                <w:rFonts w:hint="eastAsia" w:ascii="Times New Roman" w:hAnsi="Times New Roman"/>
                <w:bCs/>
                <w:kern w:val="0"/>
                <w:szCs w:val="24"/>
              </w:rPr>
              <w:t>本工序产生废培养</w:t>
            </w:r>
            <w:r>
              <w:rPr>
                <w:rFonts w:hint="eastAsia" w:ascii="Times New Roman" w:hAnsi="Times New Roman"/>
                <w:bCs/>
                <w:kern w:val="0"/>
                <w:szCs w:val="24"/>
                <w:lang w:val="en-US" w:eastAsia="zh-CN"/>
              </w:rPr>
              <w:t>基</w:t>
            </w:r>
            <w:r>
              <w:rPr>
                <w:rFonts w:hint="eastAsia" w:ascii="Times New Roman" w:hAnsi="Times New Roman"/>
                <w:bCs/>
                <w:kern w:val="0"/>
                <w:szCs w:val="24"/>
              </w:rPr>
              <w:t>（S</w:t>
            </w:r>
            <w:r>
              <w:rPr>
                <w:rFonts w:hint="eastAsia" w:ascii="Times New Roman" w:hAnsi="Times New Roman"/>
                <w:bCs/>
                <w:kern w:val="0"/>
                <w:szCs w:val="24"/>
                <w:vertAlign w:val="subscript"/>
              </w:rPr>
              <w:t>3</w:t>
            </w:r>
            <w:r>
              <w:rPr>
                <w:rFonts w:hint="eastAsia" w:ascii="Times New Roman" w:hAnsi="Times New Roman"/>
                <w:bCs/>
                <w:kern w:val="0"/>
                <w:szCs w:val="24"/>
              </w:rPr>
              <w:t>）。废培养</w:t>
            </w:r>
            <w:r>
              <w:rPr>
                <w:rFonts w:hint="eastAsia" w:ascii="Times New Roman" w:hAnsi="Times New Roman"/>
                <w:bCs/>
                <w:kern w:val="0"/>
                <w:szCs w:val="24"/>
                <w:lang w:val="en-US" w:eastAsia="zh-CN"/>
              </w:rPr>
              <w:t>基</w:t>
            </w:r>
            <w:r>
              <w:rPr>
                <w:rFonts w:hint="eastAsia" w:ascii="Times New Roman" w:hAnsi="Times New Roman"/>
                <w:bCs/>
                <w:kern w:val="0"/>
                <w:szCs w:val="24"/>
              </w:rPr>
              <w:t>（S</w:t>
            </w:r>
            <w:r>
              <w:rPr>
                <w:rFonts w:hint="eastAsia" w:ascii="Times New Roman" w:hAnsi="Times New Roman"/>
                <w:bCs/>
                <w:kern w:val="0"/>
                <w:szCs w:val="24"/>
                <w:vertAlign w:val="subscript"/>
              </w:rPr>
              <w:t>3</w:t>
            </w:r>
            <w:r>
              <w:rPr>
                <w:rFonts w:hint="eastAsia" w:ascii="Times New Roman" w:hAnsi="Times New Roman"/>
                <w:bCs/>
                <w:kern w:val="0"/>
                <w:szCs w:val="24"/>
              </w:rPr>
              <w:t>）暂存于危险废物暂存间，委托有资质单位处理。</w:t>
            </w:r>
          </w:p>
          <w:p w14:paraId="5806331D">
            <w:pPr>
              <w:pStyle w:val="53"/>
              <w:keepNext w:val="0"/>
              <w:keepLines w:val="0"/>
              <w:suppressLineNumbers w:val="0"/>
              <w:adjustRightInd/>
              <w:spacing w:before="0" w:beforeAutospacing="0" w:after="0" w:afterAutospacing="0" w:line="360" w:lineRule="auto"/>
              <w:ind w:left="0" w:right="0" w:firstLine="480" w:firstLineChars="200"/>
              <w:jc w:val="both"/>
              <w:rPr>
                <w:rFonts w:hint="default" w:ascii="Times New Roman" w:hAnsi="Times New Roman" w:cs="Times New Roman"/>
              </w:rPr>
            </w:pPr>
            <w:r>
              <w:rPr>
                <w:rFonts w:hint="eastAsia" w:ascii="Times New Roman" w:hAnsi="Times New Roman" w:cs="Times New Roman"/>
              </w:rPr>
              <w:t>4、器皿清洗：对实验所用到的器皿进行清洗。</w:t>
            </w:r>
          </w:p>
          <w:p w14:paraId="3CFA7270">
            <w:pPr>
              <w:pStyle w:val="53"/>
              <w:keepNext w:val="0"/>
              <w:keepLines w:val="0"/>
              <w:suppressLineNumbers w:val="0"/>
              <w:adjustRightInd/>
              <w:spacing w:before="0" w:beforeAutospacing="0" w:after="0" w:afterAutospacing="0" w:line="360" w:lineRule="auto"/>
              <w:ind w:left="0" w:right="0" w:firstLineChars="200"/>
              <w:jc w:val="both"/>
              <w:rPr>
                <w:rFonts w:hint="default" w:ascii="Times New Roman" w:hAnsi="Times New Roman" w:cs="Times New Roman"/>
                <w:szCs w:val="23"/>
              </w:rPr>
            </w:pPr>
            <w:r>
              <w:rPr>
                <w:rFonts w:hint="eastAsia" w:ascii="Times New Roman" w:hAnsi="Times New Roman"/>
                <w:b/>
                <w:kern w:val="0"/>
                <w:szCs w:val="24"/>
              </w:rPr>
              <w:t>产排污环节分析</w:t>
            </w:r>
            <w:r>
              <w:rPr>
                <w:rFonts w:hint="eastAsia" w:ascii="Times New Roman" w:hAnsi="Times New Roman"/>
                <w:b/>
                <w:bCs/>
                <w:kern w:val="0"/>
                <w:szCs w:val="24"/>
              </w:rPr>
              <w:t>及治理措施：</w:t>
            </w:r>
            <w:r>
              <w:rPr>
                <w:rFonts w:hint="eastAsia" w:ascii="Times New Roman" w:cs="Times New Roman"/>
              </w:rPr>
              <w:t>在实验过程</w:t>
            </w:r>
            <w:r>
              <w:rPr>
                <w:rFonts w:hint="default" w:ascii="Times New Roman" w:cs="Times New Roman"/>
              </w:rPr>
              <w:t>中</w:t>
            </w:r>
            <w:r>
              <w:rPr>
                <w:rFonts w:hint="eastAsia" w:ascii="Times New Roman" w:cs="Times New Roman"/>
              </w:rPr>
              <w:t>会</w:t>
            </w:r>
            <w:r>
              <w:rPr>
                <w:rFonts w:hint="default" w:ascii="Times New Roman" w:cs="Times New Roman"/>
              </w:rPr>
              <w:t>产生</w:t>
            </w:r>
            <w:r>
              <w:rPr>
                <w:rFonts w:hint="eastAsia" w:ascii="Times New Roman" w:cs="Times New Roman"/>
              </w:rPr>
              <w:t>后段清洗废水（W</w:t>
            </w:r>
            <w:r>
              <w:rPr>
                <w:rFonts w:hint="eastAsia" w:ascii="Times New Roman" w:cs="Times New Roman"/>
                <w:vertAlign w:val="subscript"/>
              </w:rPr>
              <w:t>1</w:t>
            </w:r>
            <w:r>
              <w:rPr>
                <w:rFonts w:hint="eastAsia" w:ascii="Times New Roman" w:cs="Times New Roman"/>
              </w:rPr>
              <w:t>）和一次、二次清洗废液（S</w:t>
            </w:r>
            <w:r>
              <w:rPr>
                <w:rFonts w:hint="eastAsia" w:ascii="Times New Roman" w:cs="Times New Roman"/>
                <w:vertAlign w:val="subscript"/>
              </w:rPr>
              <w:t>4</w:t>
            </w:r>
            <w:r>
              <w:rPr>
                <w:rFonts w:hint="eastAsia" w:ascii="Times New Roman" w:cs="Times New Roman"/>
              </w:rPr>
              <w:t>）</w:t>
            </w:r>
            <w:r>
              <w:rPr>
                <w:rFonts w:hint="default" w:ascii="Times New Roman" w:cs="Times New Roman"/>
              </w:rPr>
              <w:t>。</w:t>
            </w:r>
            <w:r>
              <w:rPr>
                <w:rFonts w:hint="eastAsia" w:ascii="Times New Roman" w:cs="Times New Roman" w:hAnsiTheme="minorEastAsia"/>
                <w:bCs/>
                <w:szCs w:val="24"/>
              </w:rPr>
              <w:t>后段清洗废水通过</w:t>
            </w:r>
            <w:r>
              <w:rPr>
                <w:rFonts w:hint="default" w:ascii="Times New Roman" w:cs="Times New Roman" w:hAnsiTheme="minorEastAsia"/>
                <w:bCs/>
                <w:szCs w:val="24"/>
              </w:rPr>
              <w:t>p</w:t>
            </w:r>
            <w:r>
              <w:rPr>
                <w:rFonts w:hint="eastAsia" w:ascii="Times New Roman" w:cs="Times New Roman" w:hAnsiTheme="minorEastAsia"/>
                <w:bCs/>
                <w:szCs w:val="24"/>
              </w:rPr>
              <w:t>H调节后经企业污水排口接入</w:t>
            </w:r>
            <w:r>
              <w:rPr>
                <w:rFonts w:hint="eastAsia" w:ascii="Times New Roman" w:hAnsi="Times New Roman"/>
                <w:kern w:val="0"/>
                <w:szCs w:val="24"/>
              </w:rPr>
              <w:t>山南新区污水处理厂</w:t>
            </w:r>
            <w:r>
              <w:rPr>
                <w:rFonts w:hint="eastAsia" w:ascii="Times New Roman" w:cs="Times New Roman" w:hAnsiTheme="minorEastAsia"/>
                <w:bCs/>
                <w:szCs w:val="24"/>
              </w:rPr>
              <w:t>；</w:t>
            </w:r>
            <w:r>
              <w:rPr>
                <w:rFonts w:hint="eastAsia" w:ascii="Times New Roman" w:cs="Times New Roman" w:hAnsiTheme="minorEastAsia" w:eastAsiaTheme="minorEastAsia"/>
              </w:rPr>
              <w:t>一次、二次清洗废液</w:t>
            </w:r>
            <w:r>
              <w:rPr>
                <w:rFonts w:hint="eastAsia" w:ascii="Times New Roman" w:cs="Times New Roman"/>
              </w:rPr>
              <w:t>（S</w:t>
            </w:r>
            <w:r>
              <w:rPr>
                <w:rFonts w:hint="eastAsia" w:ascii="Times New Roman" w:cs="Times New Roman"/>
                <w:vertAlign w:val="subscript"/>
              </w:rPr>
              <w:t>4</w:t>
            </w:r>
            <w:r>
              <w:rPr>
                <w:rFonts w:hint="eastAsia" w:ascii="Times New Roman" w:cs="Times New Roman"/>
              </w:rPr>
              <w:t>）</w:t>
            </w:r>
            <w:r>
              <w:rPr>
                <w:rFonts w:hint="eastAsia" w:ascii="Times New Roman" w:hAnsi="Times New Roman"/>
                <w:bCs/>
                <w:kern w:val="0"/>
                <w:szCs w:val="24"/>
              </w:rPr>
              <w:t>暂存于危险废物暂存间，委托有资质单位处理</w:t>
            </w:r>
            <w:r>
              <w:rPr>
                <w:rFonts w:hint="eastAsia" w:ascii="Times New Roman" w:cs="Times New Roman" w:hAnsiTheme="minorEastAsia" w:eastAsiaTheme="minorEastAsia"/>
              </w:rPr>
              <w:t>。</w:t>
            </w:r>
          </w:p>
          <w:p w14:paraId="141CCDCA">
            <w:pPr>
              <w:pStyle w:val="53"/>
              <w:keepNext w:val="0"/>
              <w:keepLines w:val="0"/>
              <w:suppressLineNumbers w:val="0"/>
              <w:adjustRightInd/>
              <w:spacing w:before="0" w:beforeAutospacing="0" w:after="0" w:afterAutospacing="0" w:line="360" w:lineRule="auto"/>
              <w:ind w:left="0" w:right="0" w:firstLine="480" w:firstLineChars="200"/>
              <w:jc w:val="both"/>
              <w:rPr>
                <w:rFonts w:hint="default" w:ascii="Times New Roman" w:hAnsi="Times New Roman" w:cs="Times New Roman"/>
              </w:rPr>
            </w:pPr>
            <w:r>
              <w:rPr>
                <w:rFonts w:hint="eastAsia" w:ascii="Times New Roman" w:hAnsi="Times New Roman" w:cs="Times New Roman"/>
              </w:rPr>
              <w:t>5、数据处理</w:t>
            </w:r>
            <w:r>
              <w:rPr>
                <w:rFonts w:hint="eastAsia" w:ascii="Times New Roman" w:hAnsi="Times New Roman" w:cs="Times New Roman"/>
                <w:lang w:eastAsia="zh-CN"/>
              </w:rPr>
              <w:t>、</w:t>
            </w:r>
            <w:r>
              <w:rPr>
                <w:rFonts w:hint="eastAsia" w:ascii="Times New Roman" w:hAnsi="Times New Roman" w:cs="Times New Roman"/>
                <w:lang w:val="en-US" w:eastAsia="zh-CN"/>
              </w:rPr>
              <w:t>出具检验报告</w:t>
            </w:r>
            <w:r>
              <w:rPr>
                <w:rFonts w:hint="eastAsia" w:ascii="Times New Roman" w:hAnsi="Times New Roman" w:cs="Times New Roman"/>
              </w:rPr>
              <w:t>：根据培养皿培养菌落结果进行数据分析，得出检测结果并出具检验报告。</w:t>
            </w:r>
          </w:p>
          <w:p w14:paraId="432A3F43">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kern w:val="0"/>
                <w:sz w:val="24"/>
                <w:szCs w:val="24"/>
              </w:rPr>
            </w:pPr>
            <w:r>
              <w:rPr>
                <w:rFonts w:hint="default" w:ascii="Times New Roman" w:hAnsi="Times New Roman" w:cs="Times New Roman"/>
                <w:b/>
                <w:bCs/>
                <w:kern w:val="0"/>
                <w:sz w:val="24"/>
                <w:szCs w:val="24"/>
              </w:rPr>
              <w:t>产排污环节分析及治</w:t>
            </w:r>
            <w:r>
              <w:rPr>
                <w:rFonts w:hint="eastAsia" w:ascii="Times New Roman" w:hAnsi="Times New Roman"/>
                <w:b/>
                <w:bCs/>
                <w:kern w:val="0"/>
                <w:sz w:val="24"/>
                <w:szCs w:val="24"/>
              </w:rPr>
              <w:t>理措施：</w:t>
            </w:r>
            <w:r>
              <w:rPr>
                <w:rFonts w:hint="eastAsia" w:ascii="Times New Roman" w:hAnsi="Times New Roman"/>
                <w:bCs/>
                <w:kern w:val="0"/>
                <w:sz w:val="24"/>
                <w:szCs w:val="24"/>
              </w:rPr>
              <w:t>本工序无污染物产生</w:t>
            </w:r>
            <w:r>
              <w:rPr>
                <w:rFonts w:hint="eastAsia" w:ascii="Times New Roman" w:hAnsi="Times New Roman"/>
                <w:kern w:val="0"/>
                <w:sz w:val="24"/>
                <w:szCs w:val="24"/>
              </w:rPr>
              <w:t>。</w:t>
            </w:r>
          </w:p>
          <w:bookmarkEnd w:id="3"/>
          <w:bookmarkEnd w:id="4"/>
          <w:p w14:paraId="5CA6DB3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bCs/>
                <w:kern w:val="0"/>
                <w:sz w:val="24"/>
                <w:szCs w:val="24"/>
              </w:rPr>
            </w:pPr>
            <w:r>
              <w:rPr>
                <w:rFonts w:hint="eastAsia" w:ascii="Times New Roman" w:hAnsi="Times New Roman" w:eastAsia="黑体" w:cs="黑体"/>
                <w:sz w:val="24"/>
                <w:szCs w:val="28"/>
              </w:rPr>
              <w:t>表</w:t>
            </w:r>
            <w:r>
              <w:rPr>
                <w:rFonts w:hint="default" w:ascii="Times New Roman" w:hAnsi="Times New Roman" w:eastAsia="黑体" w:cs="Times New Roman"/>
                <w:sz w:val="24"/>
                <w:szCs w:val="28"/>
              </w:rPr>
              <w:t>2-</w:t>
            </w:r>
            <w:r>
              <w:rPr>
                <w:rFonts w:hint="eastAsia" w:ascii="Times New Roman" w:hAnsi="Times New Roman" w:eastAsia="黑体" w:cs="Times New Roman"/>
                <w:sz w:val="24"/>
                <w:szCs w:val="28"/>
                <w:lang w:val="en-US" w:eastAsia="zh-CN"/>
              </w:rPr>
              <w:t>10</w:t>
            </w:r>
            <w:r>
              <w:rPr>
                <w:rFonts w:hint="default" w:ascii="Times New Roman" w:hAnsi="Times New Roman" w:eastAsia="黑体" w:cs="Times New Roman"/>
                <w:sz w:val="24"/>
                <w:szCs w:val="28"/>
              </w:rPr>
              <w:t xml:space="preserve">  </w:t>
            </w:r>
            <w:r>
              <w:rPr>
                <w:rFonts w:hint="eastAsia" w:ascii="Times New Roman" w:hAnsi="黑体" w:eastAsia="黑体"/>
                <w:bCs/>
                <w:kern w:val="0"/>
                <w:sz w:val="24"/>
                <w:szCs w:val="24"/>
                <w:lang w:val="en-US" w:eastAsia="zh-CN"/>
              </w:rPr>
              <w:t>质检室检验</w:t>
            </w:r>
            <w:r>
              <w:rPr>
                <w:rFonts w:hint="default" w:ascii="Times New Roman" w:hAnsi="黑体" w:eastAsia="黑体"/>
                <w:bCs/>
                <w:kern w:val="0"/>
                <w:sz w:val="24"/>
                <w:szCs w:val="24"/>
              </w:rPr>
              <w:t>产污环节统计表</w:t>
            </w:r>
          </w:p>
          <w:tbl>
            <w:tblPr>
              <w:tblStyle w:val="17"/>
              <w:tblW w:w="0" w:type="auto"/>
              <w:tblInd w:w="0" w:type="dxa"/>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
            <w:tblGrid>
              <w:gridCol w:w="653"/>
              <w:gridCol w:w="1316"/>
              <w:gridCol w:w="2192"/>
              <w:gridCol w:w="4226"/>
            </w:tblGrid>
            <w:tr w14:paraId="73B280BB">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653" w:type="dxa"/>
                  <w:tcBorders>
                    <w:top w:val="single" w:color="000000" w:sz="12" w:space="0"/>
                    <w:left w:val="nil"/>
                    <w:bottom w:val="single" w:color="000000" w:sz="4" w:space="0"/>
                    <w:right w:val="single" w:color="000000" w:sz="4" w:space="0"/>
                  </w:tcBorders>
                  <w:shd w:val="clear" w:color="auto" w:fill="auto"/>
                  <w:vAlign w:val="center"/>
                </w:tcPr>
                <w:p w14:paraId="10E3CCF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eastAsia" w:ascii="Times New Roman" w:hAnsi="Times New Roman" w:eastAsia="宋体" w:cs="宋体"/>
                      <w:b/>
                      <w:szCs w:val="21"/>
                    </w:rPr>
                    <w:t>类别</w:t>
                  </w:r>
                </w:p>
              </w:tc>
              <w:tc>
                <w:tcPr>
                  <w:tcW w:w="1316"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5895EC3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eastAsia" w:ascii="Times New Roman" w:hAnsi="Times New Roman" w:eastAsia="宋体" w:cs="宋体"/>
                      <w:b/>
                      <w:szCs w:val="21"/>
                    </w:rPr>
                    <w:t>名称</w:t>
                  </w:r>
                </w:p>
              </w:tc>
              <w:tc>
                <w:tcPr>
                  <w:tcW w:w="2192"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252E2DE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eastAsia" w:ascii="Times New Roman" w:hAnsi="Times New Roman" w:eastAsia="宋体" w:cs="宋体"/>
                      <w:b/>
                      <w:szCs w:val="21"/>
                    </w:rPr>
                    <w:t>污染物</w:t>
                  </w:r>
                </w:p>
              </w:tc>
              <w:tc>
                <w:tcPr>
                  <w:tcW w:w="4226" w:type="dxa"/>
                  <w:tcBorders>
                    <w:top w:val="single" w:color="000000" w:sz="12" w:space="0"/>
                    <w:left w:val="single" w:color="000000" w:sz="4" w:space="0"/>
                    <w:bottom w:val="single" w:color="000000" w:sz="4" w:space="0"/>
                    <w:right w:val="nil"/>
                  </w:tcBorders>
                  <w:shd w:val="clear" w:color="auto" w:fill="auto"/>
                  <w:vAlign w:val="center"/>
                </w:tcPr>
                <w:p w14:paraId="4732AA7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eastAsia" w:ascii="Times New Roman" w:hAnsi="Times New Roman" w:eastAsia="宋体" w:cs="宋体"/>
                      <w:b/>
                      <w:szCs w:val="21"/>
                    </w:rPr>
                    <w:t>收集及治理措施</w:t>
                  </w:r>
                </w:p>
              </w:tc>
            </w:tr>
            <w:tr w14:paraId="57A0450F">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653" w:type="dxa"/>
                  <w:tcBorders>
                    <w:top w:val="single" w:color="000000" w:sz="4" w:space="0"/>
                    <w:left w:val="nil"/>
                    <w:bottom w:val="single" w:color="000000" w:sz="4" w:space="0"/>
                    <w:right w:val="single" w:color="000000" w:sz="4" w:space="0"/>
                  </w:tcBorders>
                  <w:shd w:val="clear" w:color="auto" w:fill="auto"/>
                  <w:vAlign w:val="center"/>
                </w:tcPr>
                <w:p w14:paraId="1A7CAA3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eastAsia="宋体" w:cs="宋体"/>
                      <w:bCs/>
                      <w:szCs w:val="21"/>
                    </w:rPr>
                    <w:t>废水</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AF0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eastAsia="宋体" w:cs="宋体"/>
                      <w:bCs/>
                      <w:szCs w:val="21"/>
                    </w:rPr>
                    <w:t>后段清洗废水（</w:t>
                  </w:r>
                  <w:r>
                    <w:rPr>
                      <w:rFonts w:hint="default" w:ascii="Times New Roman" w:hAnsi="Times New Roman" w:eastAsia="宋体" w:cs="Times New Roman"/>
                      <w:bCs/>
                      <w:szCs w:val="21"/>
                    </w:rPr>
                    <w:t>W</w:t>
                  </w:r>
                  <w:r>
                    <w:rPr>
                      <w:rFonts w:hint="default" w:ascii="Times New Roman" w:hAnsi="Times New Roman" w:eastAsia="宋体" w:cs="Times New Roman"/>
                      <w:bCs/>
                      <w:szCs w:val="21"/>
                      <w:vertAlign w:val="subscript"/>
                    </w:rPr>
                    <w:t>1</w:t>
                  </w:r>
                  <w:r>
                    <w:rPr>
                      <w:rFonts w:hint="eastAsia" w:ascii="Times New Roman" w:hAnsi="Times New Roman" w:eastAsia="宋体" w:cs="宋体"/>
                      <w:bCs/>
                      <w:szCs w:val="21"/>
                    </w:rPr>
                    <w:t>）</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8EA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rPr>
                    <w:t>pH</w:t>
                  </w:r>
                  <w:r>
                    <w:rPr>
                      <w:rFonts w:hint="eastAsia" w:ascii="Times New Roman" w:hAnsi="Times New Roman" w:eastAsia="宋体" w:cs="宋体"/>
                      <w:bCs/>
                      <w:szCs w:val="21"/>
                    </w:rPr>
                    <w:t>值、</w:t>
                  </w:r>
                  <w:r>
                    <w:rPr>
                      <w:rFonts w:hint="default" w:ascii="Times New Roman" w:hAnsi="Times New Roman" w:eastAsia="宋体" w:cs="Times New Roman"/>
                      <w:bCs/>
                      <w:szCs w:val="21"/>
                    </w:rPr>
                    <w:t>COD</w:t>
                  </w:r>
                  <w:r>
                    <w:rPr>
                      <w:rFonts w:hint="eastAsia" w:ascii="Times New Roman" w:hAnsi="Times New Roman" w:eastAsia="宋体" w:cs="宋体"/>
                      <w:bCs/>
                      <w:szCs w:val="21"/>
                    </w:rPr>
                    <w:t>、</w:t>
                  </w:r>
                  <w:r>
                    <w:rPr>
                      <w:rFonts w:hint="default" w:ascii="Times New Roman" w:hAnsi="Times New Roman" w:eastAsia="宋体" w:cs="Times New Roman"/>
                      <w:bCs/>
                      <w:szCs w:val="21"/>
                    </w:rPr>
                    <w:t>NH</w:t>
                  </w:r>
                  <w:r>
                    <w:rPr>
                      <w:rFonts w:hint="default" w:ascii="Times New Roman" w:hAnsi="Times New Roman" w:eastAsia="宋体" w:cs="Times New Roman"/>
                      <w:bCs/>
                      <w:szCs w:val="21"/>
                      <w:vertAlign w:val="subscript"/>
                    </w:rPr>
                    <w:t>3</w:t>
                  </w:r>
                  <w:r>
                    <w:rPr>
                      <w:rFonts w:hint="default" w:ascii="Times New Roman" w:hAnsi="Times New Roman" w:eastAsia="宋体" w:cs="Times New Roman"/>
                      <w:bCs/>
                      <w:szCs w:val="21"/>
                    </w:rPr>
                    <w:t>-N</w:t>
                  </w:r>
                  <w:r>
                    <w:rPr>
                      <w:rFonts w:hint="eastAsia" w:ascii="Times New Roman" w:hAnsi="Times New Roman" w:eastAsia="宋体" w:cs="宋体"/>
                      <w:bCs/>
                      <w:szCs w:val="21"/>
                    </w:rPr>
                    <w:t>、</w:t>
                  </w:r>
                  <w:r>
                    <w:rPr>
                      <w:rFonts w:hint="default" w:ascii="Times New Roman" w:hAnsi="Times New Roman" w:eastAsia="宋体" w:cs="Times New Roman"/>
                      <w:bCs/>
                      <w:szCs w:val="21"/>
                    </w:rPr>
                    <w:t>SS</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粪大肠菌群</w:t>
                  </w:r>
                </w:p>
              </w:tc>
              <w:tc>
                <w:tcPr>
                  <w:tcW w:w="4226" w:type="dxa"/>
                  <w:tcBorders>
                    <w:top w:val="single" w:color="000000" w:sz="4" w:space="0"/>
                    <w:left w:val="single" w:color="000000" w:sz="4" w:space="0"/>
                    <w:bottom w:val="single" w:color="000000" w:sz="4" w:space="0"/>
                    <w:right w:val="nil"/>
                  </w:tcBorders>
                  <w:shd w:val="clear" w:color="auto" w:fill="auto"/>
                  <w:vAlign w:val="center"/>
                </w:tcPr>
                <w:p w14:paraId="31C2AA1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eastAsia="宋体" w:cs="宋体"/>
                      <w:bCs/>
                      <w:szCs w:val="21"/>
                    </w:rPr>
                    <w:t>通过pH调节后与经化粪池处理后生活污水一起排入</w:t>
                  </w:r>
                  <w:r>
                    <w:rPr>
                      <w:rFonts w:hint="eastAsia" w:ascii="Times New Roman" w:hAnsi="Times New Roman"/>
                      <w:kern w:val="0"/>
                      <w:szCs w:val="24"/>
                    </w:rPr>
                    <w:t>山南新区污水处理厂处理</w:t>
                  </w:r>
                </w:p>
              </w:tc>
            </w:tr>
            <w:tr w14:paraId="6F9A0F3E">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653" w:type="dxa"/>
                  <w:vMerge w:val="restart"/>
                  <w:tcBorders>
                    <w:top w:val="single" w:color="000000" w:sz="4" w:space="0"/>
                    <w:left w:val="nil"/>
                    <w:bottom w:val="single" w:color="000000" w:sz="12" w:space="0"/>
                    <w:right w:val="single" w:color="000000" w:sz="4" w:space="0"/>
                  </w:tcBorders>
                  <w:shd w:val="clear" w:color="auto" w:fill="auto"/>
                  <w:vAlign w:val="center"/>
                </w:tcPr>
                <w:p w14:paraId="629E0B8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eastAsia="宋体" w:cs="宋体"/>
                      <w:bCs/>
                      <w:szCs w:val="21"/>
                    </w:rPr>
                    <w:t>固废</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B643B2">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eastAsia="宋体" w:cs="宋体"/>
                      <w:bCs/>
                      <w:szCs w:val="21"/>
                    </w:rPr>
                    <w:t>废弃样品（</w:t>
                  </w:r>
                  <w:r>
                    <w:rPr>
                      <w:rFonts w:hint="default" w:ascii="Times New Roman" w:hAnsi="Times New Roman" w:eastAsia="宋体" w:cs="Times New Roman"/>
                      <w:bCs/>
                      <w:szCs w:val="21"/>
                    </w:rPr>
                    <w:t>S</w:t>
                  </w:r>
                  <w:r>
                    <w:rPr>
                      <w:rFonts w:hint="eastAsia" w:ascii="Times New Roman" w:hAnsi="Times New Roman" w:eastAsia="宋体" w:cs="Times New Roman"/>
                      <w:bCs/>
                      <w:szCs w:val="21"/>
                      <w:vertAlign w:val="subscript"/>
                    </w:rPr>
                    <w:t>2</w:t>
                  </w:r>
                  <w:r>
                    <w:rPr>
                      <w:rFonts w:hint="eastAsia" w:ascii="Times New Roman" w:hAnsi="Times New Roman" w:eastAsia="宋体" w:cs="宋体"/>
                      <w:bCs/>
                      <w:szCs w:val="21"/>
                    </w:rPr>
                    <w:t>）</w:t>
                  </w:r>
                </w:p>
              </w:tc>
              <w:tc>
                <w:tcPr>
                  <w:tcW w:w="4226" w:type="dxa"/>
                  <w:vMerge w:val="restart"/>
                  <w:tcBorders>
                    <w:top w:val="single" w:color="000000" w:sz="4" w:space="0"/>
                    <w:left w:val="single" w:color="000000" w:sz="4" w:space="0"/>
                    <w:bottom w:val="single" w:color="000000" w:sz="12" w:space="0"/>
                    <w:right w:val="nil"/>
                  </w:tcBorders>
                  <w:shd w:val="clear" w:color="auto" w:fill="auto"/>
                  <w:vAlign w:val="center"/>
                </w:tcPr>
                <w:p w14:paraId="3138847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eastAsia="宋体" w:cs="宋体"/>
                      <w:bCs/>
                      <w:szCs w:val="21"/>
                    </w:rPr>
                    <w:t>收集后暂存于危废暂存间，定期委托有资质单位处理</w:t>
                  </w:r>
                </w:p>
              </w:tc>
            </w:tr>
            <w:tr w14:paraId="2CB4C0BD">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40" w:hRule="atLeast"/>
              </w:trPr>
              <w:tc>
                <w:tcPr>
                  <w:tcW w:w="653" w:type="dxa"/>
                  <w:vMerge w:val="continue"/>
                  <w:tcBorders>
                    <w:top w:val="single" w:color="000000" w:sz="4" w:space="0"/>
                    <w:left w:val="nil"/>
                    <w:bottom w:val="single" w:color="000000" w:sz="12" w:space="0"/>
                    <w:right w:val="single" w:color="000000" w:sz="4" w:space="0"/>
                  </w:tcBorders>
                  <w:shd w:val="clear" w:color="auto" w:fill="auto"/>
                  <w:vAlign w:val="center"/>
                </w:tcPr>
                <w:p w14:paraId="391CF82D">
                  <w:pPr>
                    <w:keepNext w:val="0"/>
                    <w:keepLines w:val="0"/>
                    <w:suppressLineNumbers w:val="0"/>
                    <w:spacing w:before="0" w:beforeAutospacing="0" w:after="0" w:afterAutospacing="0"/>
                    <w:ind w:left="0" w:right="0"/>
                    <w:rPr>
                      <w:rFonts w:hint="default" w:ascii="Calibri" w:hAnsi="Calibri" w:eastAsia="宋体" w:cs="Times New Roman"/>
                    </w:rPr>
                  </w:pP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AADC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eastAsia="宋体" w:cs="宋体"/>
                      <w:bCs/>
                      <w:szCs w:val="21"/>
                      <w:lang w:val="en-US" w:eastAsia="zh-CN"/>
                    </w:rPr>
                    <w:t>实验废液</w:t>
                  </w:r>
                  <w:r>
                    <w:rPr>
                      <w:rFonts w:hint="eastAsia" w:ascii="Times New Roman" w:hAnsi="Times New Roman" w:eastAsia="宋体" w:cs="宋体"/>
                      <w:bCs/>
                      <w:szCs w:val="21"/>
                    </w:rPr>
                    <w:t>（</w:t>
                  </w:r>
                  <w:r>
                    <w:rPr>
                      <w:rFonts w:hint="default" w:ascii="Times New Roman" w:hAnsi="Times New Roman" w:eastAsia="宋体" w:cs="Times New Roman"/>
                      <w:bCs/>
                      <w:szCs w:val="21"/>
                    </w:rPr>
                    <w:t>S</w:t>
                  </w:r>
                  <w:r>
                    <w:rPr>
                      <w:rFonts w:hint="eastAsia" w:ascii="Times New Roman" w:hAnsi="Times New Roman" w:eastAsia="宋体" w:cs="Times New Roman"/>
                      <w:bCs/>
                      <w:szCs w:val="21"/>
                      <w:vertAlign w:val="subscript"/>
                    </w:rPr>
                    <w:t>3</w:t>
                  </w:r>
                  <w:r>
                    <w:rPr>
                      <w:rFonts w:hint="eastAsia" w:ascii="Times New Roman" w:hAnsi="Times New Roman" w:eastAsia="宋体" w:cs="宋体"/>
                      <w:bCs/>
                      <w:szCs w:val="21"/>
                    </w:rPr>
                    <w:t>）</w:t>
                  </w:r>
                </w:p>
              </w:tc>
              <w:tc>
                <w:tcPr>
                  <w:tcW w:w="4226" w:type="dxa"/>
                  <w:vMerge w:val="continue"/>
                  <w:tcBorders>
                    <w:top w:val="single" w:color="000000" w:sz="4" w:space="0"/>
                    <w:left w:val="single" w:color="000000" w:sz="4" w:space="0"/>
                    <w:bottom w:val="single" w:color="000000" w:sz="12" w:space="0"/>
                    <w:right w:val="nil"/>
                  </w:tcBorders>
                  <w:shd w:val="clear" w:color="auto" w:fill="auto"/>
                  <w:vAlign w:val="center"/>
                </w:tcPr>
                <w:p w14:paraId="4B2BC3B1">
                  <w:pPr>
                    <w:keepNext w:val="0"/>
                    <w:keepLines w:val="0"/>
                    <w:suppressLineNumbers w:val="0"/>
                    <w:spacing w:before="0" w:beforeAutospacing="0" w:after="0" w:afterAutospacing="0"/>
                    <w:ind w:left="0" w:right="0"/>
                    <w:rPr>
                      <w:rFonts w:hint="default" w:ascii="Calibri" w:hAnsi="Calibri" w:eastAsia="宋体" w:cs="Times New Roman"/>
                    </w:rPr>
                  </w:pPr>
                </w:p>
              </w:tc>
            </w:tr>
            <w:tr w14:paraId="56ADA0FC">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40" w:hRule="atLeast"/>
              </w:trPr>
              <w:tc>
                <w:tcPr>
                  <w:tcW w:w="653" w:type="dxa"/>
                  <w:vMerge w:val="continue"/>
                  <w:tcBorders>
                    <w:top w:val="single" w:color="000000" w:sz="4" w:space="0"/>
                    <w:left w:val="nil"/>
                    <w:bottom w:val="single" w:color="000000" w:sz="12" w:space="0"/>
                    <w:right w:val="single" w:color="000000" w:sz="4" w:space="0"/>
                  </w:tcBorders>
                  <w:shd w:val="clear" w:color="auto" w:fill="auto"/>
                  <w:vAlign w:val="center"/>
                </w:tcPr>
                <w:p w14:paraId="4F4FCE6A">
                  <w:pPr>
                    <w:keepNext w:val="0"/>
                    <w:keepLines w:val="0"/>
                    <w:suppressLineNumbers w:val="0"/>
                    <w:spacing w:before="0" w:beforeAutospacing="0" w:after="0" w:afterAutospacing="0"/>
                    <w:ind w:left="0" w:right="0"/>
                    <w:rPr>
                      <w:rFonts w:hint="default" w:ascii="Calibri" w:hAnsi="Calibri" w:eastAsia="宋体" w:cs="Times New Roman"/>
                    </w:rPr>
                  </w:pP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639A68">
                  <w:pPr>
                    <w:keepNext w:val="0"/>
                    <w:keepLines w:val="0"/>
                    <w:suppressLineNumbers w:val="0"/>
                    <w:spacing w:before="0" w:beforeAutospacing="0" w:after="0" w:afterAutospacing="0" w:line="276" w:lineRule="auto"/>
                    <w:ind w:left="0" w:right="0"/>
                    <w:jc w:val="center"/>
                    <w:rPr>
                      <w:rFonts w:hint="eastAsia" w:ascii="Times New Roman" w:hAnsi="Times New Roman" w:eastAsia="宋体" w:cs="宋体"/>
                      <w:bCs/>
                      <w:szCs w:val="21"/>
                    </w:rPr>
                  </w:pPr>
                  <w:r>
                    <w:rPr>
                      <w:rFonts w:hint="eastAsia" w:ascii="Times New Roman" w:hAnsi="Times New Roman" w:eastAsia="宋体" w:cs="宋体"/>
                      <w:bCs/>
                      <w:szCs w:val="21"/>
                    </w:rPr>
                    <w:t>废培养基（</w:t>
                  </w:r>
                  <w:r>
                    <w:rPr>
                      <w:rFonts w:hint="default" w:ascii="Times New Roman" w:hAnsi="Times New Roman" w:eastAsia="宋体" w:cs="Times New Roman"/>
                      <w:bCs/>
                      <w:szCs w:val="21"/>
                    </w:rPr>
                    <w:t>S</w:t>
                  </w:r>
                  <w:r>
                    <w:rPr>
                      <w:rFonts w:hint="eastAsia" w:ascii="Times New Roman" w:hAnsi="Times New Roman" w:eastAsia="宋体" w:cs="Times New Roman"/>
                      <w:bCs/>
                      <w:szCs w:val="21"/>
                      <w:vertAlign w:val="subscript"/>
                      <w:lang w:val="en-US" w:eastAsia="zh-CN"/>
                    </w:rPr>
                    <w:t>4</w:t>
                  </w:r>
                  <w:r>
                    <w:rPr>
                      <w:rFonts w:hint="eastAsia" w:ascii="Times New Roman" w:hAnsi="Times New Roman" w:eastAsia="宋体" w:cs="宋体"/>
                      <w:bCs/>
                      <w:szCs w:val="21"/>
                    </w:rPr>
                    <w:t>）</w:t>
                  </w:r>
                </w:p>
              </w:tc>
              <w:tc>
                <w:tcPr>
                  <w:tcW w:w="4226" w:type="dxa"/>
                  <w:vMerge w:val="continue"/>
                  <w:tcBorders>
                    <w:top w:val="single" w:color="000000" w:sz="4" w:space="0"/>
                    <w:left w:val="single" w:color="000000" w:sz="4" w:space="0"/>
                    <w:bottom w:val="single" w:color="000000" w:sz="12" w:space="0"/>
                    <w:right w:val="nil"/>
                  </w:tcBorders>
                  <w:shd w:val="clear" w:color="auto" w:fill="auto"/>
                  <w:vAlign w:val="center"/>
                </w:tcPr>
                <w:p w14:paraId="48489C30">
                  <w:pPr>
                    <w:keepNext w:val="0"/>
                    <w:keepLines w:val="0"/>
                    <w:suppressLineNumbers w:val="0"/>
                    <w:spacing w:before="0" w:beforeAutospacing="0" w:after="0" w:afterAutospacing="0"/>
                    <w:ind w:left="0" w:right="0"/>
                    <w:rPr>
                      <w:rFonts w:hint="default" w:ascii="Calibri" w:hAnsi="Calibri" w:eastAsia="宋体" w:cs="Times New Roman"/>
                    </w:rPr>
                  </w:pPr>
                </w:p>
              </w:tc>
            </w:tr>
            <w:tr w14:paraId="4C5DB9CE">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40" w:hRule="atLeast"/>
              </w:trPr>
              <w:tc>
                <w:tcPr>
                  <w:tcW w:w="653" w:type="dxa"/>
                  <w:vMerge w:val="continue"/>
                  <w:tcBorders>
                    <w:top w:val="single" w:color="000000" w:sz="4" w:space="0"/>
                    <w:left w:val="nil"/>
                    <w:bottom w:val="single" w:color="000000" w:sz="12" w:space="0"/>
                    <w:right w:val="single" w:color="000000" w:sz="4" w:space="0"/>
                  </w:tcBorders>
                  <w:shd w:val="clear" w:color="auto" w:fill="auto"/>
                  <w:vAlign w:val="center"/>
                </w:tcPr>
                <w:p w14:paraId="0021E47A">
                  <w:pPr>
                    <w:keepNext w:val="0"/>
                    <w:keepLines w:val="0"/>
                    <w:suppressLineNumbers w:val="0"/>
                    <w:spacing w:before="0" w:beforeAutospacing="0" w:after="0" w:afterAutospacing="0"/>
                    <w:ind w:left="0" w:right="0"/>
                    <w:rPr>
                      <w:rFonts w:hint="default" w:ascii="Calibri" w:hAnsi="Calibri" w:eastAsia="宋体" w:cs="Times New Roman"/>
                    </w:rPr>
                  </w:pPr>
                </w:p>
              </w:tc>
              <w:tc>
                <w:tcPr>
                  <w:tcW w:w="3508" w:type="dxa"/>
                  <w:gridSpan w:val="2"/>
                  <w:tcBorders>
                    <w:top w:val="single" w:color="000000" w:sz="4" w:space="0"/>
                    <w:left w:val="single" w:color="000000" w:sz="4" w:space="0"/>
                    <w:bottom w:val="single" w:color="000000" w:sz="12" w:space="0"/>
                    <w:right w:val="single" w:color="000000" w:sz="4" w:space="0"/>
                  </w:tcBorders>
                  <w:shd w:val="clear" w:color="auto" w:fill="auto"/>
                  <w:vAlign w:val="center"/>
                </w:tcPr>
                <w:p w14:paraId="7458602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eastAsia="宋体" w:cs="宋体"/>
                      <w:bCs/>
                      <w:szCs w:val="21"/>
                    </w:rPr>
                    <w:t>一次、二次清洗废液（</w:t>
                  </w:r>
                  <w:r>
                    <w:rPr>
                      <w:rFonts w:hint="default" w:ascii="Times New Roman" w:hAnsi="Times New Roman" w:eastAsia="宋体" w:cs="Times New Roman"/>
                      <w:bCs/>
                      <w:szCs w:val="21"/>
                    </w:rPr>
                    <w:t>S</w:t>
                  </w:r>
                  <w:r>
                    <w:rPr>
                      <w:rFonts w:hint="eastAsia" w:ascii="Times New Roman" w:hAnsi="Times New Roman" w:eastAsia="宋体" w:cs="Times New Roman"/>
                      <w:bCs/>
                      <w:szCs w:val="21"/>
                      <w:vertAlign w:val="subscript"/>
                      <w:lang w:val="en-US" w:eastAsia="zh-CN"/>
                    </w:rPr>
                    <w:t>5</w:t>
                  </w:r>
                  <w:r>
                    <w:rPr>
                      <w:rFonts w:hint="eastAsia" w:ascii="Times New Roman" w:hAnsi="Times New Roman" w:eastAsia="宋体" w:cs="宋体"/>
                      <w:bCs/>
                      <w:szCs w:val="21"/>
                    </w:rPr>
                    <w:t>）</w:t>
                  </w:r>
                </w:p>
              </w:tc>
              <w:tc>
                <w:tcPr>
                  <w:tcW w:w="4226" w:type="dxa"/>
                  <w:vMerge w:val="continue"/>
                  <w:tcBorders>
                    <w:top w:val="single" w:color="000000" w:sz="4" w:space="0"/>
                    <w:left w:val="single" w:color="000000" w:sz="4" w:space="0"/>
                    <w:bottom w:val="single" w:color="000000" w:sz="12" w:space="0"/>
                    <w:right w:val="nil"/>
                  </w:tcBorders>
                  <w:shd w:val="clear" w:color="auto" w:fill="auto"/>
                  <w:vAlign w:val="center"/>
                </w:tcPr>
                <w:p w14:paraId="67CF71D3">
                  <w:pPr>
                    <w:keepNext w:val="0"/>
                    <w:keepLines w:val="0"/>
                    <w:suppressLineNumbers w:val="0"/>
                    <w:spacing w:before="0" w:beforeAutospacing="0" w:after="0" w:afterAutospacing="0"/>
                    <w:ind w:left="0" w:right="0"/>
                    <w:rPr>
                      <w:rFonts w:hint="default" w:ascii="Calibri" w:hAnsi="Calibri" w:eastAsia="宋体" w:cs="Times New Roman"/>
                    </w:rPr>
                  </w:pPr>
                </w:p>
              </w:tc>
            </w:tr>
          </w:tbl>
          <w:p w14:paraId="23AEC48A">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sz w:val="24"/>
                <w:szCs w:val="28"/>
              </w:rPr>
            </w:pPr>
          </w:p>
          <w:p w14:paraId="33737290">
            <w:pPr>
              <w:keepNext w:val="0"/>
              <w:keepLines w:val="0"/>
              <w:widowControl/>
              <w:suppressLineNumbers w:val="0"/>
              <w:spacing w:before="0" w:beforeAutospacing="0" w:after="0" w:afterAutospacing="0" w:line="360" w:lineRule="auto"/>
              <w:ind w:left="0" w:right="0" w:firstLine="477" w:firstLineChars="199"/>
              <w:rPr>
                <w:rFonts w:hint="default" w:ascii="Times New Roman" w:hAnsi="Times New Roman" w:cs="Times New Roman"/>
                <w:sz w:val="24"/>
                <w:szCs w:val="28"/>
              </w:rPr>
            </w:pPr>
          </w:p>
          <w:p w14:paraId="2C942CCB">
            <w:pPr>
              <w:keepNext w:val="0"/>
              <w:keepLines w:val="0"/>
              <w:widowControl/>
              <w:suppressLineNumbers w:val="0"/>
              <w:tabs>
                <w:tab w:val="left" w:pos="5875"/>
              </w:tabs>
              <w:spacing w:before="0" w:beforeAutospacing="0" w:after="0" w:afterAutospacing="0" w:line="360" w:lineRule="auto"/>
              <w:ind w:left="0" w:right="0"/>
              <w:rPr>
                <w:rFonts w:hint="default" w:ascii="Times New Roman" w:hAnsi="Times New Roman" w:cs="Times New Roman"/>
                <w:sz w:val="24"/>
                <w:szCs w:val="28"/>
              </w:rPr>
            </w:pPr>
          </w:p>
          <w:p w14:paraId="5505EE6F">
            <w:pPr>
              <w:keepNext w:val="0"/>
              <w:keepLines w:val="0"/>
              <w:widowControl/>
              <w:suppressLineNumbers w:val="0"/>
              <w:tabs>
                <w:tab w:val="left" w:pos="5875"/>
              </w:tabs>
              <w:spacing w:before="0" w:beforeAutospacing="0" w:after="0" w:afterAutospacing="0" w:line="360" w:lineRule="auto"/>
              <w:ind w:left="0" w:right="0"/>
              <w:rPr>
                <w:rFonts w:hint="default" w:ascii="Times New Roman" w:hAnsi="Times New Roman" w:cs="Times New Roman"/>
                <w:sz w:val="24"/>
                <w:szCs w:val="28"/>
              </w:rPr>
            </w:pPr>
          </w:p>
          <w:p w14:paraId="72733F2E">
            <w:pPr>
              <w:keepNext w:val="0"/>
              <w:keepLines w:val="0"/>
              <w:widowControl/>
              <w:suppressLineNumbers w:val="0"/>
              <w:tabs>
                <w:tab w:val="left" w:pos="5875"/>
              </w:tabs>
              <w:spacing w:before="0" w:beforeAutospacing="0" w:after="0" w:afterAutospacing="0" w:line="360" w:lineRule="auto"/>
              <w:ind w:left="0" w:right="0"/>
              <w:rPr>
                <w:rFonts w:hint="default" w:ascii="Times New Roman" w:hAnsi="Times New Roman" w:cs="Times New Roman"/>
                <w:sz w:val="24"/>
                <w:szCs w:val="28"/>
              </w:rPr>
            </w:pPr>
          </w:p>
          <w:p w14:paraId="5FAE7764">
            <w:pPr>
              <w:keepNext w:val="0"/>
              <w:keepLines w:val="0"/>
              <w:widowControl/>
              <w:suppressLineNumbers w:val="0"/>
              <w:tabs>
                <w:tab w:val="left" w:pos="5875"/>
              </w:tabs>
              <w:spacing w:before="0" w:beforeAutospacing="0" w:after="0" w:afterAutospacing="0" w:line="360" w:lineRule="auto"/>
              <w:ind w:left="0" w:right="0"/>
              <w:rPr>
                <w:rFonts w:hint="default" w:ascii="Times New Roman" w:hAnsi="Times New Roman" w:cs="Times New Roman"/>
                <w:sz w:val="24"/>
                <w:szCs w:val="28"/>
              </w:rPr>
            </w:pPr>
          </w:p>
          <w:p w14:paraId="4D554A61">
            <w:pPr>
              <w:keepNext w:val="0"/>
              <w:keepLines w:val="0"/>
              <w:widowControl/>
              <w:suppressLineNumbers w:val="0"/>
              <w:tabs>
                <w:tab w:val="left" w:pos="5875"/>
              </w:tabs>
              <w:spacing w:before="0" w:beforeAutospacing="0" w:after="0" w:afterAutospacing="0" w:line="360" w:lineRule="auto"/>
              <w:ind w:left="0" w:right="0"/>
              <w:rPr>
                <w:rFonts w:hint="default" w:ascii="Times New Roman" w:hAnsi="Times New Roman" w:cs="Times New Roman"/>
                <w:sz w:val="24"/>
                <w:szCs w:val="28"/>
              </w:rPr>
            </w:pPr>
          </w:p>
          <w:p w14:paraId="3DB86088">
            <w:pPr>
              <w:keepNext w:val="0"/>
              <w:keepLines w:val="0"/>
              <w:widowControl/>
              <w:suppressLineNumbers w:val="0"/>
              <w:tabs>
                <w:tab w:val="left" w:pos="5875"/>
              </w:tabs>
              <w:spacing w:before="0" w:beforeAutospacing="0" w:after="0" w:afterAutospacing="0" w:line="360" w:lineRule="auto"/>
              <w:ind w:left="0" w:right="0"/>
              <w:rPr>
                <w:rFonts w:hint="default" w:ascii="Times New Roman" w:hAnsi="Times New Roman" w:cs="Times New Roman"/>
                <w:sz w:val="24"/>
                <w:szCs w:val="28"/>
              </w:rPr>
            </w:pPr>
          </w:p>
        </w:tc>
      </w:tr>
    </w:tbl>
    <w:p w14:paraId="20B832B8">
      <w:pPr>
        <w:rPr>
          <w:rFonts w:ascii="Times New Roman" w:hAnsi="Times New Roman"/>
        </w:rPr>
        <w:sectPr>
          <w:headerReference r:id="rId7" w:type="default"/>
          <w:footerReference r:id="rId8" w:type="default"/>
          <w:pgSz w:w="11906" w:h="16838"/>
          <w:pgMar w:top="1701" w:right="1531" w:bottom="1701" w:left="1531" w:header="851" w:footer="992" w:gutter="0"/>
          <w:cols w:space="425" w:num="1"/>
          <w:docGrid w:type="lines" w:linePitch="312" w:charSpace="0"/>
        </w:sectPr>
      </w:pP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5"/>
      </w:tblGrid>
      <w:tr w14:paraId="6B145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7" w:hRule="atLeast"/>
          <w:jc w:val="center"/>
        </w:trPr>
        <w:tc>
          <w:tcPr>
            <w:tcW w:w="268" w:type="pct"/>
            <w:vAlign w:val="center"/>
          </w:tcPr>
          <w:p w14:paraId="6EA88835">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宋体"/>
                <w:kern w:val="0"/>
                <w:sz w:val="24"/>
                <w:szCs w:val="24"/>
              </w:rPr>
            </w:pPr>
            <w:r>
              <w:rPr>
                <w:rFonts w:hint="eastAsia" w:ascii="Times New Roman" w:hAnsi="Times New Roman" w:eastAsia="宋体" w:cs="宋体"/>
                <w:bCs/>
                <w:sz w:val="24"/>
                <w:szCs w:val="24"/>
              </w:rPr>
              <w:t>与项目有关的原有环境污染问题</w:t>
            </w:r>
          </w:p>
        </w:tc>
        <w:tc>
          <w:tcPr>
            <w:tcW w:w="4732" w:type="pct"/>
          </w:tcPr>
          <w:p w14:paraId="659E2B6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w:t>
            </w:r>
            <w:r>
              <w:rPr>
                <w:rFonts w:hint="eastAsia" w:ascii="Times New Roman" w:hAnsi="Times New Roman" w:eastAsia="宋体" w:cs="Times New Roman"/>
                <w:kern w:val="0"/>
                <w:sz w:val="24"/>
                <w:szCs w:val="24"/>
              </w:rPr>
              <w:t>租赁</w:t>
            </w:r>
            <w:r>
              <w:rPr>
                <w:rFonts w:hint="default" w:ascii="Times New Roman" w:hAnsi="Times New Roman" w:cs="Times New Roman"/>
                <w:bCs/>
                <w:sz w:val="24"/>
              </w:rPr>
              <w:t>淮南高新技术产业开发区科技信息产业园5号楼</w:t>
            </w:r>
            <w:r>
              <w:rPr>
                <w:rFonts w:hint="eastAsia" w:ascii="Times New Roman" w:hAnsi="Times New Roman" w:eastAsia="宋体" w:cs="Times New Roman"/>
                <w:kern w:val="0"/>
                <w:sz w:val="24"/>
                <w:szCs w:val="24"/>
              </w:rPr>
              <w:t>建设</w:t>
            </w:r>
            <w:r>
              <w:rPr>
                <w:rFonts w:hint="eastAsia" w:ascii="Times New Roman" w:hAnsi="Times New Roman" w:eastAsia="宋体" w:cs="Times New Roman"/>
                <w:bCs/>
                <w:sz w:val="24"/>
                <w:lang w:eastAsia="zh-CN"/>
              </w:rPr>
              <w:t>安徽樱琦药用新材料项目</w:t>
            </w:r>
            <w:r>
              <w:rPr>
                <w:rFonts w:hint="eastAsia" w:ascii="Times New Roman" w:hAnsi="Times New Roman" w:eastAsia="宋体" w:cs="Times New Roman"/>
                <w:kern w:val="0"/>
                <w:sz w:val="24"/>
                <w:szCs w:val="24"/>
              </w:rPr>
              <w:t>，为新建项目。根据现场调查，</w:t>
            </w:r>
            <w:r>
              <w:rPr>
                <w:rFonts w:hint="default" w:ascii="Times New Roman" w:hAnsi="Times New Roman" w:cs="Times New Roman"/>
                <w:bCs/>
                <w:sz w:val="24"/>
              </w:rPr>
              <w:t>淮南高新技术产业开发区科技信息产业园5号楼</w:t>
            </w:r>
            <w:r>
              <w:rPr>
                <w:rFonts w:hint="eastAsia" w:ascii="Times New Roman" w:hAnsi="Times New Roman" w:cs="Times New Roman"/>
                <w:bCs/>
                <w:sz w:val="24"/>
              </w:rPr>
              <w:t>（1层、2层、3层、5层、6层、7层）</w:t>
            </w:r>
            <w:r>
              <w:rPr>
                <w:rFonts w:hint="eastAsia" w:ascii="Times New Roman" w:hAnsi="Times New Roman" w:eastAsia="宋体" w:cs="Times New Roman"/>
                <w:kern w:val="0"/>
                <w:sz w:val="24"/>
                <w:szCs w:val="24"/>
              </w:rPr>
              <w:t>目前处于空置状态，</w:t>
            </w:r>
            <w:r>
              <w:rPr>
                <w:rFonts w:hint="default" w:ascii="Times New Roman" w:hAnsi="Times New Roman" w:eastAsia="宋体" w:cs="Times New Roman"/>
                <w:bCs/>
                <w:sz w:val="24"/>
                <w:szCs w:val="24"/>
              </w:rPr>
              <w:t>无原有环境污染问题</w:t>
            </w:r>
            <w:r>
              <w:rPr>
                <w:rFonts w:hint="eastAsia" w:ascii="Times New Roman" w:hAnsi="Times New Roman" w:eastAsia="宋体" w:cs="Times New Roman"/>
                <w:kern w:val="0"/>
                <w:sz w:val="24"/>
                <w:szCs w:val="24"/>
              </w:rPr>
              <w:t>。</w:t>
            </w:r>
          </w:p>
          <w:p w14:paraId="01B5824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p>
          <w:p w14:paraId="1624E30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szCs w:val="24"/>
              </w:rPr>
            </w:pPr>
          </w:p>
          <w:p w14:paraId="0DF169C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szCs w:val="24"/>
              </w:rPr>
            </w:pPr>
          </w:p>
          <w:p w14:paraId="1A26144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szCs w:val="24"/>
              </w:rPr>
            </w:pPr>
          </w:p>
          <w:p w14:paraId="067A612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szCs w:val="24"/>
              </w:rPr>
            </w:pPr>
          </w:p>
          <w:p w14:paraId="6AC1342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szCs w:val="24"/>
              </w:rPr>
            </w:pPr>
          </w:p>
          <w:p w14:paraId="141A4089">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Cs/>
                <w:sz w:val="24"/>
                <w:szCs w:val="24"/>
              </w:rPr>
            </w:pPr>
          </w:p>
          <w:p w14:paraId="249A2004">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Cs/>
                <w:sz w:val="24"/>
                <w:szCs w:val="24"/>
              </w:rPr>
            </w:pPr>
          </w:p>
          <w:p w14:paraId="289DB23F">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Cs/>
                <w:sz w:val="24"/>
                <w:szCs w:val="24"/>
              </w:rPr>
            </w:pPr>
          </w:p>
          <w:p w14:paraId="2CFD018B">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Cs/>
                <w:sz w:val="24"/>
                <w:szCs w:val="24"/>
              </w:rPr>
            </w:pPr>
          </w:p>
          <w:p w14:paraId="05958938">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Cs/>
                <w:sz w:val="24"/>
                <w:szCs w:val="24"/>
              </w:rPr>
            </w:pPr>
          </w:p>
          <w:p w14:paraId="4EA03BC1">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Cs/>
                <w:sz w:val="24"/>
                <w:szCs w:val="24"/>
              </w:rPr>
            </w:pPr>
          </w:p>
          <w:p w14:paraId="4926820E">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Cs/>
                <w:sz w:val="24"/>
                <w:szCs w:val="24"/>
              </w:rPr>
            </w:pPr>
          </w:p>
          <w:p w14:paraId="53A6EE54">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Cs/>
                <w:sz w:val="24"/>
                <w:szCs w:val="24"/>
              </w:rPr>
            </w:pPr>
          </w:p>
          <w:p w14:paraId="37E13F62">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Cs/>
                <w:sz w:val="24"/>
                <w:szCs w:val="24"/>
              </w:rPr>
            </w:pPr>
          </w:p>
        </w:tc>
      </w:tr>
    </w:tbl>
    <w:p w14:paraId="24CAEBAE">
      <w:pPr>
        <w:widowControl/>
        <w:spacing w:before="100" w:beforeAutospacing="1" w:after="100" w:afterAutospacing="1"/>
        <w:jc w:val="center"/>
        <w:outlineLvl w:val="0"/>
        <w:rPr>
          <w:rFonts w:ascii="Times New Roman" w:hAnsi="Times New Roman" w:eastAsia="黑体" w:cs="Times New Roman"/>
          <w:snapToGrid w:val="0"/>
          <w:kern w:val="0"/>
          <w:sz w:val="30"/>
          <w:szCs w:val="30"/>
        </w:rPr>
      </w:pPr>
      <w:r>
        <w:rPr>
          <w:rFonts w:hint="eastAsia" w:ascii="Times New Roman" w:hAnsi="Times New Roman" w:eastAsia="黑体" w:cs="Times New Roman"/>
          <w:snapToGrid w:val="0"/>
          <w:kern w:val="0"/>
          <w:sz w:val="30"/>
          <w:szCs w:val="30"/>
        </w:rPr>
        <w:t>三、区域环境质量现状、环境保护目标及评价标准</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069"/>
      </w:tblGrid>
      <w:tr w14:paraId="0A749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66" w:type="pct"/>
            <w:vAlign w:val="center"/>
          </w:tcPr>
          <w:p w14:paraId="5500979B">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区域</w:t>
            </w:r>
          </w:p>
          <w:p w14:paraId="4CD566A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环境</w:t>
            </w:r>
          </w:p>
          <w:p w14:paraId="62F5F290">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质量</w:t>
            </w:r>
          </w:p>
          <w:p w14:paraId="40107058">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 w:val="24"/>
                <w:szCs w:val="24"/>
              </w:rPr>
              <w:t>现状</w:t>
            </w:r>
          </w:p>
        </w:tc>
        <w:tc>
          <w:tcPr>
            <w:tcW w:w="4734" w:type="pct"/>
          </w:tcPr>
          <w:p w14:paraId="1F353478">
            <w:pPr>
              <w:keepNext w:val="0"/>
              <w:keepLines w:val="0"/>
              <w:suppressLineNumbers w:val="0"/>
              <w:spacing w:before="0" w:beforeAutospacing="0" w:after="0" w:afterAutospacing="0" w:line="360" w:lineRule="auto"/>
              <w:ind w:left="0" w:right="0" w:firstLine="482" w:firstLineChars="200"/>
              <w:jc w:val="left"/>
              <w:rPr>
                <w:rFonts w:hint="default" w:ascii="Times New Roman" w:hAnsi="宋体" w:eastAsia="宋体" w:cs="Times New Roman"/>
                <w:b/>
                <w:kern w:val="0"/>
                <w:sz w:val="24"/>
                <w:szCs w:val="24"/>
              </w:rPr>
            </w:pPr>
            <w:r>
              <w:rPr>
                <w:rFonts w:hint="default" w:ascii="Times New Roman" w:hAnsi="宋体" w:eastAsia="宋体" w:cs="Times New Roman"/>
                <w:b/>
                <w:kern w:val="0"/>
                <w:sz w:val="24"/>
                <w:szCs w:val="24"/>
              </w:rPr>
              <w:t>1、</w:t>
            </w:r>
            <w:r>
              <w:rPr>
                <w:rFonts w:hint="eastAsia" w:ascii="Times New Roman" w:hAnsi="Times New Roman" w:eastAsia="宋体" w:cs="Times New Roman"/>
                <w:b/>
                <w:sz w:val="24"/>
                <w:szCs w:val="28"/>
              </w:rPr>
              <w:t>环境空气质量现状</w:t>
            </w:r>
          </w:p>
          <w:p w14:paraId="2D67DA7F">
            <w:pPr>
              <w:keepNext w:val="0"/>
              <w:keepLines w:val="0"/>
              <w:suppressLineNumbers w:val="0"/>
              <w:spacing w:before="0" w:beforeAutospacing="0" w:after="0" w:afterAutospacing="0" w:line="336" w:lineRule="auto"/>
              <w:ind w:left="0" w:right="0" w:firstLine="482" w:firstLineChars="200"/>
              <w:jc w:val="left"/>
              <w:rPr>
                <w:rFonts w:hint="default" w:ascii="Times New Roman" w:hAnsi="宋体" w:eastAsia="宋体" w:cs="Times New Roman"/>
                <w:b/>
                <w:kern w:val="0"/>
                <w:sz w:val="24"/>
                <w:szCs w:val="24"/>
              </w:rPr>
            </w:pPr>
            <w:r>
              <w:rPr>
                <w:rFonts w:hint="eastAsia" w:ascii="Times New Roman" w:hAnsi="宋体" w:eastAsia="宋体" w:cs="Times New Roman"/>
                <w:b/>
                <w:kern w:val="0"/>
                <w:sz w:val="24"/>
                <w:szCs w:val="24"/>
              </w:rPr>
              <w:t>（1）</w:t>
            </w:r>
            <w:r>
              <w:rPr>
                <w:rFonts w:hint="eastAsia" w:ascii="Times New Roman" w:hAnsi="Times New Roman" w:eastAsia="宋体" w:cs="Times New Roman"/>
                <w:b/>
                <w:bCs/>
                <w:sz w:val="24"/>
                <w:szCs w:val="28"/>
              </w:rPr>
              <w:t>基本污染物空气质量现状</w:t>
            </w:r>
          </w:p>
          <w:p w14:paraId="5C1382F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根据《环境影响评价技术导则大气环境》（HJ2.2-2018），项目所在区域达标情况判定</w:t>
            </w:r>
            <w:r>
              <w:rPr>
                <w:rFonts w:hint="eastAsia" w:ascii="Times New Roman" w:hAnsi="Times New Roman" w:cs="Times New Roman"/>
                <w:kern w:val="0"/>
                <w:sz w:val="24"/>
                <w:szCs w:val="24"/>
              </w:rPr>
              <w:t>优先采用</w:t>
            </w:r>
            <w:r>
              <w:rPr>
                <w:rFonts w:hint="default" w:ascii="Times New Roman" w:hAnsi="Times New Roman" w:cs="Times New Roman"/>
                <w:kern w:val="0"/>
                <w:sz w:val="24"/>
                <w:szCs w:val="24"/>
              </w:rPr>
              <w:t>国家或地方生态环境主管部门公开发布的环境质量公告或环境质量报告中的数据或结论。</w:t>
            </w:r>
          </w:p>
          <w:p w14:paraId="2BC1999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szCs w:val="24"/>
              </w:rPr>
            </w:pPr>
            <w:r>
              <w:rPr>
                <w:rFonts w:hint="default" w:ascii="Times New Roman" w:hAnsi="Times New Roman"/>
                <w:kern w:val="0"/>
                <w:sz w:val="24"/>
                <w:szCs w:val="24"/>
              </w:rPr>
              <w:t>根据《202</w:t>
            </w:r>
            <w:r>
              <w:rPr>
                <w:rFonts w:hint="eastAsia" w:ascii="Times New Roman" w:hAnsi="Times New Roman"/>
                <w:kern w:val="0"/>
                <w:sz w:val="24"/>
                <w:szCs w:val="24"/>
              </w:rPr>
              <w:t>4</w:t>
            </w:r>
            <w:r>
              <w:rPr>
                <w:rFonts w:hint="default" w:ascii="Times New Roman" w:hAnsi="Times New Roman"/>
                <w:kern w:val="0"/>
                <w:sz w:val="24"/>
                <w:szCs w:val="24"/>
              </w:rPr>
              <w:t>年淮南市环境质量公报》，区域空气质量现状如下表所示。</w:t>
            </w:r>
          </w:p>
          <w:p w14:paraId="677D15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黑体" w:cs="Times New Roman"/>
                <w:sz w:val="24"/>
                <w:szCs w:val="21"/>
              </w:rPr>
            </w:pPr>
            <w:r>
              <w:rPr>
                <w:rFonts w:hint="default" w:ascii="Times New Roman" w:hAnsi="Times New Roman" w:eastAsia="黑体" w:cs="Times New Roman"/>
                <w:sz w:val="24"/>
                <w:szCs w:val="21"/>
              </w:rPr>
              <w:t>表</w:t>
            </w:r>
            <w:r>
              <w:rPr>
                <w:rFonts w:hint="eastAsia" w:ascii="Times New Roman" w:hAnsi="Times New Roman" w:eastAsia="黑体" w:cs="Times New Roman"/>
                <w:sz w:val="24"/>
                <w:szCs w:val="21"/>
              </w:rPr>
              <w:t xml:space="preserve">3-1  </w:t>
            </w:r>
            <w:r>
              <w:rPr>
                <w:rFonts w:hint="default" w:ascii="Times New Roman" w:hAnsi="Times New Roman" w:eastAsia="黑体" w:cs="Times New Roman"/>
                <w:sz w:val="24"/>
                <w:szCs w:val="21"/>
              </w:rPr>
              <w:t>区域空气质量现状评价表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19"/>
              <w:gridCol w:w="2934"/>
              <w:gridCol w:w="960"/>
              <w:gridCol w:w="1228"/>
              <w:gridCol w:w="737"/>
              <w:gridCol w:w="1175"/>
            </w:tblGrid>
            <w:tr w14:paraId="0FAF0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0B597C47">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default" w:ascii="Times New Roman" w:hAnsi="Times New Roman"/>
                      <w:b/>
                      <w:bCs/>
                      <w:kern w:val="0"/>
                      <w:szCs w:val="21"/>
                    </w:rPr>
                    <w:t>污染物</w:t>
                  </w:r>
                </w:p>
              </w:tc>
              <w:tc>
                <w:tcPr>
                  <w:tcW w:w="1868" w:type="pct"/>
                  <w:vAlign w:val="center"/>
                </w:tcPr>
                <w:p w14:paraId="65C5A8C5">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default" w:ascii="Times New Roman" w:hAnsi="Times New Roman"/>
                      <w:b/>
                      <w:bCs/>
                      <w:kern w:val="0"/>
                      <w:szCs w:val="21"/>
                    </w:rPr>
                    <w:t>年评价指标</w:t>
                  </w:r>
                </w:p>
              </w:tc>
              <w:tc>
                <w:tcPr>
                  <w:tcW w:w="611" w:type="pct"/>
                  <w:vAlign w:val="center"/>
                </w:tcPr>
                <w:p w14:paraId="4FCDEA46">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default" w:ascii="Times New Roman" w:hAnsi="Times New Roman"/>
                      <w:b/>
                      <w:bCs/>
                      <w:kern w:val="0"/>
                      <w:szCs w:val="21"/>
                    </w:rPr>
                    <w:t>现状浓度</w:t>
                  </w:r>
                </w:p>
                <w:p w14:paraId="157670E0">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default" w:ascii="Times New Roman" w:hAnsi="Times New Roman"/>
                      <w:b/>
                      <w:bCs/>
                      <w:kern w:val="0"/>
                      <w:szCs w:val="21"/>
                    </w:rPr>
                    <w:t>（μg/m</w:t>
                  </w:r>
                  <w:r>
                    <w:rPr>
                      <w:rFonts w:hint="default" w:ascii="Times New Roman" w:hAnsi="Times New Roman"/>
                      <w:b/>
                      <w:bCs/>
                      <w:kern w:val="0"/>
                      <w:szCs w:val="21"/>
                      <w:vertAlign w:val="superscript"/>
                    </w:rPr>
                    <w:t>3</w:t>
                  </w:r>
                  <w:r>
                    <w:rPr>
                      <w:rFonts w:hint="default" w:ascii="Times New Roman" w:hAnsi="Times New Roman"/>
                      <w:b/>
                      <w:bCs/>
                      <w:kern w:val="0"/>
                      <w:szCs w:val="21"/>
                    </w:rPr>
                    <w:t>）</w:t>
                  </w:r>
                </w:p>
              </w:tc>
              <w:tc>
                <w:tcPr>
                  <w:tcW w:w="782" w:type="pct"/>
                  <w:vAlign w:val="center"/>
                </w:tcPr>
                <w:p w14:paraId="0C7C8BE0">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default" w:ascii="Times New Roman" w:hAnsi="Times New Roman"/>
                      <w:b/>
                      <w:bCs/>
                      <w:kern w:val="0"/>
                      <w:szCs w:val="21"/>
                    </w:rPr>
                    <w:t>标准值</w:t>
                  </w:r>
                </w:p>
                <w:p w14:paraId="3A0170DA">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default" w:ascii="Times New Roman" w:hAnsi="Times New Roman"/>
                      <w:b/>
                      <w:bCs/>
                      <w:kern w:val="0"/>
                      <w:szCs w:val="21"/>
                    </w:rPr>
                    <w:t>（μg/m</w:t>
                  </w:r>
                  <w:r>
                    <w:rPr>
                      <w:rFonts w:hint="default" w:ascii="Times New Roman" w:hAnsi="Times New Roman"/>
                      <w:b/>
                      <w:bCs/>
                      <w:kern w:val="0"/>
                      <w:szCs w:val="21"/>
                      <w:vertAlign w:val="superscript"/>
                    </w:rPr>
                    <w:t>3</w:t>
                  </w:r>
                  <w:r>
                    <w:rPr>
                      <w:rFonts w:hint="default" w:ascii="Times New Roman" w:hAnsi="Times New Roman"/>
                      <w:b/>
                      <w:bCs/>
                      <w:kern w:val="0"/>
                      <w:szCs w:val="21"/>
                    </w:rPr>
                    <w:t>）</w:t>
                  </w:r>
                </w:p>
              </w:tc>
              <w:tc>
                <w:tcPr>
                  <w:tcW w:w="469" w:type="pct"/>
                  <w:vAlign w:val="center"/>
                </w:tcPr>
                <w:p w14:paraId="32539FBD">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default" w:ascii="Times New Roman" w:hAnsi="Times New Roman"/>
                      <w:b/>
                      <w:bCs/>
                      <w:kern w:val="0"/>
                      <w:szCs w:val="21"/>
                    </w:rPr>
                    <w:t>占标率（%）</w:t>
                  </w:r>
                </w:p>
              </w:tc>
              <w:tc>
                <w:tcPr>
                  <w:tcW w:w="748" w:type="pct"/>
                  <w:vAlign w:val="center"/>
                </w:tcPr>
                <w:p w14:paraId="4646E3BC">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r>
                    <w:rPr>
                      <w:rFonts w:hint="default" w:ascii="Times New Roman" w:hAnsi="Times New Roman"/>
                      <w:b/>
                      <w:bCs/>
                      <w:kern w:val="0"/>
                      <w:szCs w:val="21"/>
                    </w:rPr>
                    <w:t>达标情况</w:t>
                  </w:r>
                </w:p>
              </w:tc>
            </w:tr>
            <w:tr w14:paraId="5E0F6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7EE8065F">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SO</w:t>
                  </w:r>
                  <w:r>
                    <w:rPr>
                      <w:rFonts w:hint="default" w:ascii="Times New Roman" w:hAnsi="Times New Roman"/>
                      <w:bCs/>
                      <w:kern w:val="0"/>
                      <w:szCs w:val="21"/>
                      <w:vertAlign w:val="subscript"/>
                    </w:rPr>
                    <w:t>2</w:t>
                  </w:r>
                </w:p>
              </w:tc>
              <w:tc>
                <w:tcPr>
                  <w:tcW w:w="1868" w:type="pct"/>
                  <w:vAlign w:val="center"/>
                </w:tcPr>
                <w:p w14:paraId="012561A1">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年平均质量浓度</w:t>
                  </w:r>
                </w:p>
              </w:tc>
              <w:tc>
                <w:tcPr>
                  <w:tcW w:w="611" w:type="pct"/>
                  <w:vAlign w:val="center"/>
                </w:tcPr>
                <w:p w14:paraId="2DFF7E9C">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7</w:t>
                  </w:r>
                </w:p>
              </w:tc>
              <w:tc>
                <w:tcPr>
                  <w:tcW w:w="782" w:type="pct"/>
                  <w:vAlign w:val="center"/>
                </w:tcPr>
                <w:p w14:paraId="33F3C1B3">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60</w:t>
                  </w:r>
                </w:p>
              </w:tc>
              <w:tc>
                <w:tcPr>
                  <w:tcW w:w="469" w:type="pct"/>
                  <w:vAlign w:val="center"/>
                </w:tcPr>
                <w:p w14:paraId="66E11C70">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11.7</w:t>
                  </w:r>
                </w:p>
              </w:tc>
              <w:tc>
                <w:tcPr>
                  <w:tcW w:w="748" w:type="pct"/>
                  <w:vAlign w:val="center"/>
                </w:tcPr>
                <w:p w14:paraId="3E18C41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达标</w:t>
                  </w:r>
                </w:p>
              </w:tc>
            </w:tr>
            <w:tr w14:paraId="64CC1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18870F8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NO</w:t>
                  </w:r>
                  <w:r>
                    <w:rPr>
                      <w:rFonts w:hint="default" w:ascii="Times New Roman" w:hAnsi="Times New Roman"/>
                      <w:bCs/>
                      <w:kern w:val="0"/>
                      <w:szCs w:val="21"/>
                      <w:vertAlign w:val="subscript"/>
                    </w:rPr>
                    <w:t>2</w:t>
                  </w:r>
                </w:p>
              </w:tc>
              <w:tc>
                <w:tcPr>
                  <w:tcW w:w="1868" w:type="pct"/>
                  <w:vAlign w:val="center"/>
                </w:tcPr>
                <w:p w14:paraId="5140F50D">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年平均质量浓度</w:t>
                  </w:r>
                </w:p>
              </w:tc>
              <w:tc>
                <w:tcPr>
                  <w:tcW w:w="611" w:type="pct"/>
                  <w:vAlign w:val="center"/>
                </w:tcPr>
                <w:p w14:paraId="73F9BB8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19</w:t>
                  </w:r>
                </w:p>
              </w:tc>
              <w:tc>
                <w:tcPr>
                  <w:tcW w:w="782" w:type="pct"/>
                  <w:vAlign w:val="center"/>
                </w:tcPr>
                <w:p w14:paraId="5CD0A587">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40</w:t>
                  </w:r>
                </w:p>
              </w:tc>
              <w:tc>
                <w:tcPr>
                  <w:tcW w:w="469" w:type="pct"/>
                  <w:vAlign w:val="center"/>
                </w:tcPr>
                <w:p w14:paraId="04DAE6F4">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47.5</w:t>
                  </w:r>
                </w:p>
              </w:tc>
              <w:tc>
                <w:tcPr>
                  <w:tcW w:w="748" w:type="pct"/>
                  <w:vAlign w:val="center"/>
                </w:tcPr>
                <w:p w14:paraId="26986BB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达标</w:t>
                  </w:r>
                </w:p>
              </w:tc>
            </w:tr>
            <w:tr w14:paraId="7F602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13A3C6E7">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PM</w:t>
                  </w:r>
                  <w:r>
                    <w:rPr>
                      <w:rFonts w:hint="default" w:ascii="Times New Roman" w:hAnsi="Times New Roman"/>
                      <w:bCs/>
                      <w:kern w:val="0"/>
                      <w:szCs w:val="21"/>
                      <w:vertAlign w:val="subscript"/>
                    </w:rPr>
                    <w:t>10</w:t>
                  </w:r>
                </w:p>
              </w:tc>
              <w:tc>
                <w:tcPr>
                  <w:tcW w:w="1868" w:type="pct"/>
                  <w:vAlign w:val="center"/>
                </w:tcPr>
                <w:p w14:paraId="10BEDEE6">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年平均质量浓度</w:t>
                  </w:r>
                </w:p>
              </w:tc>
              <w:tc>
                <w:tcPr>
                  <w:tcW w:w="611" w:type="pct"/>
                  <w:vAlign w:val="center"/>
                </w:tcPr>
                <w:p w14:paraId="0A34DDFF">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65</w:t>
                  </w:r>
                </w:p>
              </w:tc>
              <w:tc>
                <w:tcPr>
                  <w:tcW w:w="782" w:type="pct"/>
                  <w:vAlign w:val="center"/>
                </w:tcPr>
                <w:p w14:paraId="447D2198">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heme="minorEastAsia"/>
                      <w:bCs/>
                      <w:kern w:val="0"/>
                      <w:szCs w:val="21"/>
                      <w:lang w:val="en-US" w:eastAsia="zh-CN"/>
                    </w:rPr>
                  </w:pPr>
                  <w:r>
                    <w:rPr>
                      <w:rFonts w:hint="eastAsia" w:ascii="Times New Roman" w:hAnsi="Times New Roman"/>
                      <w:bCs/>
                      <w:kern w:val="0"/>
                      <w:szCs w:val="21"/>
                      <w:lang w:val="en-US" w:eastAsia="zh-CN"/>
                    </w:rPr>
                    <w:t>60</w:t>
                  </w:r>
                </w:p>
              </w:tc>
              <w:tc>
                <w:tcPr>
                  <w:tcW w:w="469" w:type="pct"/>
                  <w:vAlign w:val="center"/>
                </w:tcPr>
                <w:p w14:paraId="0BA82EFA">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heme="minorEastAsia"/>
                      <w:bCs/>
                      <w:kern w:val="0"/>
                      <w:szCs w:val="21"/>
                      <w:lang w:val="en-US" w:eastAsia="zh-CN"/>
                    </w:rPr>
                  </w:pPr>
                  <w:r>
                    <w:rPr>
                      <w:rFonts w:hint="eastAsia" w:ascii="Times New Roman" w:hAnsi="Times New Roman"/>
                      <w:bCs/>
                      <w:kern w:val="0"/>
                      <w:szCs w:val="21"/>
                      <w:lang w:val="en-US" w:eastAsia="zh-CN"/>
                    </w:rPr>
                    <w:t>108.3</w:t>
                  </w:r>
                </w:p>
              </w:tc>
              <w:tc>
                <w:tcPr>
                  <w:tcW w:w="748" w:type="pct"/>
                  <w:vAlign w:val="center"/>
                </w:tcPr>
                <w:p w14:paraId="738073E2">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Theme="minorEastAsia"/>
                      <w:bCs/>
                      <w:kern w:val="0"/>
                      <w:szCs w:val="21"/>
                      <w:lang w:eastAsia="zh-CN"/>
                    </w:rPr>
                  </w:pPr>
                  <w:r>
                    <w:rPr>
                      <w:rFonts w:hint="eastAsia" w:ascii="Times New Roman" w:hAnsi="Times New Roman"/>
                      <w:bCs/>
                      <w:kern w:val="0"/>
                      <w:szCs w:val="21"/>
                      <w:lang w:val="en-US" w:eastAsia="zh-CN"/>
                    </w:rPr>
                    <w:t>超标</w:t>
                  </w:r>
                </w:p>
              </w:tc>
            </w:tr>
            <w:tr w14:paraId="58ED6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74E50439">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PM</w:t>
                  </w:r>
                  <w:r>
                    <w:rPr>
                      <w:rFonts w:hint="default" w:ascii="Times New Roman" w:hAnsi="Times New Roman"/>
                      <w:bCs/>
                      <w:kern w:val="0"/>
                      <w:szCs w:val="21"/>
                      <w:vertAlign w:val="subscript"/>
                    </w:rPr>
                    <w:t>2.5</w:t>
                  </w:r>
                </w:p>
              </w:tc>
              <w:tc>
                <w:tcPr>
                  <w:tcW w:w="1868" w:type="pct"/>
                  <w:vAlign w:val="center"/>
                </w:tcPr>
                <w:p w14:paraId="155867A3">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年平均质量浓度</w:t>
                  </w:r>
                </w:p>
              </w:tc>
              <w:tc>
                <w:tcPr>
                  <w:tcW w:w="611" w:type="pct"/>
                  <w:vAlign w:val="center"/>
                </w:tcPr>
                <w:p w14:paraId="08E4C856">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40</w:t>
                  </w:r>
                </w:p>
              </w:tc>
              <w:tc>
                <w:tcPr>
                  <w:tcW w:w="782" w:type="pct"/>
                  <w:vAlign w:val="center"/>
                </w:tcPr>
                <w:p w14:paraId="3B925A81">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heme="minorEastAsia"/>
                      <w:bCs/>
                      <w:kern w:val="0"/>
                      <w:szCs w:val="21"/>
                      <w:lang w:val="en-US" w:eastAsia="zh-CN"/>
                    </w:rPr>
                  </w:pPr>
                  <w:r>
                    <w:rPr>
                      <w:rFonts w:hint="eastAsia" w:ascii="Times New Roman" w:hAnsi="Times New Roman"/>
                      <w:bCs/>
                      <w:kern w:val="0"/>
                      <w:szCs w:val="21"/>
                      <w:lang w:val="en-US" w:eastAsia="zh-CN"/>
                    </w:rPr>
                    <w:t>30</w:t>
                  </w:r>
                </w:p>
              </w:tc>
              <w:tc>
                <w:tcPr>
                  <w:tcW w:w="469" w:type="pct"/>
                  <w:vAlign w:val="center"/>
                </w:tcPr>
                <w:p w14:paraId="5850A7A1">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heme="minorEastAsia"/>
                      <w:bCs/>
                      <w:kern w:val="0"/>
                      <w:szCs w:val="21"/>
                      <w:lang w:val="en-US" w:eastAsia="zh-CN"/>
                    </w:rPr>
                  </w:pPr>
                  <w:r>
                    <w:rPr>
                      <w:rFonts w:hint="eastAsia" w:ascii="Times New Roman" w:hAnsi="Times New Roman"/>
                      <w:bCs/>
                      <w:kern w:val="0"/>
                      <w:szCs w:val="21"/>
                      <w:lang w:val="en-US" w:eastAsia="zh-CN"/>
                    </w:rPr>
                    <w:t>133.3</w:t>
                  </w:r>
                </w:p>
              </w:tc>
              <w:tc>
                <w:tcPr>
                  <w:tcW w:w="748" w:type="pct"/>
                  <w:vAlign w:val="center"/>
                </w:tcPr>
                <w:p w14:paraId="572417A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超标</w:t>
                  </w:r>
                </w:p>
              </w:tc>
            </w:tr>
            <w:tr w14:paraId="1ACE1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2FDE9274">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CO</w:t>
                  </w:r>
                </w:p>
              </w:tc>
              <w:tc>
                <w:tcPr>
                  <w:tcW w:w="1868" w:type="pct"/>
                  <w:vAlign w:val="center"/>
                </w:tcPr>
                <w:p w14:paraId="1E9C2849">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第95百分位数日平均质量浓度</w:t>
                  </w:r>
                </w:p>
              </w:tc>
              <w:tc>
                <w:tcPr>
                  <w:tcW w:w="611" w:type="pct"/>
                  <w:vAlign w:val="center"/>
                </w:tcPr>
                <w:p w14:paraId="102B3796">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800</w:t>
                  </w:r>
                </w:p>
              </w:tc>
              <w:tc>
                <w:tcPr>
                  <w:tcW w:w="782" w:type="pct"/>
                  <w:vAlign w:val="center"/>
                </w:tcPr>
                <w:p w14:paraId="7DDC957D">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4000</w:t>
                  </w:r>
                </w:p>
              </w:tc>
              <w:tc>
                <w:tcPr>
                  <w:tcW w:w="469" w:type="pct"/>
                  <w:vAlign w:val="center"/>
                </w:tcPr>
                <w:p w14:paraId="62D0AF52">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20</w:t>
                  </w:r>
                </w:p>
              </w:tc>
              <w:tc>
                <w:tcPr>
                  <w:tcW w:w="748" w:type="pct"/>
                  <w:vAlign w:val="center"/>
                </w:tcPr>
                <w:p w14:paraId="066023D7">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达标</w:t>
                  </w:r>
                </w:p>
              </w:tc>
            </w:tr>
            <w:tr w14:paraId="6E959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522" w:type="pct"/>
                  <w:vAlign w:val="center"/>
                </w:tcPr>
                <w:p w14:paraId="58A601F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O</w:t>
                  </w:r>
                  <w:r>
                    <w:rPr>
                      <w:rFonts w:hint="default" w:ascii="Times New Roman" w:hAnsi="Times New Roman"/>
                      <w:bCs/>
                      <w:kern w:val="0"/>
                      <w:szCs w:val="21"/>
                      <w:vertAlign w:val="subscript"/>
                    </w:rPr>
                    <w:t>3</w:t>
                  </w:r>
                </w:p>
              </w:tc>
              <w:tc>
                <w:tcPr>
                  <w:tcW w:w="1868" w:type="pct"/>
                  <w:vAlign w:val="center"/>
                </w:tcPr>
                <w:p w14:paraId="5F7A71F7">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szCs w:val="21"/>
                    </w:rPr>
                    <w:t>第90百分位数</w:t>
                  </w:r>
                  <w:r>
                    <w:rPr>
                      <w:rFonts w:hint="default" w:ascii="Times New Roman" w:hAnsi="Times New Roman"/>
                      <w:bCs/>
                      <w:kern w:val="0"/>
                      <w:szCs w:val="21"/>
                    </w:rPr>
                    <w:t>日平均质量浓度</w:t>
                  </w:r>
                </w:p>
              </w:tc>
              <w:tc>
                <w:tcPr>
                  <w:tcW w:w="611" w:type="pct"/>
                  <w:vAlign w:val="center"/>
                </w:tcPr>
                <w:p w14:paraId="4231D062">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160</w:t>
                  </w:r>
                </w:p>
              </w:tc>
              <w:tc>
                <w:tcPr>
                  <w:tcW w:w="782" w:type="pct"/>
                  <w:vAlign w:val="center"/>
                </w:tcPr>
                <w:p w14:paraId="3E3A3046">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160</w:t>
                  </w:r>
                </w:p>
              </w:tc>
              <w:tc>
                <w:tcPr>
                  <w:tcW w:w="469" w:type="pct"/>
                  <w:vAlign w:val="center"/>
                </w:tcPr>
                <w:p w14:paraId="45D25A63">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eastAsia" w:ascii="Times New Roman" w:hAnsi="Times New Roman"/>
                      <w:bCs/>
                      <w:kern w:val="0"/>
                      <w:szCs w:val="21"/>
                    </w:rPr>
                    <w:t>100</w:t>
                  </w:r>
                </w:p>
              </w:tc>
              <w:tc>
                <w:tcPr>
                  <w:tcW w:w="748" w:type="pct"/>
                  <w:vAlign w:val="center"/>
                </w:tcPr>
                <w:p w14:paraId="6A6268B6">
                  <w:pPr>
                    <w:keepNext w:val="0"/>
                    <w:keepLines w:val="0"/>
                    <w:widowControl/>
                    <w:suppressLineNumbers w:val="0"/>
                    <w:spacing w:before="0" w:beforeAutospacing="0" w:after="0" w:afterAutospacing="0" w:line="276" w:lineRule="auto"/>
                    <w:ind w:left="0" w:right="0"/>
                    <w:jc w:val="center"/>
                    <w:rPr>
                      <w:rFonts w:hint="default" w:ascii="Times New Roman" w:hAnsi="Times New Roman"/>
                      <w:bCs/>
                      <w:kern w:val="0"/>
                      <w:szCs w:val="21"/>
                    </w:rPr>
                  </w:pPr>
                  <w:r>
                    <w:rPr>
                      <w:rFonts w:hint="default" w:ascii="Times New Roman" w:hAnsi="Times New Roman"/>
                      <w:bCs/>
                      <w:kern w:val="0"/>
                      <w:szCs w:val="21"/>
                    </w:rPr>
                    <w:t>达标</w:t>
                  </w:r>
                </w:p>
              </w:tc>
            </w:tr>
          </w:tbl>
          <w:p w14:paraId="62FB95DA">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sz w:val="24"/>
                <w:szCs w:val="24"/>
              </w:rPr>
            </w:pPr>
            <w:r>
              <w:rPr>
                <w:rFonts w:hint="eastAsia" w:ascii="Times New Roman" w:hAnsi="Times New Roman"/>
                <w:sz w:val="24"/>
                <w:szCs w:val="21"/>
              </w:rPr>
              <w:t>根据《</w:t>
            </w:r>
            <w:r>
              <w:rPr>
                <w:rFonts w:hint="default" w:ascii="Times New Roman" w:hAnsi="Times New Roman"/>
                <w:snapToGrid w:val="0"/>
                <w:spacing w:val="-2"/>
                <w:sz w:val="24"/>
                <w:szCs w:val="24"/>
              </w:rPr>
              <w:t>202</w:t>
            </w:r>
            <w:r>
              <w:rPr>
                <w:rFonts w:hint="eastAsia" w:ascii="Times New Roman" w:hAnsi="Times New Roman"/>
                <w:snapToGrid w:val="0"/>
                <w:spacing w:val="-2"/>
                <w:sz w:val="24"/>
                <w:szCs w:val="24"/>
              </w:rPr>
              <w:t>4年淮南市环境质量状况公报</w:t>
            </w:r>
            <w:r>
              <w:rPr>
                <w:rFonts w:hint="eastAsia" w:ascii="Times New Roman" w:hAnsi="Times New Roman"/>
                <w:sz w:val="24"/>
                <w:szCs w:val="21"/>
              </w:rPr>
              <w:t>》并结合</w:t>
            </w:r>
            <w:r>
              <w:rPr>
                <w:rFonts w:hint="default" w:ascii="Times New Roman" w:hAnsi="Times New Roman" w:eastAsia="宋体" w:cs="Times New Roman"/>
                <w:kern w:val="0"/>
                <w:sz w:val="24"/>
                <w:szCs w:val="24"/>
              </w:rPr>
              <w:t>《环境空气质量标准》</w:t>
            </w:r>
            <w:r>
              <w:rPr>
                <w:rFonts w:hint="eastAsia" w:ascii="Times New Roman" w:hAnsi="Times New Roman" w:eastAsia="宋体" w:cs="Times New Roman"/>
                <w:kern w:val="0"/>
                <w:sz w:val="24"/>
                <w:szCs w:val="24"/>
              </w:rPr>
              <w:t>（</w:t>
            </w:r>
            <w:r>
              <w:rPr>
                <w:rFonts w:hint="default" w:ascii="Times New Roman" w:hAnsi="Times New Roman" w:eastAsia="宋体" w:cs="Times New Roman"/>
                <w:kern w:val="0"/>
                <w:sz w:val="24"/>
                <w:szCs w:val="24"/>
              </w:rPr>
              <w:t>GB3095-20</w:t>
            </w:r>
            <w:r>
              <w:rPr>
                <w:rFonts w:hint="eastAsia" w:ascii="Times New Roman" w:hAnsi="Times New Roman" w:eastAsia="宋体" w:cs="Times New Roman"/>
                <w:kern w:val="0"/>
                <w:sz w:val="24"/>
                <w:szCs w:val="24"/>
                <w:lang w:val="en-US" w:eastAsia="zh-CN"/>
              </w:rPr>
              <w:t>26</w:t>
            </w:r>
            <w:r>
              <w:rPr>
                <w:rFonts w:hint="eastAsia" w:ascii="Times New Roman" w:hAnsi="Times New Roman" w:eastAsia="宋体" w:cs="Times New Roman"/>
                <w:kern w:val="0"/>
                <w:sz w:val="24"/>
                <w:szCs w:val="24"/>
              </w:rPr>
              <w:t>）</w:t>
            </w:r>
            <w:r>
              <w:rPr>
                <w:rFonts w:hint="default" w:ascii="Times New Roman" w:hAnsi="Times New Roman" w:eastAsia="宋体" w:cs="Times New Roman"/>
                <w:kern w:val="0"/>
                <w:sz w:val="24"/>
                <w:szCs w:val="24"/>
              </w:rPr>
              <w:t>中的</w:t>
            </w:r>
            <w:r>
              <w:rPr>
                <w:rFonts w:hint="eastAsia" w:ascii="Times New Roman" w:hAnsi="Times New Roman" w:eastAsia="宋体" w:cs="Times New Roman"/>
                <w:kern w:val="0"/>
                <w:sz w:val="24"/>
                <w:szCs w:val="24"/>
                <w:lang w:val="en-US" w:eastAsia="zh-CN"/>
              </w:rPr>
              <w:t>过渡阶段</w:t>
            </w:r>
            <w:r>
              <w:rPr>
                <w:rFonts w:hint="default" w:ascii="Times New Roman" w:hAnsi="Times New Roman" w:eastAsia="宋体" w:cs="Times New Roman"/>
                <w:kern w:val="0"/>
                <w:sz w:val="24"/>
                <w:szCs w:val="24"/>
              </w:rPr>
              <w:t>二级</w:t>
            </w:r>
            <w:r>
              <w:rPr>
                <w:rFonts w:hint="eastAsia" w:ascii="Times New Roman" w:hAnsi="Times New Roman" w:eastAsia="宋体" w:cs="Times New Roman"/>
                <w:kern w:val="0"/>
                <w:sz w:val="24"/>
                <w:szCs w:val="24"/>
                <w:lang w:val="en-US" w:eastAsia="zh-CN"/>
              </w:rPr>
              <w:t>浓度限值要求可知</w:t>
            </w:r>
            <w:r>
              <w:rPr>
                <w:rFonts w:hint="eastAsia" w:ascii="Times New Roman" w:hAnsi="Times New Roman"/>
                <w:sz w:val="24"/>
                <w:szCs w:val="21"/>
              </w:rPr>
              <w:t>，</w:t>
            </w:r>
            <w:r>
              <w:rPr>
                <w:rFonts w:hint="eastAsia" w:ascii="Times New Roman" w:hAnsi="宋体"/>
                <w:sz w:val="24"/>
                <w:szCs w:val="24"/>
              </w:rPr>
              <w:t>二氧化硫（</w:t>
            </w:r>
            <w:r>
              <w:rPr>
                <w:rFonts w:hint="default" w:ascii="Times New Roman" w:hAnsi="Times New Roman"/>
                <w:sz w:val="24"/>
                <w:szCs w:val="24"/>
              </w:rPr>
              <w:t>SO</w:t>
            </w:r>
            <w:r>
              <w:rPr>
                <w:rFonts w:hint="default" w:ascii="Times New Roman" w:hAnsi="Times New Roman"/>
                <w:sz w:val="24"/>
                <w:szCs w:val="24"/>
                <w:vertAlign w:val="subscript"/>
              </w:rPr>
              <w:t>2</w:t>
            </w:r>
            <w:r>
              <w:rPr>
                <w:rFonts w:hint="eastAsia" w:ascii="Times New Roman" w:hAnsi="宋体"/>
                <w:sz w:val="24"/>
                <w:szCs w:val="24"/>
              </w:rPr>
              <w:t>）、二氧化氮（</w:t>
            </w:r>
            <w:r>
              <w:rPr>
                <w:rFonts w:hint="default" w:ascii="Times New Roman" w:hAnsi="Times New Roman"/>
                <w:sz w:val="24"/>
                <w:szCs w:val="24"/>
              </w:rPr>
              <w:t>NO</w:t>
            </w:r>
            <w:r>
              <w:rPr>
                <w:rFonts w:hint="default" w:ascii="Times New Roman" w:hAnsi="Times New Roman"/>
                <w:sz w:val="24"/>
                <w:szCs w:val="24"/>
                <w:vertAlign w:val="subscript"/>
              </w:rPr>
              <w:t>2</w:t>
            </w:r>
            <w:r>
              <w:rPr>
                <w:rFonts w:hint="eastAsia" w:ascii="Times New Roman" w:hAnsi="宋体"/>
                <w:sz w:val="24"/>
                <w:szCs w:val="24"/>
              </w:rPr>
              <w:t>）、一氧化碳（</w:t>
            </w:r>
            <w:r>
              <w:rPr>
                <w:rFonts w:hint="default" w:ascii="Times New Roman" w:hAnsi="Times New Roman"/>
                <w:sz w:val="24"/>
                <w:szCs w:val="24"/>
              </w:rPr>
              <w:t>CO</w:t>
            </w:r>
            <w:r>
              <w:rPr>
                <w:rFonts w:hint="eastAsia" w:ascii="Times New Roman" w:hAnsi="宋体"/>
                <w:sz w:val="24"/>
                <w:szCs w:val="24"/>
              </w:rPr>
              <w:t>）、臭氧（</w:t>
            </w:r>
            <w:r>
              <w:rPr>
                <w:rFonts w:hint="default" w:ascii="Times New Roman" w:hAnsi="Times New Roman"/>
                <w:sz w:val="24"/>
                <w:szCs w:val="24"/>
              </w:rPr>
              <w:t>O</w:t>
            </w:r>
            <w:r>
              <w:rPr>
                <w:rFonts w:hint="default" w:ascii="Times New Roman" w:hAnsi="Times New Roman"/>
                <w:sz w:val="24"/>
                <w:szCs w:val="24"/>
                <w:vertAlign w:val="subscript"/>
              </w:rPr>
              <w:t>3</w:t>
            </w:r>
            <w:r>
              <w:rPr>
                <w:rFonts w:hint="eastAsia" w:ascii="Times New Roman" w:hAnsi="宋体"/>
                <w:sz w:val="24"/>
                <w:szCs w:val="24"/>
              </w:rPr>
              <w:t>）均符合</w:t>
            </w:r>
            <w:r>
              <w:rPr>
                <w:rFonts w:hint="default" w:ascii="Times New Roman" w:hAnsi="Times New Roman" w:eastAsia="宋体" w:cs="Times New Roman"/>
                <w:kern w:val="0"/>
                <w:sz w:val="24"/>
                <w:szCs w:val="24"/>
              </w:rPr>
              <w:t>《环境空气质量标准》</w:t>
            </w:r>
            <w:r>
              <w:rPr>
                <w:rFonts w:hint="eastAsia" w:ascii="Times New Roman" w:hAnsi="Times New Roman" w:eastAsia="宋体" w:cs="Times New Roman"/>
                <w:kern w:val="0"/>
                <w:sz w:val="24"/>
                <w:szCs w:val="24"/>
              </w:rPr>
              <w:t>（</w:t>
            </w:r>
            <w:r>
              <w:rPr>
                <w:rFonts w:hint="default" w:ascii="Times New Roman" w:hAnsi="Times New Roman" w:eastAsia="宋体" w:cs="Times New Roman"/>
                <w:kern w:val="0"/>
                <w:sz w:val="24"/>
                <w:szCs w:val="24"/>
              </w:rPr>
              <w:t>GB3095-20</w:t>
            </w:r>
            <w:r>
              <w:rPr>
                <w:rFonts w:hint="eastAsia" w:ascii="Times New Roman" w:hAnsi="Times New Roman" w:eastAsia="宋体" w:cs="Times New Roman"/>
                <w:kern w:val="0"/>
                <w:sz w:val="24"/>
                <w:szCs w:val="24"/>
                <w:lang w:val="en-US" w:eastAsia="zh-CN"/>
              </w:rPr>
              <w:t>26</w:t>
            </w:r>
            <w:r>
              <w:rPr>
                <w:rFonts w:hint="eastAsia" w:ascii="Times New Roman" w:hAnsi="Times New Roman" w:eastAsia="宋体" w:cs="Times New Roman"/>
                <w:kern w:val="0"/>
                <w:sz w:val="24"/>
                <w:szCs w:val="24"/>
              </w:rPr>
              <w:t>）</w:t>
            </w:r>
            <w:r>
              <w:rPr>
                <w:rFonts w:hint="default" w:ascii="Times New Roman" w:hAnsi="Times New Roman" w:eastAsia="宋体" w:cs="Times New Roman"/>
                <w:kern w:val="0"/>
                <w:sz w:val="24"/>
                <w:szCs w:val="24"/>
              </w:rPr>
              <w:t>中的</w:t>
            </w:r>
            <w:r>
              <w:rPr>
                <w:rFonts w:hint="eastAsia" w:ascii="Times New Roman" w:hAnsi="Times New Roman" w:eastAsia="宋体" w:cs="Times New Roman"/>
                <w:kern w:val="0"/>
                <w:sz w:val="24"/>
                <w:szCs w:val="24"/>
                <w:lang w:val="en-US" w:eastAsia="zh-CN"/>
              </w:rPr>
              <w:t>过渡阶段</w:t>
            </w:r>
            <w:r>
              <w:rPr>
                <w:rFonts w:hint="default" w:ascii="Times New Roman" w:hAnsi="Times New Roman" w:eastAsia="宋体" w:cs="Times New Roman"/>
                <w:kern w:val="0"/>
                <w:sz w:val="24"/>
                <w:szCs w:val="24"/>
              </w:rPr>
              <w:t>二级</w:t>
            </w:r>
            <w:r>
              <w:rPr>
                <w:rFonts w:hint="eastAsia" w:ascii="Times New Roman" w:hAnsi="Times New Roman" w:eastAsia="宋体" w:cs="Times New Roman"/>
                <w:kern w:val="0"/>
                <w:sz w:val="24"/>
                <w:szCs w:val="24"/>
                <w:lang w:val="en-US" w:eastAsia="zh-CN"/>
              </w:rPr>
              <w:t>浓度限值要求</w:t>
            </w:r>
            <w:r>
              <w:rPr>
                <w:rFonts w:hint="eastAsia" w:ascii="Times New Roman" w:hAnsi="宋体"/>
                <w:sz w:val="24"/>
                <w:szCs w:val="24"/>
              </w:rPr>
              <w:t>，可吸入颗粒物（</w:t>
            </w:r>
            <w:r>
              <w:rPr>
                <w:rFonts w:hint="default" w:ascii="Times New Roman" w:hAnsi="Times New Roman"/>
                <w:sz w:val="24"/>
                <w:szCs w:val="24"/>
              </w:rPr>
              <w:t>PM</w:t>
            </w:r>
            <w:r>
              <w:rPr>
                <w:rFonts w:hint="default" w:ascii="Times New Roman" w:hAnsi="Times New Roman"/>
                <w:sz w:val="24"/>
                <w:szCs w:val="24"/>
                <w:vertAlign w:val="subscript"/>
              </w:rPr>
              <w:t>10</w:t>
            </w:r>
            <w:r>
              <w:rPr>
                <w:rFonts w:hint="eastAsia" w:ascii="Times New Roman" w:hAnsi="宋体"/>
                <w:sz w:val="24"/>
                <w:szCs w:val="24"/>
              </w:rPr>
              <w:t>）</w:t>
            </w:r>
            <w:r>
              <w:rPr>
                <w:rFonts w:hint="eastAsia" w:ascii="Times New Roman" w:hAnsi="宋体"/>
                <w:sz w:val="24"/>
                <w:szCs w:val="24"/>
                <w:lang w:eastAsia="zh-CN"/>
              </w:rPr>
              <w:t>、</w:t>
            </w:r>
            <w:r>
              <w:rPr>
                <w:rFonts w:hint="eastAsia" w:ascii="Times New Roman" w:hAnsi="宋体"/>
                <w:sz w:val="24"/>
                <w:szCs w:val="24"/>
              </w:rPr>
              <w:t>细颗粒物（</w:t>
            </w:r>
            <w:r>
              <w:rPr>
                <w:rFonts w:hint="default" w:ascii="Times New Roman" w:hAnsi="Times New Roman"/>
                <w:sz w:val="24"/>
                <w:szCs w:val="24"/>
              </w:rPr>
              <w:t>PM</w:t>
            </w:r>
            <w:r>
              <w:rPr>
                <w:rFonts w:hint="default" w:ascii="Times New Roman" w:hAnsi="Times New Roman"/>
                <w:sz w:val="24"/>
                <w:szCs w:val="24"/>
                <w:vertAlign w:val="subscript"/>
              </w:rPr>
              <w:t>2.5</w:t>
            </w:r>
            <w:r>
              <w:rPr>
                <w:rFonts w:hint="eastAsia" w:ascii="Times New Roman" w:hAnsi="宋体"/>
                <w:sz w:val="24"/>
                <w:szCs w:val="24"/>
              </w:rPr>
              <w:t>）年均浓度超过</w:t>
            </w:r>
            <w:r>
              <w:rPr>
                <w:rFonts w:hint="default" w:ascii="Times New Roman" w:hAnsi="Times New Roman" w:eastAsia="宋体" w:cs="Times New Roman"/>
                <w:kern w:val="0"/>
                <w:sz w:val="24"/>
                <w:szCs w:val="24"/>
              </w:rPr>
              <w:t>《环境空气质量标准》</w:t>
            </w:r>
            <w:r>
              <w:rPr>
                <w:rFonts w:hint="eastAsia" w:ascii="Times New Roman" w:hAnsi="Times New Roman" w:eastAsia="宋体" w:cs="Times New Roman"/>
                <w:kern w:val="0"/>
                <w:sz w:val="24"/>
                <w:szCs w:val="24"/>
              </w:rPr>
              <w:t>（</w:t>
            </w:r>
            <w:r>
              <w:rPr>
                <w:rFonts w:hint="default" w:ascii="Times New Roman" w:hAnsi="Times New Roman" w:eastAsia="宋体" w:cs="Times New Roman"/>
                <w:kern w:val="0"/>
                <w:sz w:val="24"/>
                <w:szCs w:val="24"/>
              </w:rPr>
              <w:t>GB3095-20</w:t>
            </w:r>
            <w:r>
              <w:rPr>
                <w:rFonts w:hint="eastAsia" w:ascii="Times New Roman" w:hAnsi="Times New Roman" w:eastAsia="宋体" w:cs="Times New Roman"/>
                <w:kern w:val="0"/>
                <w:sz w:val="24"/>
                <w:szCs w:val="24"/>
                <w:lang w:val="en-US" w:eastAsia="zh-CN"/>
              </w:rPr>
              <w:t>26</w:t>
            </w:r>
            <w:r>
              <w:rPr>
                <w:rFonts w:hint="eastAsia" w:ascii="Times New Roman" w:hAnsi="Times New Roman" w:eastAsia="宋体" w:cs="Times New Roman"/>
                <w:kern w:val="0"/>
                <w:sz w:val="24"/>
                <w:szCs w:val="24"/>
              </w:rPr>
              <w:t>）</w:t>
            </w:r>
            <w:r>
              <w:rPr>
                <w:rFonts w:hint="default" w:ascii="Times New Roman" w:hAnsi="Times New Roman" w:eastAsia="宋体" w:cs="Times New Roman"/>
                <w:kern w:val="0"/>
                <w:sz w:val="24"/>
                <w:szCs w:val="24"/>
              </w:rPr>
              <w:t>中的</w:t>
            </w:r>
            <w:r>
              <w:rPr>
                <w:rFonts w:hint="eastAsia" w:ascii="Times New Roman" w:hAnsi="Times New Roman" w:eastAsia="宋体" w:cs="Times New Roman"/>
                <w:kern w:val="0"/>
                <w:sz w:val="24"/>
                <w:szCs w:val="24"/>
                <w:lang w:val="en-US" w:eastAsia="zh-CN"/>
              </w:rPr>
              <w:t>过渡阶段</w:t>
            </w:r>
            <w:r>
              <w:rPr>
                <w:rFonts w:hint="default" w:ascii="Times New Roman" w:hAnsi="Times New Roman" w:eastAsia="宋体" w:cs="Times New Roman"/>
                <w:kern w:val="0"/>
                <w:sz w:val="24"/>
                <w:szCs w:val="24"/>
              </w:rPr>
              <w:t>二级</w:t>
            </w:r>
            <w:r>
              <w:rPr>
                <w:rFonts w:hint="eastAsia" w:ascii="Times New Roman" w:hAnsi="Times New Roman" w:eastAsia="宋体" w:cs="Times New Roman"/>
                <w:kern w:val="0"/>
                <w:sz w:val="24"/>
                <w:szCs w:val="24"/>
                <w:lang w:val="en-US" w:eastAsia="zh-CN"/>
              </w:rPr>
              <w:t>浓度限值要求</w:t>
            </w:r>
            <w:r>
              <w:rPr>
                <w:rFonts w:hint="eastAsia" w:ascii="Times New Roman" w:hAnsi="Times New Roman"/>
                <w:sz w:val="24"/>
                <w:szCs w:val="24"/>
              </w:rPr>
              <w:t>。因此，淮南市为不达标区。</w:t>
            </w:r>
          </w:p>
          <w:p w14:paraId="0727EE5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sz w:val="24"/>
                <w:szCs w:val="21"/>
              </w:rPr>
            </w:pPr>
            <w:r>
              <w:rPr>
                <w:rFonts w:hint="eastAsia" w:ascii="Times New Roman" w:hAnsi="Times New Roman"/>
                <w:kern w:val="0"/>
                <w:sz w:val="24"/>
                <w:szCs w:val="24"/>
              </w:rPr>
              <w:t>淮南市生态环境局就空气质量不达标提出一系列举措，为确保淮南市大气污染防治工作有效推进，</w:t>
            </w:r>
            <w:r>
              <w:rPr>
                <w:rFonts w:hint="eastAsia" w:ascii="Times New Roman" w:hAnsi="Times New Roman"/>
                <w:sz w:val="24"/>
                <w:szCs w:val="21"/>
              </w:rPr>
              <w:t>目前，淮南市已制订《淮南市“十四五”大气污染防治规划（</w:t>
            </w:r>
            <w:r>
              <w:rPr>
                <w:rFonts w:hint="default" w:ascii="Times New Roman" w:hAnsi="Times New Roman"/>
                <w:sz w:val="24"/>
                <w:szCs w:val="21"/>
              </w:rPr>
              <w:t>2021-2025</w:t>
            </w:r>
            <w:r>
              <w:rPr>
                <w:rFonts w:hint="eastAsia" w:ascii="Times New Roman" w:hAnsi="Times New Roman"/>
                <w:sz w:val="24"/>
                <w:szCs w:val="21"/>
              </w:rPr>
              <w:t>年）》，围绕工业大气污染治理、扬（烟）尘污染防治等开展专项治理活动，进一步削减大气污染物排放。</w:t>
            </w:r>
          </w:p>
          <w:p w14:paraId="49F092EB">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w:t>
            </w:r>
            <w:r>
              <w:rPr>
                <w:rFonts w:hint="eastAsia" w:ascii="Times New Roman" w:hAnsi="Times New Roman" w:eastAsia="宋体" w:cs="Times New Roman"/>
                <w:b/>
                <w:kern w:val="0"/>
                <w:sz w:val="24"/>
                <w:szCs w:val="24"/>
              </w:rPr>
              <w:t>2</w:t>
            </w:r>
            <w:r>
              <w:rPr>
                <w:rFonts w:hint="default" w:ascii="Times New Roman" w:hAnsi="Times New Roman" w:eastAsia="宋体" w:cs="Times New Roman"/>
                <w:b/>
                <w:kern w:val="0"/>
                <w:sz w:val="24"/>
                <w:szCs w:val="24"/>
              </w:rPr>
              <w:t>）其他污染物补充监测结果</w:t>
            </w:r>
          </w:p>
          <w:p w14:paraId="03B6EF1E">
            <w:pPr>
              <w:keepNext w:val="0"/>
              <w:keepLines w:val="0"/>
              <w:suppressLineNumbers w:val="0"/>
              <w:spacing w:before="0" w:beforeAutospacing="0" w:after="0" w:afterAutospacing="0" w:line="360" w:lineRule="auto"/>
              <w:ind w:left="0" w:right="0" w:firstLine="480" w:firstLineChars="200"/>
              <w:rPr>
                <w:rFonts w:hint="default"/>
              </w:rPr>
            </w:pPr>
            <w:r>
              <w:rPr>
                <w:rFonts w:hint="eastAsia" w:ascii="Times New Roman" w:hAnsi="Times New Roman" w:eastAsia="宋体" w:cs="Times New Roman"/>
                <w:kern w:val="0"/>
                <w:sz w:val="24"/>
                <w:szCs w:val="24"/>
              </w:rPr>
              <w:t>本项目其他污染物监测因子为</w:t>
            </w:r>
            <w:r>
              <w:rPr>
                <w:rFonts w:hint="eastAsia" w:ascii="Times New Roman" w:hAnsi="Times New Roman" w:eastAsia="宋体" w:cs="Times New Roman"/>
                <w:kern w:val="0"/>
                <w:sz w:val="24"/>
                <w:szCs w:val="24"/>
                <w:lang w:val="en-US" w:eastAsia="zh-CN"/>
              </w:rPr>
              <w:t>TSP、</w:t>
            </w:r>
            <w:r>
              <w:rPr>
                <w:rFonts w:hint="eastAsia" w:ascii="Times New Roman" w:hAnsi="Times New Roman" w:eastAsia="宋体" w:cs="Times New Roman"/>
                <w:kern w:val="0"/>
                <w:sz w:val="24"/>
                <w:szCs w:val="24"/>
              </w:rPr>
              <w:t>非甲烷总烃，根据全国环评技术评估咨询平台解答内容“技术指南中提到“排放国家、地方环境空气质量标准中有标准限值要求的特征污染物”，其中环境空气质量指标指《环境空气质量标准》（GB3095-2012）和地方的环境空气质量标准，不包括《环境影响评价技术导则 大气环境》（HJ2.2-2018）附录D、《工业企业设计卫生标准》（TJ36-97）、《大气污染物综合排放标准详解》等导则或参考资料。排放的特征污染物需要在国家、地方环境空气质量标准中有限值要求才涉及现状监测，且优先引用现有监测数据”，因此，本项目不需要对大气特征污染物非甲烷总烃进行现状监测。</w:t>
            </w:r>
          </w:p>
          <w:p w14:paraId="1EFBAA9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为了解项目所在区域的特征污染物</w:t>
            </w:r>
            <w:r>
              <w:rPr>
                <w:rFonts w:hint="default" w:ascii="Times New Roman" w:hAnsi="Times New Roman" w:eastAsia="宋体" w:cs="Times New Roman"/>
                <w:kern w:val="0"/>
                <w:sz w:val="24"/>
                <w:szCs w:val="24"/>
                <w:lang w:val="en-US" w:eastAsia="zh-CN"/>
              </w:rPr>
              <w:t>TSP</w:t>
            </w:r>
            <w:r>
              <w:rPr>
                <w:rFonts w:hint="eastAsia" w:ascii="Times New Roman" w:hAnsi="Times New Roman" w:eastAsia="宋体" w:cs="Times New Roman"/>
                <w:kern w:val="0"/>
                <w:sz w:val="24"/>
                <w:szCs w:val="24"/>
                <w:lang w:val="en-US" w:eastAsia="zh-CN"/>
              </w:rPr>
              <w:t>的环境质量现状情况，特征污染物引用《开沃汽车（淮南）专用车生产项目环境影响报告书》中监测数据，监测时间：</w:t>
            </w:r>
            <w:r>
              <w:rPr>
                <w:rFonts w:hint="default" w:ascii="Times New Roman" w:hAnsi="Times New Roman" w:eastAsia="宋体" w:cs="Times New Roman"/>
                <w:kern w:val="0"/>
                <w:sz w:val="24"/>
                <w:szCs w:val="24"/>
                <w:lang w:val="en-US" w:eastAsia="zh-CN"/>
              </w:rPr>
              <w:t>2023</w:t>
            </w:r>
            <w:r>
              <w:rPr>
                <w:rFonts w:hint="eastAsia" w:ascii="Times New Roman" w:hAnsi="Times New Roman" w:eastAsia="宋体" w:cs="Times New Roman"/>
                <w:kern w:val="0"/>
                <w:sz w:val="24"/>
                <w:szCs w:val="24"/>
                <w:lang w:val="en-US" w:eastAsia="zh-CN"/>
              </w:rPr>
              <w:t>年</w:t>
            </w:r>
            <w:r>
              <w:rPr>
                <w:rFonts w:hint="default" w:ascii="Times New Roman" w:hAnsi="Times New Roman" w:eastAsia="宋体" w:cs="Times New Roman"/>
                <w:kern w:val="0"/>
                <w:sz w:val="24"/>
                <w:szCs w:val="24"/>
                <w:lang w:val="en-US" w:eastAsia="zh-CN"/>
              </w:rPr>
              <w:t>8</w:t>
            </w:r>
            <w:r>
              <w:rPr>
                <w:rFonts w:hint="eastAsia" w:ascii="Times New Roman" w:hAnsi="Times New Roman" w:eastAsia="宋体" w:cs="Times New Roman"/>
                <w:kern w:val="0"/>
                <w:sz w:val="24"/>
                <w:szCs w:val="24"/>
                <w:lang w:val="en-US" w:eastAsia="zh-CN"/>
              </w:rPr>
              <w:t>月</w:t>
            </w:r>
            <w:r>
              <w:rPr>
                <w:rFonts w:hint="default" w:ascii="Times New Roman" w:hAnsi="Times New Roman" w:eastAsia="宋体" w:cs="Times New Roman"/>
                <w:kern w:val="0"/>
                <w:sz w:val="24"/>
                <w:szCs w:val="24"/>
                <w:lang w:val="en-US" w:eastAsia="zh-CN"/>
              </w:rPr>
              <w:t>21</w:t>
            </w:r>
            <w:r>
              <w:rPr>
                <w:rFonts w:hint="eastAsia" w:ascii="Times New Roman" w:hAnsi="Times New Roman" w:eastAsia="宋体" w:cs="Times New Roman"/>
                <w:kern w:val="0"/>
                <w:sz w:val="24"/>
                <w:szCs w:val="24"/>
                <w:lang w:val="en-US" w:eastAsia="zh-CN"/>
              </w:rPr>
              <w:t>日～</w:t>
            </w:r>
            <w:r>
              <w:rPr>
                <w:rFonts w:hint="default" w:ascii="Times New Roman" w:hAnsi="Times New Roman" w:eastAsia="宋体" w:cs="Times New Roman"/>
                <w:kern w:val="0"/>
                <w:sz w:val="24"/>
                <w:szCs w:val="24"/>
                <w:lang w:val="en-US" w:eastAsia="zh-CN"/>
              </w:rPr>
              <w:t>8</w:t>
            </w:r>
            <w:r>
              <w:rPr>
                <w:rFonts w:hint="eastAsia" w:ascii="Times New Roman" w:hAnsi="Times New Roman" w:eastAsia="宋体" w:cs="Times New Roman"/>
                <w:kern w:val="0"/>
                <w:sz w:val="24"/>
                <w:szCs w:val="24"/>
                <w:lang w:val="en-US" w:eastAsia="zh-CN"/>
              </w:rPr>
              <w:t>月</w:t>
            </w:r>
            <w:r>
              <w:rPr>
                <w:rFonts w:hint="default" w:ascii="Times New Roman" w:hAnsi="Times New Roman" w:eastAsia="宋体" w:cs="Times New Roman"/>
                <w:kern w:val="0"/>
                <w:sz w:val="24"/>
                <w:szCs w:val="24"/>
                <w:lang w:val="en-US" w:eastAsia="zh-CN"/>
              </w:rPr>
              <w:t>27</w:t>
            </w:r>
            <w:r>
              <w:rPr>
                <w:rFonts w:hint="eastAsia" w:ascii="Times New Roman" w:hAnsi="Times New Roman" w:eastAsia="宋体" w:cs="Times New Roman"/>
                <w:kern w:val="0"/>
                <w:sz w:val="24"/>
                <w:szCs w:val="24"/>
                <w:lang w:val="en-US" w:eastAsia="zh-CN"/>
              </w:rPr>
              <w:t>日，监测公司：安徽工和环境监测有限责任公司，引用点位：</w:t>
            </w:r>
            <w:r>
              <w:rPr>
                <w:rFonts w:hint="default" w:ascii="Times New Roman" w:hAnsi="Times New Roman" w:eastAsia="宋体" w:cs="Times New Roman"/>
                <w:kern w:val="0"/>
                <w:sz w:val="24"/>
                <w:szCs w:val="24"/>
                <w:lang w:val="en-US" w:eastAsia="zh-CN"/>
              </w:rPr>
              <w:t>G2</w:t>
            </w:r>
            <w:r>
              <w:rPr>
                <w:rFonts w:hint="eastAsia" w:ascii="Times New Roman" w:hAnsi="Times New Roman" w:eastAsia="宋体" w:cs="Times New Roman"/>
                <w:kern w:val="0"/>
                <w:sz w:val="24"/>
                <w:szCs w:val="24"/>
                <w:lang w:val="en-US" w:eastAsia="zh-CN"/>
              </w:rPr>
              <w:t>玉兰苑小区（距离本项目约1.54</w:t>
            </w:r>
            <w:r>
              <w:rPr>
                <w:rFonts w:hint="default" w:ascii="Times New Roman" w:hAnsi="Times New Roman" w:eastAsia="宋体" w:cs="Times New Roman"/>
                <w:kern w:val="0"/>
                <w:sz w:val="24"/>
                <w:szCs w:val="24"/>
                <w:lang w:val="en-US" w:eastAsia="zh-CN"/>
              </w:rPr>
              <w:t>km</w:t>
            </w:r>
            <w:r>
              <w:rPr>
                <w:rFonts w:hint="eastAsia"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lang w:val="en-US" w:eastAsia="zh-CN"/>
              </w:rPr>
              <w:t>N</w:t>
            </w:r>
            <w:r>
              <w:rPr>
                <w:rFonts w:hint="eastAsia" w:ascii="Times New Roman" w:hAnsi="Times New Roman" w:eastAsia="宋体" w:cs="Times New Roman"/>
                <w:kern w:val="0"/>
                <w:sz w:val="24"/>
                <w:szCs w:val="24"/>
                <w:lang w:val="en-US" w:eastAsia="zh-CN"/>
              </w:rPr>
              <w:t>W）；引用监测数据满足《建设项目环境影响报告表编制技术指南（污染影响类）（试行）》中大气环境质量现状可引用建设项目周边</w:t>
            </w:r>
            <w:r>
              <w:rPr>
                <w:rFonts w:hint="default"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lang w:val="en-US" w:eastAsia="zh-CN"/>
              </w:rPr>
              <w:t>千米范围内近</w:t>
            </w:r>
            <w:r>
              <w:rPr>
                <w:rFonts w:hint="default"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lang w:val="en-US" w:eastAsia="zh-CN"/>
              </w:rPr>
              <w:t>年的现有监测数据要求，引用监测数据可行。</w:t>
            </w:r>
          </w:p>
          <w:p w14:paraId="0122E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kern w:val="0"/>
                <w:sz w:val="24"/>
                <w:szCs w:val="24"/>
                <w:lang w:val="en-US" w:eastAsia="zh-CN"/>
              </w:rPr>
            </w:pPr>
            <w:r>
              <w:rPr>
                <w:rFonts w:hint="default"/>
                <w:sz w:val="21"/>
              </w:rPr>
              <mc:AlternateContent>
                <mc:Choice Requires="wps">
                  <w:drawing>
                    <wp:anchor distT="0" distB="0" distL="114300" distR="114300" simplePos="0" relativeHeight="251669504" behindDoc="0" locked="0" layoutInCell="1" allowOverlap="1">
                      <wp:simplePos x="0" y="0"/>
                      <wp:positionH relativeFrom="column">
                        <wp:posOffset>1285875</wp:posOffset>
                      </wp:positionH>
                      <wp:positionV relativeFrom="paragraph">
                        <wp:posOffset>397510</wp:posOffset>
                      </wp:positionV>
                      <wp:extent cx="914400" cy="31369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914400" cy="313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3D59B">
                                  <w:pPr>
                                    <w:rPr>
                                      <w:rFonts w:hint="default" w:ascii="Times New Roman" w:hAnsi="Times New Roman" w:cs="Times New Roman" w:eastAsiaTheme="minorEastAsia"/>
                                      <w:color w:val="auto"/>
                                      <w:highlight w:val="yellow"/>
                                      <w:lang w:val="en-US" w:eastAsia="zh-CN"/>
                                    </w:rPr>
                                  </w:pPr>
                                  <w:r>
                                    <w:rPr>
                                      <w:rFonts w:hint="eastAsia" w:ascii="Times New Roman" w:hAnsi="Times New Roman" w:cs="Times New Roman"/>
                                      <w:color w:val="auto"/>
                                      <w:highlight w:val="yellow"/>
                                      <w:lang w:val="en-US" w:eastAsia="zh-CN"/>
                                    </w:rPr>
                                    <w:t>玉兰苑小区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25pt;margin-top:31.3pt;height:24.7pt;width:72pt;z-index:251669504;mso-width-relative:page;mso-height-relative:page;" filled="f" stroked="f" coordsize="21600,21600" o:gfxdata="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R5wDnaAAAACgEAAA8AAAAAAAAAAQAgAAAAIgAAAGRy&#10;cy9kb3ducmV2LnhtbFBLAQIUABQAAAAIAIdO4kAq1+wHPAIAAGkEAAAOAAAAAAAAAAEAIAAAACkB&#10;AABkcnMvZTJvRG9jLnhtbFBLBQYAAAAABgAGAFkBAADXBQAAAAA=&#10;">
                      <v:fill on="f" focussize="0,0"/>
                      <v:stroke on="f" weight="0.5pt"/>
                      <v:imagedata o:title=""/>
                      <o:lock v:ext="edit" aspectratio="f"/>
                      <v:textbox>
                        <w:txbxContent>
                          <w:p w14:paraId="5F33D59B">
                            <w:pPr>
                              <w:rPr>
                                <w:rFonts w:hint="default" w:ascii="Times New Roman" w:hAnsi="Times New Roman" w:cs="Times New Roman" w:eastAsiaTheme="minorEastAsia"/>
                                <w:color w:val="auto"/>
                                <w:highlight w:val="yellow"/>
                                <w:lang w:val="en-US" w:eastAsia="zh-CN"/>
                              </w:rPr>
                            </w:pPr>
                            <w:r>
                              <w:rPr>
                                <w:rFonts w:hint="eastAsia" w:ascii="Times New Roman" w:hAnsi="Times New Roman" w:cs="Times New Roman"/>
                                <w:color w:val="auto"/>
                                <w:highlight w:val="yellow"/>
                                <w:lang w:val="en-US" w:eastAsia="zh-CN"/>
                              </w:rPr>
                              <w:t>玉兰苑小区</w:t>
                            </w:r>
                          </w:p>
                        </w:txbxContent>
                      </v:textbox>
                    </v:shape>
                  </w:pict>
                </mc:Fallback>
              </mc:AlternateContent>
            </w:r>
            <w:r>
              <w:rPr>
                <w:rFonts w:hint="default"/>
              </w:rPr>
              <w:drawing>
                <wp:anchor distT="0" distB="0" distL="114300" distR="114300" simplePos="0" relativeHeight="251668480" behindDoc="0" locked="0" layoutInCell="1" allowOverlap="1">
                  <wp:simplePos x="0" y="0"/>
                  <wp:positionH relativeFrom="column">
                    <wp:posOffset>4471670</wp:posOffset>
                  </wp:positionH>
                  <wp:positionV relativeFrom="paragraph">
                    <wp:posOffset>38735</wp:posOffset>
                  </wp:positionV>
                  <wp:extent cx="567690" cy="567690"/>
                  <wp:effectExtent l="0" t="0" r="3810" b="3810"/>
                  <wp:wrapNone/>
                  <wp:docPr id="1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
                          <pic:cNvPicPr>
                            <a:picLocks noChangeAspect="1"/>
                          </pic:cNvPicPr>
                        </pic:nvPicPr>
                        <pic:blipFill>
                          <a:blip r:embed="rId10"/>
                          <a:stretch>
                            <a:fillRect/>
                          </a:stretch>
                        </pic:blipFill>
                        <pic:spPr>
                          <a:xfrm>
                            <a:off x="0" y="0"/>
                            <a:ext cx="567690" cy="567690"/>
                          </a:xfrm>
                          <a:prstGeom prst="rect">
                            <a:avLst/>
                          </a:prstGeom>
                          <a:noFill/>
                          <a:ln>
                            <a:noFill/>
                          </a:ln>
                        </pic:spPr>
                      </pic:pic>
                    </a:graphicData>
                  </a:graphic>
                </wp:anchor>
              </w:drawing>
            </w:r>
            <w:r>
              <w:rPr>
                <w:rFonts w:hint="default"/>
                <w:sz w:val="21"/>
              </w:rPr>
              <mc:AlternateContent>
                <mc:Choice Requires="wps">
                  <w:drawing>
                    <wp:anchor distT="0" distB="0" distL="114300" distR="114300" simplePos="0" relativeHeight="251667456" behindDoc="0" locked="0" layoutInCell="1" allowOverlap="1">
                      <wp:simplePos x="0" y="0"/>
                      <wp:positionH relativeFrom="column">
                        <wp:posOffset>2701290</wp:posOffset>
                      </wp:positionH>
                      <wp:positionV relativeFrom="paragraph">
                        <wp:posOffset>1300480</wp:posOffset>
                      </wp:positionV>
                      <wp:extent cx="914400" cy="313690"/>
                      <wp:effectExtent l="0" t="0" r="0" b="10160"/>
                      <wp:wrapNone/>
                      <wp:docPr id="123" name="文本框 123"/>
                      <wp:cNvGraphicFramePr/>
                      <a:graphic xmlns:a="http://schemas.openxmlformats.org/drawingml/2006/main">
                        <a:graphicData uri="http://schemas.microsoft.com/office/word/2010/wordprocessingShape">
                          <wps:wsp>
                            <wps:cNvSpPr txBox="1"/>
                            <wps:spPr>
                              <a:xfrm>
                                <a:off x="4307840" y="5880100"/>
                                <a:ext cx="914400" cy="313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9F55C">
                                  <w:pPr>
                                    <w:rPr>
                                      <w:rFonts w:hint="default" w:ascii="Times New Roman" w:hAnsi="Times New Roman" w:cs="Times New Roman" w:eastAsiaTheme="minorEastAsia"/>
                                      <w:color w:val="FF0000"/>
                                      <w:lang w:val="en-US" w:eastAsia="zh-CN"/>
                                    </w:rPr>
                                  </w:pPr>
                                  <w:r>
                                    <w:rPr>
                                      <w:rFonts w:hint="default" w:ascii="Times New Roman" w:hAnsi="Times New Roman" w:cs="Times New Roman"/>
                                      <w:color w:val="FF0000"/>
                                      <w:lang w:val="en-US" w:eastAsia="zh-CN"/>
                                    </w:rPr>
                                    <w:t>1.54km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7pt;margin-top:102.4pt;height:24.7pt;width:72pt;z-index:251667456;mso-width-relative:page;mso-height-relative:page;" filled="f" stroked="f" coordsize="21600,21600" o:gfxdata="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a59d2gAAAAsBAAAPAAAAAAAAAAEA&#10;IAAAACIAAABkcnMvZG93bnJldi54bWxQSwECFAAUAAAACACHTuJA82KmzkYCAAB1BAAADgAAAAAA&#10;AAABACAAAAApAQAAZHJzL2Uyb0RvYy54bWxQSwUGAAAAAAYABgBZAQAA4QUAAAAA&#10;">
                      <v:fill on="f" focussize="0,0"/>
                      <v:stroke on="f" weight="0.5pt"/>
                      <v:imagedata o:title=""/>
                      <o:lock v:ext="edit" aspectratio="f"/>
                      <v:textbox>
                        <w:txbxContent>
                          <w:p w14:paraId="2469F55C">
                            <w:pPr>
                              <w:rPr>
                                <w:rFonts w:hint="default" w:ascii="Times New Roman" w:hAnsi="Times New Roman" w:cs="Times New Roman" w:eastAsiaTheme="minorEastAsia"/>
                                <w:color w:val="FF0000"/>
                                <w:lang w:val="en-US" w:eastAsia="zh-CN"/>
                              </w:rPr>
                            </w:pPr>
                            <w:r>
                              <w:rPr>
                                <w:rFonts w:hint="default" w:ascii="Times New Roman" w:hAnsi="Times New Roman" w:cs="Times New Roman"/>
                                <w:color w:val="FF0000"/>
                                <w:lang w:val="en-US" w:eastAsia="zh-CN"/>
                              </w:rPr>
                              <w:t>1.54km</w:t>
                            </w:r>
                          </w:p>
                        </w:txbxContent>
                      </v:textbox>
                    </v:shape>
                  </w:pict>
                </mc:Fallback>
              </mc:AlternateContent>
            </w:r>
            <w:r>
              <w:rPr>
                <w:rFonts w:hint="default"/>
                <w:sz w:val="21"/>
              </w:rPr>
              <mc:AlternateContent>
                <mc:Choice Requires="wps">
                  <w:drawing>
                    <wp:anchor distT="0" distB="0" distL="114300" distR="114300" simplePos="0" relativeHeight="251666432" behindDoc="0" locked="0" layoutInCell="1" allowOverlap="1">
                      <wp:simplePos x="0" y="0"/>
                      <wp:positionH relativeFrom="column">
                        <wp:posOffset>1689735</wp:posOffset>
                      </wp:positionH>
                      <wp:positionV relativeFrom="paragraph">
                        <wp:posOffset>657225</wp:posOffset>
                      </wp:positionV>
                      <wp:extent cx="2440305" cy="1971040"/>
                      <wp:effectExtent l="8255" t="10160" r="8890" b="19050"/>
                      <wp:wrapNone/>
                      <wp:docPr id="122" name="直接连接符 122"/>
                      <wp:cNvGraphicFramePr/>
                      <a:graphic xmlns:a="http://schemas.openxmlformats.org/drawingml/2006/main">
                        <a:graphicData uri="http://schemas.microsoft.com/office/word/2010/wordprocessingShape">
                          <wps:wsp>
                            <wps:cNvCnPr/>
                            <wps:spPr>
                              <a:xfrm flipH="1" flipV="1">
                                <a:off x="5560695" y="7418705"/>
                                <a:ext cx="2440305" cy="197104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33.05pt;margin-top:51.75pt;height:155.2pt;width:192.15pt;z-index:251666432;mso-width-relative:page;mso-height-relative:page;" filled="f" stroked="t" coordsize="21600,21600" o:gfxdata="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5++H2gAAAAsBAAAPAAAAAAAAAAEAIAAAACIAAABkcnMvZG93&#10;bnJldi54bWxQSwECFAAUAAAACACHTuJA5Ter/P4BAADFAwAADgAAAAAAAAABACAAAAApAQAAZHJz&#10;L2Uyb0RvYy54bWxQSwUGAAAAAAYABgBZAQAAmQUAAAAA&#10;">
                      <v:fill on="f" focussize="0,0"/>
                      <v:stroke weight="2pt" color="#FF0000 [3204]" joinstyle="round"/>
                      <v:imagedata o:title=""/>
                      <o:lock v:ext="edit" aspectratio="f"/>
                    </v:line>
                  </w:pict>
                </mc:Fallback>
              </mc:AlternateContent>
            </w:r>
            <w:r>
              <w:rPr>
                <w:rFonts w:hint="default"/>
              </w:rPr>
              <w:drawing>
                <wp:inline distT="0" distB="0" distL="114300" distR="114300">
                  <wp:extent cx="5048250" cy="3091815"/>
                  <wp:effectExtent l="0" t="0" r="0" b="13335"/>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11"/>
                          <a:stretch>
                            <a:fillRect/>
                          </a:stretch>
                        </pic:blipFill>
                        <pic:spPr>
                          <a:xfrm>
                            <a:off x="0" y="0"/>
                            <a:ext cx="5048250" cy="3091815"/>
                          </a:xfrm>
                          <a:prstGeom prst="rect">
                            <a:avLst/>
                          </a:prstGeom>
                          <a:noFill/>
                          <a:ln>
                            <a:noFill/>
                          </a:ln>
                        </pic:spPr>
                      </pic:pic>
                    </a:graphicData>
                  </a:graphic>
                </wp:inline>
              </w:drawing>
            </w:r>
          </w:p>
          <w:p w14:paraId="40F6C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eastAsia="黑体" w:cs="Times New Roman"/>
                <w:sz w:val="24"/>
                <w:szCs w:val="21"/>
                <w:lang w:val="en-US" w:eastAsia="zh-CN"/>
              </w:rPr>
            </w:pPr>
            <w:r>
              <w:rPr>
                <w:rFonts w:hint="eastAsia" w:ascii="Times New Roman" w:hAnsi="Times New Roman" w:eastAsia="黑体" w:cs="Times New Roman"/>
                <w:sz w:val="24"/>
                <w:szCs w:val="21"/>
                <w:lang w:val="en-US" w:eastAsia="zh-CN"/>
              </w:rPr>
              <w:t>图</w:t>
            </w:r>
            <w:r>
              <w:rPr>
                <w:rFonts w:hint="default" w:ascii="Times New Roman" w:hAnsi="Times New Roman" w:eastAsia="黑体" w:cs="Times New Roman"/>
                <w:sz w:val="24"/>
                <w:szCs w:val="21"/>
                <w:lang w:val="en-US"/>
              </w:rPr>
              <w:t>3</w:t>
            </w:r>
            <w:r>
              <w:rPr>
                <w:rFonts w:hint="eastAsia" w:ascii="Times New Roman" w:hAnsi="Times New Roman" w:eastAsia="黑体" w:cs="Times New Roman"/>
                <w:sz w:val="24"/>
                <w:szCs w:val="21"/>
                <w:lang w:val="en-US" w:eastAsia="zh-CN"/>
              </w:rPr>
              <w:t>-1</w:t>
            </w:r>
            <w:r>
              <w:rPr>
                <w:rFonts w:hint="default" w:ascii="Times New Roman" w:hAnsi="Times New Roman" w:eastAsia="黑体" w:cs="Times New Roman"/>
                <w:sz w:val="24"/>
                <w:szCs w:val="21"/>
                <w:lang w:val="en-US"/>
              </w:rPr>
              <w:t xml:space="preserve"> </w:t>
            </w:r>
            <w:r>
              <w:rPr>
                <w:rFonts w:hint="eastAsia" w:ascii="Times New Roman" w:hAnsi="Times New Roman" w:eastAsia="黑体" w:cs="Times New Roman"/>
                <w:sz w:val="24"/>
                <w:szCs w:val="21"/>
                <w:lang w:val="en-US" w:eastAsia="zh-CN"/>
              </w:rPr>
              <w:t xml:space="preserve"> 引用点与项目地位置关系图</w:t>
            </w:r>
          </w:p>
          <w:p w14:paraId="70C43C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黑体" w:cs="Times New Roman"/>
                <w:sz w:val="24"/>
                <w:szCs w:val="21"/>
                <w:vertAlign w:val="superscript"/>
                <w:lang w:val="en-US"/>
              </w:rPr>
            </w:pPr>
            <w:r>
              <w:rPr>
                <w:rFonts w:hint="eastAsia" w:ascii="Times New Roman" w:hAnsi="Times New Roman" w:eastAsia="黑体" w:cs="Times New Roman"/>
                <w:sz w:val="24"/>
                <w:szCs w:val="21"/>
                <w:lang w:eastAsia="zh-CN"/>
              </w:rPr>
              <w:t>表</w:t>
            </w:r>
            <w:r>
              <w:rPr>
                <w:rFonts w:hint="default" w:ascii="Times New Roman" w:hAnsi="Times New Roman" w:eastAsia="黑体" w:cs="Times New Roman"/>
                <w:sz w:val="24"/>
                <w:szCs w:val="21"/>
                <w:lang w:val="en-US"/>
              </w:rPr>
              <w:t>3</w:t>
            </w:r>
            <w:r>
              <w:rPr>
                <w:rFonts w:hint="eastAsia" w:ascii="Times New Roman" w:hAnsi="Times New Roman" w:eastAsia="黑体" w:cs="Times New Roman"/>
                <w:sz w:val="24"/>
                <w:szCs w:val="21"/>
                <w:lang w:val="en-US" w:eastAsia="zh-CN"/>
              </w:rPr>
              <w:t>-2</w:t>
            </w:r>
            <w:r>
              <w:rPr>
                <w:rFonts w:hint="default" w:ascii="Times New Roman" w:hAnsi="Times New Roman" w:eastAsia="黑体" w:cs="Times New Roman"/>
                <w:sz w:val="24"/>
                <w:szCs w:val="21"/>
                <w:lang w:val="en-US"/>
              </w:rPr>
              <w:t xml:space="preserve"> </w:t>
            </w:r>
            <w:r>
              <w:rPr>
                <w:rFonts w:hint="eastAsia" w:ascii="Times New Roman" w:hAnsi="Times New Roman" w:eastAsia="黑体" w:cs="Times New Roman"/>
                <w:sz w:val="24"/>
                <w:szCs w:val="21"/>
                <w:lang w:val="en-US" w:eastAsia="zh-CN"/>
              </w:rPr>
              <w:t xml:space="preserve"> </w:t>
            </w:r>
            <w:r>
              <w:rPr>
                <w:rFonts w:hint="eastAsia" w:ascii="Times New Roman" w:hAnsi="Times New Roman" w:eastAsia="黑体" w:cs="Times New Roman"/>
                <w:sz w:val="24"/>
                <w:szCs w:val="21"/>
                <w:lang w:eastAsia="zh-CN"/>
              </w:rPr>
              <w:t>特征污染物环境质量现状监测结果及评价统计</w:t>
            </w:r>
            <w:r>
              <w:rPr>
                <w:rFonts w:hint="eastAsia" w:ascii="Times New Roman" w:hAnsi="Times New Roman" w:eastAsia="黑体" w:cs="Times New Roman"/>
                <w:sz w:val="24"/>
                <w:szCs w:val="21"/>
                <w:lang w:val="en-US" w:eastAsia="zh-CN"/>
              </w:rPr>
              <w:t xml:space="preserve"> </w:t>
            </w:r>
            <w:r>
              <w:rPr>
                <w:rFonts w:hint="default" w:ascii="Times New Roman" w:hAnsi="Times New Roman" w:eastAsia="黑体" w:cs="Times New Roman"/>
                <w:sz w:val="24"/>
                <w:szCs w:val="21"/>
                <w:lang w:val="en-US"/>
              </w:rPr>
              <w:t xml:space="preserve">  </w:t>
            </w:r>
            <w:r>
              <w:rPr>
                <w:rFonts w:hint="eastAsia" w:ascii="Times New Roman" w:hAnsi="Times New Roman" w:eastAsia="黑体" w:cs="Times New Roman"/>
                <w:sz w:val="24"/>
                <w:szCs w:val="21"/>
                <w:lang w:eastAsia="zh-CN"/>
              </w:rPr>
              <w:t>单位：</w:t>
            </w:r>
            <w:r>
              <w:rPr>
                <w:rFonts w:hint="default" w:ascii="Times New Roman" w:hAnsi="Times New Roman" w:eastAsia="黑体" w:cs="Times New Roman"/>
                <w:sz w:val="24"/>
                <w:szCs w:val="21"/>
                <w:lang w:val="en-US"/>
              </w:rPr>
              <w:t>mg/m</w:t>
            </w:r>
            <w:r>
              <w:rPr>
                <w:rFonts w:hint="default" w:ascii="Times New Roman" w:hAnsi="Times New Roman" w:eastAsia="黑体" w:cs="Times New Roman"/>
                <w:sz w:val="24"/>
                <w:szCs w:val="21"/>
                <w:vertAlign w:val="superscript"/>
                <w:lang w:val="en-US"/>
              </w:rPr>
              <w:t>3</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31"/>
              <w:gridCol w:w="1554"/>
              <w:gridCol w:w="1548"/>
              <w:gridCol w:w="987"/>
              <w:gridCol w:w="1285"/>
              <w:gridCol w:w="1045"/>
              <w:gridCol w:w="600"/>
            </w:tblGrid>
            <w:tr w14:paraId="1E735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529" w:type="pct"/>
                  <w:vMerge w:val="restart"/>
                  <w:vAlign w:val="center"/>
                </w:tcPr>
                <w:p w14:paraId="003AD2F3">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Theme="minorEastAsia"/>
                      <w:b/>
                      <w:bCs/>
                      <w:kern w:val="0"/>
                      <w:szCs w:val="21"/>
                      <w:lang w:val="en-US" w:eastAsia="zh-CN"/>
                    </w:rPr>
                  </w:pPr>
                  <w:r>
                    <w:rPr>
                      <w:rFonts w:hint="eastAsia" w:ascii="Times New Roman" w:hAnsi="Times New Roman"/>
                      <w:b/>
                      <w:bCs/>
                      <w:kern w:val="0"/>
                      <w:szCs w:val="21"/>
                      <w:lang w:val="en-US" w:eastAsia="zh-CN"/>
                    </w:rPr>
                    <w:t>点位名称</w:t>
                  </w:r>
                </w:p>
              </w:tc>
              <w:tc>
                <w:tcPr>
                  <w:tcW w:w="1974" w:type="pct"/>
                  <w:gridSpan w:val="2"/>
                  <w:vAlign w:val="center"/>
                </w:tcPr>
                <w:p w14:paraId="589C5E31">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Theme="minorEastAsia"/>
                      <w:b/>
                      <w:bCs/>
                      <w:kern w:val="0"/>
                      <w:szCs w:val="21"/>
                      <w:lang w:val="en-US" w:eastAsia="zh-CN"/>
                    </w:rPr>
                  </w:pPr>
                  <w:r>
                    <w:rPr>
                      <w:rFonts w:hint="eastAsia" w:ascii="Times New Roman" w:hAnsi="Times New Roman"/>
                      <w:b/>
                      <w:bCs/>
                      <w:kern w:val="0"/>
                      <w:szCs w:val="21"/>
                      <w:lang w:val="en-US" w:eastAsia="zh-CN"/>
                    </w:rPr>
                    <w:t>监测点坐标</w:t>
                  </w:r>
                </w:p>
              </w:tc>
              <w:tc>
                <w:tcPr>
                  <w:tcW w:w="628" w:type="pct"/>
                  <w:vMerge w:val="restart"/>
                  <w:vAlign w:val="center"/>
                </w:tcPr>
                <w:p w14:paraId="28EF00BA">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Theme="minorEastAsia"/>
                      <w:b/>
                      <w:bCs/>
                      <w:kern w:val="0"/>
                      <w:szCs w:val="21"/>
                      <w:lang w:val="en-US" w:eastAsia="zh-CN"/>
                    </w:rPr>
                  </w:pPr>
                  <w:r>
                    <w:rPr>
                      <w:rFonts w:hint="eastAsia" w:ascii="Times New Roman" w:hAnsi="Times New Roman"/>
                      <w:b/>
                      <w:bCs/>
                      <w:kern w:val="0"/>
                      <w:szCs w:val="21"/>
                      <w:lang w:val="en-US" w:eastAsia="zh-CN"/>
                    </w:rPr>
                    <w:t>污染物</w:t>
                  </w:r>
                </w:p>
              </w:tc>
              <w:tc>
                <w:tcPr>
                  <w:tcW w:w="818" w:type="pct"/>
                  <w:vMerge w:val="restart"/>
                  <w:vAlign w:val="center"/>
                </w:tcPr>
                <w:p w14:paraId="1EDA1768">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heme="minorEastAsia"/>
                      <w:b/>
                      <w:bCs/>
                      <w:kern w:val="0"/>
                      <w:szCs w:val="21"/>
                      <w:lang w:val="en-US" w:eastAsia="zh-CN"/>
                    </w:rPr>
                  </w:pPr>
                  <w:r>
                    <w:rPr>
                      <w:rFonts w:hint="eastAsia" w:ascii="Times New Roman" w:hAnsi="Times New Roman"/>
                      <w:b/>
                      <w:bCs/>
                      <w:kern w:val="0"/>
                      <w:szCs w:val="21"/>
                      <w:lang w:val="en-US" w:eastAsia="zh-CN"/>
                    </w:rPr>
                    <w:t>监测浓度范围（mg/m</w:t>
                  </w:r>
                  <w:r>
                    <w:rPr>
                      <w:rFonts w:hint="eastAsia" w:ascii="Times New Roman" w:hAnsi="Times New Roman"/>
                      <w:b/>
                      <w:bCs/>
                      <w:kern w:val="0"/>
                      <w:szCs w:val="21"/>
                      <w:vertAlign w:val="superscript"/>
                      <w:lang w:val="en-US" w:eastAsia="zh-CN"/>
                    </w:rPr>
                    <w:t>3</w:t>
                  </w:r>
                  <w:r>
                    <w:rPr>
                      <w:rFonts w:hint="eastAsia" w:ascii="Times New Roman" w:hAnsi="Times New Roman"/>
                      <w:b/>
                      <w:bCs/>
                      <w:kern w:val="0"/>
                      <w:szCs w:val="21"/>
                      <w:lang w:val="en-US" w:eastAsia="zh-CN"/>
                    </w:rPr>
                    <w:t>）</w:t>
                  </w:r>
                </w:p>
              </w:tc>
              <w:tc>
                <w:tcPr>
                  <w:tcW w:w="665" w:type="pct"/>
                  <w:vMerge w:val="restart"/>
                  <w:vAlign w:val="center"/>
                </w:tcPr>
                <w:p w14:paraId="5FADAB01">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Theme="minorEastAsia"/>
                      <w:b/>
                      <w:bCs/>
                      <w:kern w:val="0"/>
                      <w:szCs w:val="21"/>
                      <w:lang w:val="en-US" w:eastAsia="zh-CN"/>
                    </w:rPr>
                  </w:pPr>
                  <w:r>
                    <w:rPr>
                      <w:rFonts w:hint="eastAsia" w:ascii="Times New Roman" w:hAnsi="Times New Roman"/>
                      <w:b/>
                      <w:bCs/>
                      <w:kern w:val="0"/>
                      <w:szCs w:val="21"/>
                      <w:lang w:val="en-US" w:eastAsia="zh-CN"/>
                    </w:rPr>
                    <w:t>超标率（%）</w:t>
                  </w:r>
                </w:p>
              </w:tc>
              <w:tc>
                <w:tcPr>
                  <w:tcW w:w="382" w:type="pct"/>
                  <w:vMerge w:val="restart"/>
                  <w:vAlign w:val="center"/>
                </w:tcPr>
                <w:p w14:paraId="270E4EED">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Theme="minorEastAsia"/>
                      <w:b/>
                      <w:bCs/>
                      <w:kern w:val="0"/>
                      <w:szCs w:val="21"/>
                      <w:lang w:val="en-US" w:eastAsia="zh-CN"/>
                    </w:rPr>
                  </w:pPr>
                  <w:r>
                    <w:rPr>
                      <w:rFonts w:hint="eastAsia" w:ascii="Times New Roman" w:hAnsi="Times New Roman"/>
                      <w:b/>
                      <w:bCs/>
                      <w:kern w:val="0"/>
                      <w:szCs w:val="21"/>
                      <w:lang w:val="en-US" w:eastAsia="zh-CN"/>
                    </w:rPr>
                    <w:t>达标情况</w:t>
                  </w:r>
                </w:p>
              </w:tc>
            </w:tr>
            <w:tr w14:paraId="7147C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1" w:hRule="atLeast"/>
              </w:trPr>
              <w:tc>
                <w:tcPr>
                  <w:tcW w:w="529" w:type="pct"/>
                  <w:vMerge w:val="continue"/>
                  <w:vAlign w:val="center"/>
                </w:tcPr>
                <w:p w14:paraId="617725C7">
                  <w:pPr>
                    <w:keepNext w:val="0"/>
                    <w:keepLines w:val="0"/>
                    <w:widowControl/>
                    <w:suppressLineNumbers w:val="0"/>
                    <w:spacing w:before="0" w:beforeAutospacing="0" w:after="0" w:afterAutospacing="0" w:line="276" w:lineRule="auto"/>
                    <w:ind w:left="0" w:right="0"/>
                    <w:jc w:val="center"/>
                    <w:rPr>
                      <w:rFonts w:hint="eastAsia" w:ascii="Times New Roman" w:hAnsi="Times New Roman"/>
                      <w:b/>
                      <w:bCs/>
                      <w:kern w:val="0"/>
                      <w:szCs w:val="21"/>
                      <w:lang w:val="en-US" w:eastAsia="zh-CN"/>
                    </w:rPr>
                  </w:pPr>
                </w:p>
              </w:tc>
              <w:tc>
                <w:tcPr>
                  <w:tcW w:w="989" w:type="pct"/>
                  <w:vAlign w:val="center"/>
                </w:tcPr>
                <w:p w14:paraId="66D479B3">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lang w:val="en-US" w:eastAsia="zh-CN"/>
                    </w:rPr>
                  </w:pPr>
                  <w:r>
                    <w:rPr>
                      <w:rFonts w:hint="eastAsia" w:ascii="Times New Roman" w:hAnsi="Times New Roman"/>
                      <w:b/>
                      <w:bCs/>
                      <w:kern w:val="0"/>
                      <w:szCs w:val="21"/>
                      <w:lang w:val="en-US" w:eastAsia="zh-CN"/>
                    </w:rPr>
                    <w:t>X</w:t>
                  </w:r>
                </w:p>
              </w:tc>
              <w:tc>
                <w:tcPr>
                  <w:tcW w:w="985" w:type="pct"/>
                  <w:vAlign w:val="center"/>
                </w:tcPr>
                <w:p w14:paraId="6D9BB826">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lang w:val="en-US" w:eastAsia="zh-CN"/>
                    </w:rPr>
                  </w:pPr>
                  <w:r>
                    <w:rPr>
                      <w:rFonts w:hint="eastAsia" w:ascii="Times New Roman" w:hAnsi="Times New Roman"/>
                      <w:b/>
                      <w:bCs/>
                      <w:kern w:val="0"/>
                      <w:szCs w:val="21"/>
                      <w:lang w:val="en-US" w:eastAsia="zh-CN"/>
                    </w:rPr>
                    <w:t>Y</w:t>
                  </w:r>
                </w:p>
              </w:tc>
              <w:tc>
                <w:tcPr>
                  <w:tcW w:w="628" w:type="pct"/>
                  <w:vMerge w:val="continue"/>
                  <w:vAlign w:val="center"/>
                </w:tcPr>
                <w:p w14:paraId="4ECF14D0">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p>
              </w:tc>
              <w:tc>
                <w:tcPr>
                  <w:tcW w:w="818" w:type="pct"/>
                  <w:vMerge w:val="continue"/>
                  <w:vAlign w:val="center"/>
                </w:tcPr>
                <w:p w14:paraId="65F8990D">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p>
              </w:tc>
              <w:tc>
                <w:tcPr>
                  <w:tcW w:w="665" w:type="pct"/>
                  <w:vMerge w:val="continue"/>
                  <w:vAlign w:val="center"/>
                </w:tcPr>
                <w:p w14:paraId="49F3FDDA">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p>
              </w:tc>
              <w:tc>
                <w:tcPr>
                  <w:tcW w:w="382" w:type="pct"/>
                  <w:vMerge w:val="continue"/>
                  <w:vAlign w:val="center"/>
                </w:tcPr>
                <w:p w14:paraId="7F74BCF4">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kern w:val="0"/>
                      <w:szCs w:val="21"/>
                    </w:rPr>
                  </w:pPr>
                </w:p>
              </w:tc>
            </w:tr>
            <w:tr w14:paraId="4E130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9" w:type="pct"/>
                  <w:vAlign w:val="center"/>
                </w:tcPr>
                <w:p w14:paraId="1841820A">
                  <w:pPr>
                    <w:pStyle w:val="83"/>
                    <w:keepNext w:val="0"/>
                    <w:keepLines w:val="0"/>
                    <w:pageBreakBefore w:val="0"/>
                    <w:widowControl/>
                    <w:kinsoku/>
                    <w:wordWrap/>
                    <w:overflowPunct/>
                    <w:topLinePunct w:val="0"/>
                    <w:autoSpaceDE/>
                    <w:autoSpaceDN/>
                    <w:bidi w:val="0"/>
                    <w:adjustRightInd/>
                    <w:snapToGrid/>
                    <w:ind w:left="0" w:leftChars="0" w:right="0" w:rightChars="0"/>
                    <w:textAlignment w:val="auto"/>
                    <w:rPr>
                      <w:rFonts w:hint="default" w:ascii="Times New Roman" w:hAnsi="Times New Roman"/>
                      <w:bCs/>
                      <w:kern w:val="0"/>
                      <w:szCs w:val="21"/>
                    </w:rPr>
                  </w:pPr>
                  <w:r>
                    <w:rPr>
                      <w:rFonts w:hint="eastAsia" w:ascii="Times New Roman" w:hAnsi="Times New Roman" w:eastAsia="宋体" w:cs="宋体"/>
                      <w:lang w:val="en-US"/>
                    </w:rPr>
                    <w:t>玉兰苑小区</w:t>
                  </w:r>
                </w:p>
              </w:tc>
              <w:tc>
                <w:tcPr>
                  <w:tcW w:w="989" w:type="pct"/>
                  <w:vAlign w:val="center"/>
                </w:tcPr>
                <w:p w14:paraId="3B052AB0">
                  <w:pPr>
                    <w:pStyle w:val="83"/>
                    <w:keepNext w:val="0"/>
                    <w:keepLines w:val="0"/>
                    <w:pageBreakBefore w:val="0"/>
                    <w:widowControl/>
                    <w:kinsoku/>
                    <w:wordWrap/>
                    <w:overflowPunct/>
                    <w:topLinePunct w:val="0"/>
                    <w:autoSpaceDE/>
                    <w:autoSpaceDN/>
                    <w:bidi w:val="0"/>
                    <w:adjustRightInd/>
                    <w:snapToGrid/>
                    <w:ind w:left="0" w:leftChars="0" w:right="0" w:rightChars="0"/>
                    <w:textAlignment w:val="auto"/>
                    <w:rPr>
                      <w:rFonts w:hint="default" w:ascii="Times New Roman" w:hAnsi="Times New Roman"/>
                      <w:bCs/>
                      <w:kern w:val="0"/>
                      <w:szCs w:val="21"/>
                    </w:rPr>
                  </w:pPr>
                  <w:r>
                    <w:rPr>
                      <w:rFonts w:hAnsi="宋体" w:cs="Times New Roman"/>
                      <w:lang w:val="en-US"/>
                    </w:rPr>
                    <w:t>116.99824177</w:t>
                  </w:r>
                </w:p>
              </w:tc>
              <w:tc>
                <w:tcPr>
                  <w:tcW w:w="985" w:type="pct"/>
                  <w:vAlign w:val="center"/>
                </w:tcPr>
                <w:p w14:paraId="3721534E">
                  <w:pPr>
                    <w:pStyle w:val="83"/>
                    <w:keepNext w:val="0"/>
                    <w:keepLines w:val="0"/>
                    <w:pageBreakBefore w:val="0"/>
                    <w:widowControl/>
                    <w:kinsoku/>
                    <w:wordWrap/>
                    <w:overflowPunct/>
                    <w:topLinePunct w:val="0"/>
                    <w:autoSpaceDE/>
                    <w:autoSpaceDN/>
                    <w:bidi w:val="0"/>
                    <w:adjustRightInd/>
                    <w:snapToGrid/>
                    <w:ind w:left="0" w:leftChars="0" w:right="0" w:rightChars="0"/>
                    <w:textAlignment w:val="auto"/>
                    <w:rPr>
                      <w:rFonts w:hint="default" w:ascii="Times New Roman" w:hAnsi="Times New Roman"/>
                      <w:bCs/>
                      <w:kern w:val="0"/>
                      <w:szCs w:val="21"/>
                    </w:rPr>
                  </w:pPr>
                  <w:r>
                    <w:rPr>
                      <w:rFonts w:hAnsi="宋体" w:cs="Times New Roman"/>
                      <w:lang w:val="en-US"/>
                    </w:rPr>
                    <w:t>32.55405165</w:t>
                  </w:r>
                </w:p>
              </w:tc>
              <w:tc>
                <w:tcPr>
                  <w:tcW w:w="628" w:type="pct"/>
                  <w:vAlign w:val="center"/>
                </w:tcPr>
                <w:p w14:paraId="2249969A">
                  <w:pPr>
                    <w:pStyle w:val="83"/>
                    <w:keepNext w:val="0"/>
                    <w:keepLines w:val="0"/>
                    <w:pageBreakBefore w:val="0"/>
                    <w:widowControl/>
                    <w:kinsoku/>
                    <w:wordWrap/>
                    <w:overflowPunct/>
                    <w:topLinePunct w:val="0"/>
                    <w:autoSpaceDE/>
                    <w:autoSpaceDN/>
                    <w:bidi w:val="0"/>
                    <w:adjustRightInd/>
                    <w:snapToGrid/>
                    <w:ind w:left="0" w:leftChars="0" w:right="0" w:rightChars="0"/>
                    <w:textAlignment w:val="auto"/>
                    <w:rPr>
                      <w:rFonts w:hint="default" w:ascii="Times New Roman" w:hAnsi="Times New Roman"/>
                      <w:bCs/>
                      <w:kern w:val="0"/>
                      <w:szCs w:val="21"/>
                    </w:rPr>
                  </w:pPr>
                  <w:r>
                    <w:rPr>
                      <w:spacing w:val="-1"/>
                      <w:position w:val="1"/>
                      <w:lang w:val="en-US"/>
                    </w:rPr>
                    <w:t>TSP</w:t>
                  </w:r>
                </w:p>
              </w:tc>
              <w:tc>
                <w:tcPr>
                  <w:tcW w:w="818" w:type="pct"/>
                  <w:shd w:val="clear" w:color="auto" w:fill="auto"/>
                  <w:vAlign w:val="center"/>
                </w:tcPr>
                <w:p w14:paraId="5DDFD9B9">
                  <w:pPr>
                    <w:pStyle w:val="83"/>
                    <w:keepNext w:val="0"/>
                    <w:keepLines w:val="0"/>
                    <w:pageBreakBefore w:val="0"/>
                    <w:widowControl/>
                    <w:kinsoku/>
                    <w:wordWrap/>
                    <w:overflowPunct/>
                    <w:topLinePunct w:val="0"/>
                    <w:autoSpaceDE/>
                    <w:autoSpaceDN/>
                    <w:bidi w:val="0"/>
                    <w:adjustRightInd/>
                    <w:snapToGrid/>
                    <w:ind w:left="0" w:leftChars="0" w:right="0" w:rightChars="0"/>
                    <w:textAlignment w:val="auto"/>
                    <w:rPr>
                      <w:rFonts w:hint="default" w:ascii="Times New Roman" w:hAnsi="Times New Roman" w:eastAsia="宋体" w:cs="宋体"/>
                      <w:bCs/>
                      <w:kern w:val="0"/>
                      <w:sz w:val="21"/>
                      <w:szCs w:val="21"/>
                      <w:lang w:val="en-US" w:eastAsia="zh-CN" w:bidi="ar"/>
                    </w:rPr>
                  </w:pPr>
                  <w:r>
                    <w:rPr>
                      <w:spacing w:val="-1"/>
                      <w:position w:val="1"/>
                      <w:lang w:val="en-US"/>
                    </w:rPr>
                    <w:t>0.16~0.182</w:t>
                  </w:r>
                </w:p>
              </w:tc>
              <w:tc>
                <w:tcPr>
                  <w:tcW w:w="665" w:type="pct"/>
                  <w:vAlign w:val="center"/>
                </w:tcPr>
                <w:p w14:paraId="3BBD960C">
                  <w:pPr>
                    <w:pStyle w:val="83"/>
                    <w:keepNext w:val="0"/>
                    <w:keepLines w:val="0"/>
                    <w:pageBreakBefore w:val="0"/>
                    <w:widowControl/>
                    <w:kinsoku/>
                    <w:wordWrap/>
                    <w:overflowPunct/>
                    <w:topLinePunct w:val="0"/>
                    <w:autoSpaceDE/>
                    <w:autoSpaceDN/>
                    <w:bidi w:val="0"/>
                    <w:adjustRightInd/>
                    <w:snapToGrid/>
                    <w:ind w:left="0" w:leftChars="0" w:right="0" w:rightChars="0"/>
                    <w:textAlignment w:val="auto"/>
                    <w:rPr>
                      <w:rFonts w:hint="eastAsia" w:ascii="Times New Roman" w:hAnsi="Times New Roman" w:eastAsia="宋体"/>
                      <w:bCs/>
                      <w:kern w:val="0"/>
                      <w:szCs w:val="21"/>
                      <w:lang w:val="en-US" w:eastAsia="zh-CN"/>
                    </w:rPr>
                  </w:pPr>
                  <w:r>
                    <w:rPr>
                      <w:rFonts w:hint="eastAsia"/>
                      <w:bCs/>
                      <w:kern w:val="0"/>
                      <w:szCs w:val="21"/>
                      <w:lang w:val="en-US" w:eastAsia="zh-CN"/>
                    </w:rPr>
                    <w:t>0</w:t>
                  </w:r>
                </w:p>
              </w:tc>
              <w:tc>
                <w:tcPr>
                  <w:tcW w:w="382" w:type="pct"/>
                  <w:vAlign w:val="center"/>
                </w:tcPr>
                <w:p w14:paraId="70EEB6EF">
                  <w:pPr>
                    <w:pStyle w:val="83"/>
                    <w:keepNext w:val="0"/>
                    <w:keepLines w:val="0"/>
                    <w:pageBreakBefore w:val="0"/>
                    <w:widowControl/>
                    <w:kinsoku/>
                    <w:wordWrap/>
                    <w:overflowPunct/>
                    <w:topLinePunct w:val="0"/>
                    <w:autoSpaceDE/>
                    <w:autoSpaceDN/>
                    <w:bidi w:val="0"/>
                    <w:adjustRightInd/>
                    <w:snapToGrid/>
                    <w:ind w:left="0" w:leftChars="0" w:right="0" w:rightChars="0"/>
                    <w:textAlignment w:val="auto"/>
                    <w:rPr>
                      <w:rFonts w:hint="eastAsia" w:ascii="Times New Roman" w:hAnsi="Times New Roman" w:eastAsia="宋体"/>
                      <w:bCs/>
                      <w:kern w:val="0"/>
                      <w:szCs w:val="21"/>
                      <w:lang w:val="en-US" w:eastAsia="zh-CN"/>
                    </w:rPr>
                  </w:pPr>
                  <w:r>
                    <w:rPr>
                      <w:rFonts w:hint="eastAsia"/>
                      <w:bCs/>
                      <w:kern w:val="0"/>
                      <w:szCs w:val="21"/>
                      <w:lang w:val="en-US" w:eastAsia="zh-CN"/>
                    </w:rPr>
                    <w:t>达标</w:t>
                  </w:r>
                </w:p>
              </w:tc>
            </w:tr>
          </w:tbl>
          <w:p w14:paraId="43D8A627">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宋体" w:cs="Times New Roman"/>
                <w:kern w:val="0"/>
                <w:sz w:val="24"/>
                <w:szCs w:val="24"/>
                <w:lang w:val="en-US"/>
              </w:rPr>
            </w:pPr>
            <w:r>
              <w:rPr>
                <w:rFonts w:hint="eastAsia" w:ascii="Times New Roman" w:hAnsi="宋体" w:eastAsia="宋体" w:cs="宋体"/>
                <w:kern w:val="0"/>
                <w:sz w:val="24"/>
                <w:szCs w:val="24"/>
                <w:lang w:val="en-US" w:eastAsia="zh-CN" w:bidi="ar"/>
              </w:rPr>
              <w:t>根据监测数据表明，项目所在地特征污染物</w:t>
            </w:r>
            <w:r>
              <w:rPr>
                <w:rFonts w:hint="default" w:ascii="Times New Roman" w:hAnsi="宋体" w:eastAsia="宋体" w:cs="Times New Roman"/>
                <w:kern w:val="0"/>
                <w:sz w:val="24"/>
                <w:szCs w:val="24"/>
                <w:lang w:val="en-US" w:eastAsia="zh-CN" w:bidi="ar"/>
              </w:rPr>
              <w:t>TSP</w:t>
            </w:r>
            <w:r>
              <w:rPr>
                <w:rFonts w:hint="eastAsia" w:ascii="Times New Roman" w:hAnsi="宋体" w:eastAsia="宋体" w:cs="宋体"/>
                <w:kern w:val="0"/>
                <w:sz w:val="24"/>
                <w:szCs w:val="24"/>
                <w:lang w:val="en-US" w:eastAsia="zh-CN" w:bidi="ar"/>
              </w:rPr>
              <w:t>环境空气质量满足</w:t>
            </w:r>
            <w:r>
              <w:rPr>
                <w:rFonts w:hint="default" w:ascii="Times New Roman" w:hAnsi="Times New Roman" w:eastAsia="宋体" w:cs="Times New Roman"/>
                <w:kern w:val="0"/>
                <w:sz w:val="24"/>
                <w:szCs w:val="24"/>
              </w:rPr>
              <w:t>《环境空气质量标准》</w:t>
            </w:r>
            <w:r>
              <w:rPr>
                <w:rFonts w:hint="eastAsia" w:ascii="Times New Roman" w:hAnsi="Times New Roman" w:eastAsia="宋体" w:cs="Times New Roman"/>
                <w:kern w:val="0"/>
                <w:sz w:val="24"/>
                <w:szCs w:val="24"/>
              </w:rPr>
              <w:t>（</w:t>
            </w:r>
            <w:r>
              <w:rPr>
                <w:rFonts w:hint="default" w:ascii="Times New Roman" w:hAnsi="Times New Roman" w:eastAsia="宋体" w:cs="Times New Roman"/>
                <w:kern w:val="0"/>
                <w:sz w:val="24"/>
                <w:szCs w:val="24"/>
              </w:rPr>
              <w:t>GB3095-20</w:t>
            </w:r>
            <w:r>
              <w:rPr>
                <w:rFonts w:hint="eastAsia" w:ascii="Times New Roman" w:hAnsi="Times New Roman" w:eastAsia="宋体" w:cs="Times New Roman"/>
                <w:kern w:val="0"/>
                <w:sz w:val="24"/>
                <w:szCs w:val="24"/>
                <w:lang w:val="en-US" w:eastAsia="zh-CN"/>
              </w:rPr>
              <w:t>26</w:t>
            </w:r>
            <w:r>
              <w:rPr>
                <w:rFonts w:hint="eastAsia" w:ascii="Times New Roman" w:hAnsi="Times New Roman" w:eastAsia="宋体" w:cs="Times New Roman"/>
                <w:kern w:val="0"/>
                <w:sz w:val="24"/>
                <w:szCs w:val="24"/>
              </w:rPr>
              <w:t>）</w:t>
            </w:r>
            <w:r>
              <w:rPr>
                <w:rFonts w:hint="default" w:ascii="Times New Roman" w:hAnsi="Times New Roman" w:eastAsia="宋体" w:cs="Times New Roman"/>
                <w:kern w:val="0"/>
                <w:sz w:val="24"/>
                <w:szCs w:val="24"/>
              </w:rPr>
              <w:t>中的</w:t>
            </w:r>
            <w:r>
              <w:rPr>
                <w:rFonts w:hint="eastAsia" w:ascii="Times New Roman" w:hAnsi="Times New Roman" w:eastAsia="宋体" w:cs="Times New Roman"/>
                <w:kern w:val="0"/>
                <w:sz w:val="24"/>
                <w:szCs w:val="24"/>
                <w:lang w:val="en-US" w:eastAsia="zh-CN"/>
              </w:rPr>
              <w:t>过渡阶段</w:t>
            </w:r>
            <w:r>
              <w:rPr>
                <w:rFonts w:hint="default" w:ascii="Times New Roman" w:hAnsi="Times New Roman" w:eastAsia="宋体" w:cs="Times New Roman"/>
                <w:kern w:val="0"/>
                <w:sz w:val="24"/>
                <w:szCs w:val="24"/>
              </w:rPr>
              <w:t>二级</w:t>
            </w:r>
            <w:r>
              <w:rPr>
                <w:rFonts w:hint="eastAsia" w:ascii="Times New Roman" w:hAnsi="Times New Roman" w:eastAsia="宋体" w:cs="Times New Roman"/>
                <w:kern w:val="0"/>
                <w:sz w:val="24"/>
                <w:szCs w:val="24"/>
                <w:lang w:val="en-US" w:eastAsia="zh-CN"/>
              </w:rPr>
              <w:t>浓度限值要求</w:t>
            </w:r>
            <w:r>
              <w:rPr>
                <w:rFonts w:hint="eastAsia" w:ascii="Times New Roman" w:hAnsi="宋体" w:eastAsia="宋体" w:cs="宋体"/>
                <w:kern w:val="0"/>
                <w:sz w:val="24"/>
                <w:szCs w:val="24"/>
                <w:lang w:val="en-US" w:eastAsia="zh-CN" w:bidi="ar"/>
              </w:rPr>
              <w:t>。</w:t>
            </w:r>
          </w:p>
          <w:p w14:paraId="53A964A2">
            <w:pPr>
              <w:keepNext w:val="0"/>
              <w:keepLines w:val="0"/>
              <w:widowControl w:val="0"/>
              <w:suppressLineNumbers w:val="0"/>
              <w:spacing w:before="0" w:beforeAutospacing="0" w:after="0" w:afterAutospacing="0" w:line="360" w:lineRule="auto"/>
              <w:ind w:left="0" w:right="0" w:firstLine="480" w:firstLineChars="200"/>
              <w:jc w:val="both"/>
              <w:textAlignment w:val="baseline"/>
              <w:rPr>
                <w:rFonts w:hint="default" w:ascii="Times New Roman" w:hAnsi="宋体" w:cs="Times New Roman"/>
                <w:kern w:val="0"/>
                <w:sz w:val="24"/>
                <w:szCs w:val="24"/>
                <w:vertAlign w:val="baseline"/>
                <w:lang w:val="en-US"/>
              </w:rPr>
            </w:pPr>
            <w:r>
              <w:rPr>
                <w:rFonts w:hint="eastAsia" w:ascii="Times New Roman" w:hAnsi="宋体" w:eastAsia="宋体" w:cs="宋体"/>
                <w:kern w:val="0"/>
                <w:sz w:val="24"/>
                <w:szCs w:val="24"/>
                <w:vertAlign w:val="baseline"/>
                <w:lang w:val="en-US" w:eastAsia="zh-CN" w:bidi="ar"/>
              </w:rPr>
              <w:t>综上所述，区域空气环境现状监测值均符合评价标准值，空气环境现状质量较好。</w:t>
            </w:r>
          </w:p>
          <w:p w14:paraId="4E4EB103">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2、地表水环境质量现状</w:t>
            </w:r>
          </w:p>
          <w:p w14:paraId="51795034">
            <w:pPr>
              <w:keepNext w:val="0"/>
              <w:keepLines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cs="Times New Roman"/>
                <w:sz w:val="24"/>
              </w:rPr>
            </w:pPr>
            <w:r>
              <w:rPr>
                <w:rFonts w:hint="default" w:ascii="Times New Roman" w:hAnsi="Times New Roman" w:cs="Times New Roman"/>
                <w:sz w:val="24"/>
              </w:rPr>
              <w:t>与本项目有关的地表水体为</w:t>
            </w:r>
            <w:r>
              <w:rPr>
                <w:rFonts w:hint="default" w:ascii="Times New Roman" w:hAnsi="Times New Roman" w:cs="Times New Roman"/>
                <w:sz w:val="24"/>
                <w:lang w:val="en-US" w:eastAsia="zh-CN"/>
              </w:rPr>
              <w:t>高塘湖</w:t>
            </w:r>
            <w:r>
              <w:rPr>
                <w:rFonts w:hint="default" w:ascii="Times New Roman" w:hAnsi="Times New Roman" w:cs="Times New Roman"/>
                <w:sz w:val="24"/>
              </w:rPr>
              <w:t>，本次评价引用淮南市生态环境局发布的发布的《2024年淮南市</w:t>
            </w:r>
            <w:r>
              <w:rPr>
                <w:rFonts w:hint="default" w:ascii="Times New Roman" w:hAnsi="Times New Roman" w:cs="Times New Roman"/>
                <w:sz w:val="24"/>
                <w:lang w:val="en-US" w:eastAsia="zh-CN"/>
              </w:rPr>
              <w:t>生态</w:t>
            </w:r>
            <w:r>
              <w:rPr>
                <w:rFonts w:hint="default" w:ascii="Times New Roman" w:hAnsi="Times New Roman" w:cs="Times New Roman"/>
                <w:sz w:val="24"/>
              </w:rPr>
              <w:t>环境质量状况公报》里的结论。</w:t>
            </w:r>
          </w:p>
          <w:p w14:paraId="271129A9">
            <w:pPr>
              <w:keepNext w:val="0"/>
              <w:keepLines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cs="Times New Roman"/>
                <w:sz w:val="24"/>
              </w:rPr>
            </w:pPr>
            <w:r>
              <w:rPr>
                <w:rFonts w:hint="default" w:ascii="Times New Roman" w:hAnsi="Times New Roman" w:cs="Times New Roman"/>
                <w:sz w:val="24"/>
              </w:rPr>
              <w:t>2024年，全市地表水24个监测断面中优良水质比例为91.7%，比上年下降了4.1个百分点，Ⅳ类水质比例8.3%，总体水质状况优。</w:t>
            </w:r>
          </w:p>
          <w:p w14:paraId="04819ED1">
            <w:pPr>
              <w:keepNext w:val="0"/>
              <w:keepLines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cs="Times New Roman"/>
                <w:sz w:val="24"/>
              </w:rPr>
            </w:pPr>
            <w:r>
              <w:rPr>
                <w:rFonts w:hint="default" w:ascii="Times New Roman" w:hAnsi="Times New Roman" w:cs="Times New Roman"/>
                <w:sz w:val="24"/>
              </w:rPr>
              <w:t>8个国控断面中优良水质比例为87.5%，Ⅳ类水质比例12.5%，水质总体状况良好；11个省控断面中优良水质比例为90.9%，水质总体状况优。</w:t>
            </w:r>
          </w:p>
          <w:p w14:paraId="347121CB">
            <w:pPr>
              <w:keepNext w:val="0"/>
              <w:keepLines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cs="Times New Roman"/>
                <w:sz w:val="24"/>
              </w:rPr>
            </w:pPr>
            <w:r>
              <w:rPr>
                <w:rFonts w:hint="default" w:ascii="Times New Roman" w:hAnsi="Times New Roman" w:cs="Times New Roman"/>
                <w:sz w:val="24"/>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w:t>
            </w:r>
          </w:p>
          <w:p w14:paraId="4534926E">
            <w:pPr>
              <w:keepNext w:val="0"/>
              <w:keepLines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cs="Times New Roman"/>
                <w:sz w:val="24"/>
              </w:rPr>
            </w:pPr>
            <w:r>
              <w:rPr>
                <w:rFonts w:hint="default" w:ascii="Times New Roman" w:hAnsi="Times New Roman" w:cs="Times New Roman"/>
                <w:sz w:val="24"/>
              </w:rPr>
              <w:t>湖库：瓦埠湖和焦岗湖点位水质年均值符合Ⅲ类标准，水质状况为良好；高塘湖和安丰塘点位水质年均值符合Ⅳ类标准，水质轻度污染，主要污染指标为总磷。安丰塘营养状态为中营养，焦岗湖、高塘湖和瓦埠湖营养状态均为轻度富营养。与上年相比，安丰塘点位水质类别由Ⅲ类下降为Ⅳ类，瓦埠湖、高塘湖和焦岗湖点位水质类别保持稳定。</w:t>
            </w:r>
          </w:p>
          <w:p w14:paraId="02BD5557">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cs="Times New Roman"/>
                <w:sz w:val="24"/>
              </w:rPr>
            </w:pPr>
            <w:r>
              <w:rPr>
                <w:rFonts w:hint="eastAsia" w:ascii="Times New Roman" w:hAnsi="Times New Roman" w:cs="Times New Roman"/>
                <w:sz w:val="24"/>
              </w:rPr>
              <w:t>综上，</w:t>
            </w:r>
            <w:r>
              <w:rPr>
                <w:rFonts w:hint="default" w:ascii="Times New Roman" w:hAnsi="Times New Roman" w:eastAsia="宋体" w:cs="Times New Roman"/>
                <w:sz w:val="24"/>
                <w:szCs w:val="24"/>
              </w:rPr>
              <w:t>项目所在区域地表水</w:t>
            </w:r>
            <w:r>
              <w:rPr>
                <w:rFonts w:hint="eastAsia" w:ascii="Times New Roman" w:hAnsi="Times New Roman" w:eastAsia="宋体" w:cs="Times New Roman"/>
                <w:sz w:val="24"/>
                <w:szCs w:val="24"/>
                <w:lang w:val="en-US" w:eastAsia="zh-CN"/>
              </w:rPr>
              <w:t>高塘湖</w:t>
            </w:r>
            <w:r>
              <w:rPr>
                <w:rFonts w:hint="default" w:ascii="Times New Roman" w:hAnsi="Times New Roman" w:eastAsia="宋体" w:cs="Times New Roman"/>
                <w:sz w:val="24"/>
                <w:szCs w:val="24"/>
              </w:rPr>
              <w:t>环境质量满足《地表水环境质量标准》（GB3838-2002）</w:t>
            </w:r>
            <w:r>
              <w:rPr>
                <w:rFonts w:hint="default" w:ascii="Times New Roman" w:hAnsi="Times New Roman" w:cs="Times New Roman"/>
                <w:sz w:val="24"/>
              </w:rPr>
              <w:t>Ⅳ</w:t>
            </w:r>
            <w:r>
              <w:rPr>
                <w:rFonts w:hint="default" w:ascii="Times New Roman" w:hAnsi="Times New Roman" w:eastAsia="宋体" w:cs="Times New Roman"/>
                <w:sz w:val="24"/>
                <w:szCs w:val="24"/>
              </w:rPr>
              <w:t>类标准，地表水水质良好。</w:t>
            </w:r>
          </w:p>
          <w:p w14:paraId="29C48390">
            <w:pPr>
              <w:keepNext w:val="0"/>
              <w:keepLines w:val="0"/>
              <w:suppressLineNumbers w:val="0"/>
              <w:autoSpaceDE w:val="0"/>
              <w:autoSpaceDN w:val="0"/>
              <w:spacing w:before="0" w:beforeAutospacing="0" w:after="0" w:afterAutospacing="0" w:line="360" w:lineRule="auto"/>
              <w:ind w:left="0" w:right="0" w:firstLine="482" w:firstLineChars="200"/>
              <w:jc w:val="lef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3、声环境质量现状</w:t>
            </w:r>
          </w:p>
          <w:p w14:paraId="3F34E8DA">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本项目位于</w:t>
            </w:r>
            <w:r>
              <w:rPr>
                <w:rFonts w:hint="default" w:ascii="Times New Roman" w:hAnsi="Times New Roman" w:cs="Times New Roman"/>
                <w:bCs/>
                <w:sz w:val="24"/>
              </w:rPr>
              <w:t>淮南高新技术产业开发区科技信息产业园5号楼</w:t>
            </w:r>
            <w:r>
              <w:rPr>
                <w:rFonts w:hint="eastAsia" w:ascii="Times New Roman" w:hAnsi="Times New Roman" w:cs="Times New Roman"/>
                <w:sz w:val="24"/>
              </w:rPr>
              <w:t>，厂界周边50m范围内无声环境保护目标，因此不进行声环境现状监测。</w:t>
            </w:r>
          </w:p>
          <w:p w14:paraId="4CACD3A0">
            <w:pPr>
              <w:keepNext w:val="0"/>
              <w:keepLines w:val="0"/>
              <w:suppressLineNumbers w:val="0"/>
              <w:autoSpaceDE w:val="0"/>
              <w:autoSpaceDN w:val="0"/>
              <w:spacing w:before="0" w:beforeAutospacing="0" w:after="0" w:afterAutospacing="0" w:line="360" w:lineRule="auto"/>
              <w:ind w:left="0" w:right="0" w:firstLine="482" w:firstLineChars="200"/>
              <w:jc w:val="left"/>
              <w:rPr>
                <w:rFonts w:hint="default" w:ascii="Times New Roman" w:hAnsi="Times New Roman" w:eastAsia="宋体" w:cs="Times New Roman"/>
                <w:bCs/>
                <w:sz w:val="24"/>
              </w:rPr>
            </w:pPr>
            <w:r>
              <w:rPr>
                <w:rFonts w:hint="eastAsia" w:ascii="Times New Roman" w:hAnsi="Times New Roman" w:eastAsia="宋体" w:cs="Times New Roman"/>
                <w:b/>
                <w:sz w:val="24"/>
                <w:szCs w:val="24"/>
              </w:rPr>
              <w:t>4、生态环境质量现状</w:t>
            </w:r>
          </w:p>
          <w:p w14:paraId="3AF4118B">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宋体" w:cs="Times New Roman"/>
                <w:bCs/>
                <w:sz w:val="24"/>
              </w:rPr>
            </w:pPr>
            <w:r>
              <w:rPr>
                <w:rFonts w:hint="eastAsia" w:ascii="Times New Roman" w:hAnsi="Times New Roman" w:eastAsia="宋体" w:cs="Times New Roman"/>
                <w:bCs/>
                <w:kern w:val="0"/>
                <w:sz w:val="24"/>
                <w:szCs w:val="24"/>
              </w:rPr>
              <w:t>本项目位于</w:t>
            </w:r>
            <w:r>
              <w:rPr>
                <w:rFonts w:hint="default" w:ascii="Times New Roman" w:hAnsi="Times New Roman" w:cs="Times New Roman"/>
                <w:bCs/>
                <w:sz w:val="24"/>
              </w:rPr>
              <w:t>淮南高新技术产业开发区科技信息产业园5号楼</w:t>
            </w:r>
            <w:r>
              <w:rPr>
                <w:rFonts w:hint="eastAsia" w:ascii="Times New Roman" w:hAnsi="Times New Roman" w:eastAsia="宋体" w:cs="Times New Roman"/>
                <w:bCs/>
                <w:sz w:val="24"/>
              </w:rPr>
              <w:t>，</w:t>
            </w:r>
            <w:r>
              <w:rPr>
                <w:rFonts w:hint="default" w:ascii="Times New Roman" w:hAnsi="Times New Roman" w:eastAsia="宋体" w:cs="Times New Roman"/>
                <w:bCs/>
                <w:sz w:val="24"/>
              </w:rPr>
              <w:t>不新增用地</w:t>
            </w:r>
            <w:r>
              <w:rPr>
                <w:rFonts w:hint="eastAsia" w:ascii="Times New Roman" w:hAnsi="Times New Roman" w:eastAsia="宋体" w:cs="Times New Roman"/>
                <w:bCs/>
                <w:sz w:val="24"/>
              </w:rPr>
              <w:t>，</w:t>
            </w:r>
            <w:r>
              <w:rPr>
                <w:rFonts w:hint="default" w:ascii="Times New Roman" w:hAnsi="Times New Roman" w:eastAsia="宋体" w:cs="Times New Roman"/>
                <w:bCs/>
                <w:sz w:val="24"/>
              </w:rPr>
              <w:t>无需进行生态现状调查</w:t>
            </w:r>
            <w:r>
              <w:rPr>
                <w:rFonts w:hint="eastAsia" w:ascii="Times New Roman" w:hAnsi="Times New Roman" w:eastAsia="宋体" w:cs="Times New Roman"/>
                <w:bCs/>
                <w:sz w:val="24"/>
              </w:rPr>
              <w:t>。</w:t>
            </w:r>
          </w:p>
          <w:p w14:paraId="415400A1">
            <w:pPr>
              <w:keepNext w:val="0"/>
              <w:keepLines w:val="0"/>
              <w:suppressLineNumbers w:val="0"/>
              <w:autoSpaceDE w:val="0"/>
              <w:autoSpaceDN w:val="0"/>
              <w:spacing w:before="0" w:beforeAutospacing="0" w:after="0" w:afterAutospacing="0" w:line="360" w:lineRule="auto"/>
              <w:ind w:left="0" w:right="0" w:firstLine="482" w:firstLineChars="200"/>
              <w:jc w:val="left"/>
              <w:rPr>
                <w:rFonts w:hint="default" w:ascii="Times New Roman" w:hAnsi="Times New Roman" w:eastAsia="宋体" w:cs="Times New Roman"/>
                <w:b/>
                <w:bCs/>
                <w:sz w:val="24"/>
              </w:rPr>
            </w:pPr>
            <w:r>
              <w:rPr>
                <w:rFonts w:hint="eastAsia" w:ascii="Times New Roman" w:hAnsi="Times New Roman" w:eastAsia="宋体" w:cs="Times New Roman"/>
                <w:b/>
                <w:bCs/>
                <w:sz w:val="24"/>
              </w:rPr>
              <w:t>5、地下水、土壤环境质量现状</w:t>
            </w:r>
          </w:p>
          <w:p w14:paraId="6800F54E">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sz w:val="24"/>
              </w:rPr>
            </w:pPr>
            <w:r>
              <w:rPr>
                <w:rFonts w:hint="eastAsia" w:ascii="Times New Roman" w:hAnsi="Times New Roman" w:cs="Times New Roman"/>
                <w:sz w:val="24"/>
              </w:rPr>
              <w:t>根据《建设项目环境影响报告表编制技术指南（污染影响类）（试行）》，原则上对地下水和土壤不开展环境质量现状调查，本项目位于</w:t>
            </w:r>
            <w:r>
              <w:rPr>
                <w:rFonts w:hint="default" w:ascii="Times New Roman" w:hAnsi="Times New Roman" w:cs="Times New Roman"/>
                <w:bCs/>
                <w:sz w:val="24"/>
              </w:rPr>
              <w:t>淮南高新技术产业开发区科技信息产业园5号楼</w:t>
            </w:r>
            <w:r>
              <w:rPr>
                <w:rFonts w:hint="eastAsia" w:ascii="Times New Roman" w:hAnsi="Times New Roman" w:cs="Times New Roman"/>
                <w:sz w:val="24"/>
              </w:rPr>
              <w:t>，经现场勘查，租赁厂房地面已做硬化处理。本项目实施后，在现有硬化地面基础上进行进一步分区防渗，</w:t>
            </w:r>
            <w:r>
              <w:rPr>
                <w:rFonts w:hint="default" w:ascii="Times New Roman" w:hAnsi="Times New Roman" w:cs="Times New Roman"/>
                <w:sz w:val="24"/>
              </w:rPr>
              <w:t>重点防渗区增加2mm厚高密度聚乙烯，或至少2mm厚的其他人工材料采取全面防腐、防渗处理</w:t>
            </w:r>
            <w:r>
              <w:rPr>
                <w:rFonts w:hint="eastAsia" w:ascii="Times New Roman" w:hAnsi="Times New Roman" w:cs="Times New Roman"/>
                <w:sz w:val="24"/>
              </w:rPr>
              <w:t>，</w:t>
            </w:r>
            <w:r>
              <w:rPr>
                <w:rFonts w:hint="default" w:ascii="Times New Roman" w:hAnsi="Times New Roman" w:cs="Times New Roman"/>
                <w:sz w:val="24"/>
              </w:rPr>
              <w:t>一般防渗区采用防渗水泥进行硬化方式处理</w:t>
            </w:r>
            <w:r>
              <w:rPr>
                <w:rFonts w:hint="eastAsia" w:ascii="Times New Roman" w:hAnsi="Times New Roman" w:cs="Times New Roman"/>
                <w:sz w:val="24"/>
              </w:rPr>
              <w:t>，</w:t>
            </w:r>
            <w:r>
              <w:rPr>
                <w:rFonts w:hint="default" w:ascii="Times New Roman" w:hAnsi="Times New Roman" w:cs="Times New Roman"/>
                <w:sz w:val="24"/>
              </w:rPr>
              <w:t>基本上不存在地下水和土壤污染途径。</w:t>
            </w:r>
            <w:r>
              <w:rPr>
                <w:rFonts w:hint="eastAsia" w:ascii="Times New Roman" w:hAnsi="Times New Roman" w:cs="Times New Roman"/>
                <w:sz w:val="24"/>
              </w:rPr>
              <w:t>因此，本次无需开展地下水和土壤环境现状监测。</w:t>
            </w:r>
          </w:p>
          <w:p w14:paraId="267F9DE9">
            <w:pPr>
              <w:keepNext w:val="0"/>
              <w:keepLines w:val="0"/>
              <w:suppressLineNumbers w:val="0"/>
              <w:spacing w:before="0" w:beforeAutospacing="0" w:after="0" w:afterAutospacing="0"/>
              <w:ind w:left="0" w:right="0"/>
              <w:rPr>
                <w:rFonts w:hint="default"/>
              </w:rPr>
            </w:pPr>
          </w:p>
          <w:p w14:paraId="35B58717">
            <w:pPr>
              <w:keepNext w:val="0"/>
              <w:keepLines w:val="0"/>
              <w:suppressLineNumbers w:val="0"/>
              <w:spacing w:before="0" w:beforeAutospacing="0" w:after="0" w:afterAutospacing="0"/>
              <w:ind w:left="0" w:right="0"/>
              <w:rPr>
                <w:rFonts w:hint="default"/>
              </w:rPr>
            </w:pPr>
          </w:p>
          <w:p w14:paraId="77B0EA7A">
            <w:pPr>
              <w:keepNext w:val="0"/>
              <w:keepLines w:val="0"/>
              <w:suppressLineNumbers w:val="0"/>
              <w:spacing w:before="0" w:beforeAutospacing="0" w:after="0" w:afterAutospacing="0"/>
              <w:ind w:left="0" w:right="0"/>
              <w:rPr>
                <w:rFonts w:hint="default"/>
              </w:rPr>
            </w:pPr>
          </w:p>
          <w:p w14:paraId="076C6ABE">
            <w:pPr>
              <w:keepNext w:val="0"/>
              <w:keepLines w:val="0"/>
              <w:suppressLineNumbers w:val="0"/>
              <w:spacing w:before="0" w:beforeAutospacing="0" w:after="0" w:afterAutospacing="0"/>
              <w:ind w:left="0" w:right="0"/>
              <w:rPr>
                <w:rFonts w:hint="default"/>
              </w:rPr>
            </w:pPr>
          </w:p>
          <w:p w14:paraId="7D279111">
            <w:pPr>
              <w:keepNext w:val="0"/>
              <w:keepLines w:val="0"/>
              <w:suppressLineNumbers w:val="0"/>
              <w:spacing w:before="0" w:beforeAutospacing="0" w:after="0" w:afterAutospacing="0"/>
              <w:ind w:left="0" w:right="0"/>
              <w:rPr>
                <w:rFonts w:hint="default"/>
              </w:rPr>
            </w:pPr>
          </w:p>
          <w:p w14:paraId="648DBB4E">
            <w:pPr>
              <w:keepNext w:val="0"/>
              <w:keepLines w:val="0"/>
              <w:suppressLineNumbers w:val="0"/>
              <w:spacing w:before="0" w:beforeAutospacing="0" w:after="0" w:afterAutospacing="0"/>
              <w:ind w:left="0" w:right="0"/>
              <w:rPr>
                <w:rFonts w:hint="default"/>
              </w:rPr>
            </w:pPr>
          </w:p>
          <w:p w14:paraId="1548F530">
            <w:pPr>
              <w:keepNext w:val="0"/>
              <w:keepLines w:val="0"/>
              <w:suppressLineNumbers w:val="0"/>
              <w:spacing w:before="0" w:beforeAutospacing="0" w:after="0" w:afterAutospacing="0"/>
              <w:ind w:left="0" w:right="0"/>
              <w:rPr>
                <w:rFonts w:hint="default"/>
              </w:rPr>
            </w:pPr>
          </w:p>
          <w:p w14:paraId="610DF11B">
            <w:pPr>
              <w:keepNext w:val="0"/>
              <w:keepLines w:val="0"/>
              <w:suppressLineNumbers w:val="0"/>
              <w:spacing w:before="0" w:beforeAutospacing="0" w:after="0" w:afterAutospacing="0"/>
              <w:ind w:left="0" w:right="0"/>
              <w:rPr>
                <w:rFonts w:hint="default"/>
              </w:rPr>
            </w:pPr>
          </w:p>
          <w:p w14:paraId="6B51D1EA">
            <w:pPr>
              <w:keepNext w:val="0"/>
              <w:keepLines w:val="0"/>
              <w:suppressLineNumbers w:val="0"/>
              <w:spacing w:before="0" w:beforeAutospacing="0" w:after="0" w:afterAutospacing="0"/>
              <w:ind w:left="0" w:right="0"/>
              <w:rPr>
                <w:rFonts w:hint="default"/>
              </w:rPr>
            </w:pPr>
          </w:p>
          <w:p w14:paraId="223E5840">
            <w:pPr>
              <w:keepNext w:val="0"/>
              <w:keepLines w:val="0"/>
              <w:suppressLineNumbers w:val="0"/>
              <w:spacing w:before="0" w:beforeAutospacing="0" w:after="0" w:afterAutospacing="0"/>
              <w:ind w:left="0" w:right="0"/>
              <w:rPr>
                <w:rFonts w:hint="default"/>
              </w:rPr>
            </w:pPr>
          </w:p>
          <w:p w14:paraId="26C531BE">
            <w:pPr>
              <w:keepNext w:val="0"/>
              <w:keepLines w:val="0"/>
              <w:suppressLineNumbers w:val="0"/>
              <w:spacing w:before="0" w:beforeAutospacing="0" w:after="0" w:afterAutospacing="0"/>
              <w:ind w:left="0" w:right="0"/>
              <w:rPr>
                <w:rFonts w:hint="default"/>
              </w:rPr>
            </w:pPr>
          </w:p>
          <w:p w14:paraId="1A82C02F">
            <w:pPr>
              <w:keepNext w:val="0"/>
              <w:keepLines w:val="0"/>
              <w:suppressLineNumbers w:val="0"/>
              <w:spacing w:before="0" w:beforeAutospacing="0" w:after="0" w:afterAutospacing="0"/>
              <w:ind w:left="0" w:right="0"/>
              <w:rPr>
                <w:rFonts w:hint="default"/>
              </w:rPr>
            </w:pPr>
          </w:p>
          <w:p w14:paraId="77F8BA67">
            <w:pPr>
              <w:keepNext w:val="0"/>
              <w:keepLines w:val="0"/>
              <w:suppressLineNumbers w:val="0"/>
              <w:spacing w:before="0" w:beforeAutospacing="0" w:after="0" w:afterAutospacing="0"/>
              <w:ind w:left="0" w:right="0"/>
              <w:rPr>
                <w:rFonts w:hint="default"/>
              </w:rPr>
            </w:pPr>
          </w:p>
          <w:p w14:paraId="170BD5EF">
            <w:pPr>
              <w:keepNext w:val="0"/>
              <w:keepLines w:val="0"/>
              <w:suppressLineNumbers w:val="0"/>
              <w:spacing w:before="0" w:beforeAutospacing="0" w:after="0" w:afterAutospacing="0"/>
              <w:ind w:left="0" w:right="0"/>
              <w:rPr>
                <w:rFonts w:hint="default"/>
              </w:rPr>
            </w:pPr>
          </w:p>
          <w:p w14:paraId="531AC36E">
            <w:pPr>
              <w:keepNext w:val="0"/>
              <w:keepLines w:val="0"/>
              <w:suppressLineNumbers w:val="0"/>
              <w:spacing w:before="0" w:beforeAutospacing="0" w:after="0" w:afterAutospacing="0"/>
              <w:ind w:left="0" w:right="0"/>
              <w:rPr>
                <w:rFonts w:hint="default"/>
              </w:rPr>
            </w:pPr>
          </w:p>
          <w:p w14:paraId="2B829C71">
            <w:pPr>
              <w:keepNext w:val="0"/>
              <w:keepLines w:val="0"/>
              <w:suppressLineNumbers w:val="0"/>
              <w:spacing w:before="0" w:beforeAutospacing="0" w:after="0" w:afterAutospacing="0"/>
              <w:ind w:left="0" w:right="0"/>
              <w:rPr>
                <w:rFonts w:hint="default"/>
              </w:rPr>
            </w:pPr>
          </w:p>
          <w:p w14:paraId="06BBB180">
            <w:pPr>
              <w:keepNext w:val="0"/>
              <w:keepLines w:val="0"/>
              <w:suppressLineNumbers w:val="0"/>
              <w:spacing w:before="0" w:beforeAutospacing="0" w:after="0" w:afterAutospacing="0"/>
              <w:ind w:left="0" w:right="0"/>
              <w:rPr>
                <w:rFonts w:hint="default"/>
              </w:rPr>
            </w:pPr>
          </w:p>
          <w:p w14:paraId="4FF9FAEB">
            <w:pPr>
              <w:keepNext w:val="0"/>
              <w:keepLines w:val="0"/>
              <w:suppressLineNumbers w:val="0"/>
              <w:spacing w:before="0" w:beforeAutospacing="0" w:after="0" w:afterAutospacing="0"/>
              <w:ind w:left="0" w:right="0"/>
              <w:rPr>
                <w:rFonts w:hint="default"/>
              </w:rPr>
            </w:pPr>
          </w:p>
          <w:p w14:paraId="36E4D086">
            <w:pPr>
              <w:keepNext w:val="0"/>
              <w:keepLines w:val="0"/>
              <w:suppressLineNumbers w:val="0"/>
              <w:spacing w:before="0" w:beforeAutospacing="0" w:after="0" w:afterAutospacing="0"/>
              <w:ind w:left="0" w:right="0"/>
              <w:rPr>
                <w:rFonts w:hint="default"/>
              </w:rPr>
            </w:pPr>
          </w:p>
          <w:p w14:paraId="44F23A66">
            <w:pPr>
              <w:keepNext w:val="0"/>
              <w:keepLines w:val="0"/>
              <w:suppressLineNumbers w:val="0"/>
              <w:spacing w:before="0" w:beforeAutospacing="0" w:after="0" w:afterAutospacing="0"/>
              <w:ind w:left="0" w:right="0"/>
              <w:rPr>
                <w:rFonts w:hint="default"/>
              </w:rPr>
            </w:pPr>
          </w:p>
          <w:p w14:paraId="6F458BCF">
            <w:pPr>
              <w:keepNext w:val="0"/>
              <w:keepLines w:val="0"/>
              <w:suppressLineNumbers w:val="0"/>
              <w:spacing w:before="0" w:beforeAutospacing="0" w:after="0" w:afterAutospacing="0"/>
              <w:ind w:left="0" w:right="0"/>
              <w:rPr>
                <w:rFonts w:hint="default"/>
              </w:rPr>
            </w:pPr>
          </w:p>
          <w:p w14:paraId="16EFEFA2">
            <w:pPr>
              <w:keepNext w:val="0"/>
              <w:keepLines w:val="0"/>
              <w:suppressLineNumbers w:val="0"/>
              <w:spacing w:before="0" w:beforeAutospacing="0" w:after="0" w:afterAutospacing="0"/>
              <w:ind w:left="0" w:right="0"/>
              <w:rPr>
                <w:rFonts w:hint="default"/>
              </w:rPr>
            </w:pPr>
          </w:p>
          <w:p w14:paraId="6D38E920">
            <w:pPr>
              <w:keepNext w:val="0"/>
              <w:keepLines w:val="0"/>
              <w:suppressLineNumbers w:val="0"/>
              <w:spacing w:before="0" w:beforeAutospacing="0" w:after="0" w:afterAutospacing="0"/>
              <w:ind w:left="0" w:right="0"/>
              <w:rPr>
                <w:rFonts w:hint="default"/>
              </w:rPr>
            </w:pPr>
          </w:p>
          <w:p w14:paraId="30BEBDC8">
            <w:pPr>
              <w:keepNext w:val="0"/>
              <w:keepLines w:val="0"/>
              <w:suppressLineNumbers w:val="0"/>
              <w:spacing w:before="0" w:beforeAutospacing="0" w:after="0" w:afterAutospacing="0"/>
              <w:ind w:left="0" w:right="0"/>
              <w:rPr>
                <w:rFonts w:hint="default"/>
              </w:rPr>
            </w:pPr>
          </w:p>
          <w:p w14:paraId="5B3E88A6">
            <w:pPr>
              <w:keepNext w:val="0"/>
              <w:keepLines w:val="0"/>
              <w:suppressLineNumbers w:val="0"/>
              <w:spacing w:before="0" w:beforeAutospacing="0" w:after="0" w:afterAutospacing="0"/>
              <w:ind w:left="0" w:right="0"/>
              <w:rPr>
                <w:rFonts w:hint="default"/>
              </w:rPr>
            </w:pPr>
          </w:p>
          <w:p w14:paraId="6FCFD1BD">
            <w:pPr>
              <w:keepNext w:val="0"/>
              <w:keepLines w:val="0"/>
              <w:suppressLineNumbers w:val="0"/>
              <w:spacing w:before="0" w:beforeAutospacing="0" w:after="0" w:afterAutospacing="0"/>
              <w:ind w:left="0" w:right="0"/>
              <w:rPr>
                <w:rFonts w:hint="default"/>
              </w:rPr>
            </w:pPr>
          </w:p>
          <w:p w14:paraId="73F70DFD">
            <w:pPr>
              <w:keepNext w:val="0"/>
              <w:keepLines w:val="0"/>
              <w:suppressLineNumbers w:val="0"/>
              <w:spacing w:before="0" w:beforeAutospacing="0" w:after="0" w:afterAutospacing="0"/>
              <w:ind w:left="0" w:right="0"/>
              <w:rPr>
                <w:rFonts w:hint="default"/>
              </w:rPr>
            </w:pPr>
          </w:p>
          <w:p w14:paraId="699B2A81">
            <w:pPr>
              <w:keepNext w:val="0"/>
              <w:keepLines w:val="0"/>
              <w:suppressLineNumbers w:val="0"/>
              <w:spacing w:before="0" w:beforeAutospacing="0" w:after="0" w:afterAutospacing="0"/>
              <w:ind w:left="0" w:right="0"/>
              <w:rPr>
                <w:rFonts w:hint="default"/>
              </w:rPr>
            </w:pPr>
          </w:p>
          <w:p w14:paraId="09D90EBC">
            <w:pPr>
              <w:keepNext w:val="0"/>
              <w:keepLines w:val="0"/>
              <w:suppressLineNumbers w:val="0"/>
              <w:spacing w:before="0" w:beforeAutospacing="0" w:after="0" w:afterAutospacing="0"/>
              <w:ind w:left="0" w:right="0"/>
              <w:rPr>
                <w:rFonts w:hint="default"/>
              </w:rPr>
            </w:pPr>
          </w:p>
          <w:p w14:paraId="54ED7B74">
            <w:pPr>
              <w:keepNext w:val="0"/>
              <w:keepLines w:val="0"/>
              <w:suppressLineNumbers w:val="0"/>
              <w:spacing w:before="0" w:beforeAutospacing="0" w:after="0" w:afterAutospacing="0"/>
              <w:ind w:left="0" w:right="0"/>
              <w:rPr>
                <w:rFonts w:hint="default"/>
              </w:rPr>
            </w:pPr>
          </w:p>
          <w:p w14:paraId="1C07599C">
            <w:pPr>
              <w:keepNext w:val="0"/>
              <w:keepLines w:val="0"/>
              <w:suppressLineNumbers w:val="0"/>
              <w:spacing w:before="0" w:beforeAutospacing="0" w:after="0" w:afterAutospacing="0"/>
              <w:ind w:left="0" w:right="0"/>
              <w:rPr>
                <w:rFonts w:hint="default"/>
              </w:rPr>
            </w:pPr>
          </w:p>
          <w:p w14:paraId="74CAF7BA">
            <w:pPr>
              <w:keepNext w:val="0"/>
              <w:keepLines w:val="0"/>
              <w:suppressLineNumbers w:val="0"/>
              <w:spacing w:before="0" w:beforeAutospacing="0" w:after="0" w:afterAutospacing="0"/>
              <w:ind w:left="0" w:right="0"/>
              <w:rPr>
                <w:rFonts w:hint="default"/>
              </w:rPr>
            </w:pPr>
          </w:p>
          <w:p w14:paraId="47AE9751">
            <w:pPr>
              <w:keepNext w:val="0"/>
              <w:keepLines w:val="0"/>
              <w:suppressLineNumbers w:val="0"/>
              <w:spacing w:before="0" w:beforeAutospacing="0" w:after="0" w:afterAutospacing="0"/>
              <w:ind w:left="0" w:right="0"/>
              <w:rPr>
                <w:rFonts w:hint="default"/>
              </w:rPr>
            </w:pPr>
          </w:p>
        </w:tc>
      </w:tr>
      <w:tr w14:paraId="36428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82" w:hRule="atLeast"/>
          <w:jc w:val="center"/>
        </w:trPr>
        <w:tc>
          <w:tcPr>
            <w:tcW w:w="266" w:type="pct"/>
            <w:vAlign w:val="center"/>
          </w:tcPr>
          <w:p w14:paraId="789EC3E6">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环境</w:t>
            </w:r>
          </w:p>
          <w:p w14:paraId="7E7E6B8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保护</w:t>
            </w:r>
          </w:p>
          <w:p w14:paraId="22E34023">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目标</w:t>
            </w:r>
          </w:p>
        </w:tc>
        <w:tc>
          <w:tcPr>
            <w:tcW w:w="4734" w:type="pct"/>
          </w:tcPr>
          <w:p w14:paraId="3B7619D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项目位于</w:t>
            </w:r>
            <w:r>
              <w:rPr>
                <w:rFonts w:hint="default" w:ascii="Times New Roman" w:hAnsi="Times New Roman" w:cs="Times New Roman"/>
                <w:bCs/>
                <w:sz w:val="24"/>
              </w:rPr>
              <w:t>淮南高新技术产业开发区科技信息产业园5号楼</w:t>
            </w:r>
            <w:r>
              <w:rPr>
                <w:rFonts w:hint="eastAsia" w:ascii="Times New Roman" w:hAnsi="Times New Roman" w:eastAsia="宋体" w:cs="Times New Roman"/>
                <w:sz w:val="24"/>
                <w:szCs w:val="24"/>
              </w:rPr>
              <w:t>。根据建设项目污染特征及区域环境现状，其主要环境保护目标如下。</w:t>
            </w:r>
          </w:p>
          <w:p w14:paraId="71F7A44C">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1、大气环境</w:t>
            </w:r>
          </w:p>
          <w:p w14:paraId="53258F9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项目厂界500m范围内有居住区等环境保护目标，具体信息见下表。</w:t>
            </w:r>
          </w:p>
          <w:p w14:paraId="2A48294F">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2、声环境</w:t>
            </w:r>
          </w:p>
          <w:p w14:paraId="0911978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rPr>
            </w:pPr>
            <w:r>
              <w:rPr>
                <w:rFonts w:hint="eastAsia" w:ascii="Times New Roman" w:hAnsi="Times New Roman" w:eastAsia="宋体" w:cs="Times New Roman"/>
                <w:snapToGrid w:val="0"/>
                <w:sz w:val="24"/>
              </w:rPr>
              <w:t>厂界外周边50m范围内不存在声环境保护目标</w:t>
            </w:r>
            <w:r>
              <w:rPr>
                <w:rFonts w:hint="eastAsia" w:ascii="Times New Roman" w:hAnsi="Times New Roman" w:eastAsia="宋体" w:cs="Times New Roman"/>
                <w:sz w:val="24"/>
                <w:szCs w:val="24"/>
              </w:rPr>
              <w:t>。</w:t>
            </w:r>
          </w:p>
          <w:p w14:paraId="07293123">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3、地下水环境</w:t>
            </w:r>
          </w:p>
          <w:p w14:paraId="362F855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厂界外500米范围内无地下水集中式饮用水水源和热水、矿泉水、温泉等特殊地下水资源，无地下水环境保护目标。</w:t>
            </w:r>
          </w:p>
          <w:p w14:paraId="2FAA88A6">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4、生态环境</w:t>
            </w:r>
          </w:p>
          <w:p w14:paraId="736E93DD">
            <w:pPr>
              <w:keepNext w:val="0"/>
              <w:keepLines w:val="0"/>
              <w:suppressLineNumbers w:val="0"/>
              <w:spacing w:before="2" w:beforeAutospacing="0" w:after="0" w:afterAutospacing="0" w:line="360" w:lineRule="auto"/>
              <w:ind w:left="0" w:right="0" w:firstLine="480" w:firstLineChars="200"/>
              <w:jc w:val="lef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项目利用现有闲置厂房，不新增占地，无生态环境保护目标。</w:t>
            </w:r>
          </w:p>
          <w:p w14:paraId="33EAFC0E">
            <w:pPr>
              <w:keepNext w:val="0"/>
              <w:keepLines w:val="0"/>
              <w:suppressLineNumbers w:val="0"/>
              <w:spacing w:before="2" w:beforeAutospacing="0" w:after="0" w:afterAutospacing="0" w:line="360" w:lineRule="auto"/>
              <w:ind w:left="0" w:right="0"/>
              <w:jc w:val="center"/>
              <w:rPr>
                <w:rFonts w:hint="default" w:ascii="Times New Roman" w:hAnsi="黑体" w:eastAsia="黑体" w:cs="Times New Roman"/>
                <w:sz w:val="24"/>
                <w:szCs w:val="24"/>
              </w:rPr>
            </w:pPr>
            <w:r>
              <w:rPr>
                <w:rFonts w:hint="default" w:ascii="Times New Roman" w:hAnsi="黑体" w:eastAsia="黑体" w:cs="Times New Roman"/>
                <w:sz w:val="24"/>
                <w:szCs w:val="24"/>
              </w:rPr>
              <w:t>表</w:t>
            </w:r>
            <w:r>
              <w:rPr>
                <w:rFonts w:hint="default" w:ascii="Times New Roman" w:hAnsi="Times New Roman" w:eastAsia="黑体" w:cs="Times New Roman"/>
                <w:sz w:val="24"/>
                <w:szCs w:val="24"/>
              </w:rPr>
              <w:t>3-</w:t>
            </w:r>
            <w:r>
              <w:rPr>
                <w:rFonts w:hint="eastAsia" w:ascii="Times New Roman" w:hAnsi="Times New Roman" w:eastAsia="黑体" w:cs="Times New Roman"/>
                <w:sz w:val="24"/>
                <w:szCs w:val="24"/>
                <w:lang w:val="en-US" w:eastAsia="zh-CN"/>
              </w:rPr>
              <w:t>3</w:t>
            </w:r>
            <w:r>
              <w:rPr>
                <w:rFonts w:hint="default" w:ascii="Times New Roman" w:hAnsi="Times New Roman" w:eastAsia="黑体" w:cs="Times New Roman"/>
                <w:sz w:val="24"/>
                <w:szCs w:val="24"/>
              </w:rPr>
              <w:t xml:space="preserve">  </w:t>
            </w:r>
            <w:r>
              <w:rPr>
                <w:rFonts w:hint="default" w:ascii="Times New Roman" w:hAnsi="黑体" w:eastAsia="黑体" w:cs="Times New Roman"/>
                <w:sz w:val="24"/>
                <w:szCs w:val="24"/>
              </w:rPr>
              <w:t>厂界</w:t>
            </w:r>
            <w:r>
              <w:rPr>
                <w:rFonts w:hint="default" w:ascii="Times New Roman" w:hAnsi="Times New Roman" w:eastAsia="黑体" w:cs="Times New Roman"/>
                <w:sz w:val="24"/>
                <w:szCs w:val="24"/>
              </w:rPr>
              <w:t>500m</w:t>
            </w:r>
            <w:r>
              <w:rPr>
                <w:rFonts w:hint="default" w:ascii="Times New Roman" w:hAnsi="黑体" w:eastAsia="黑体" w:cs="Times New Roman"/>
                <w:sz w:val="24"/>
                <w:szCs w:val="24"/>
              </w:rPr>
              <w:t>范围内环境保护目标一览表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6"/>
              <w:gridCol w:w="955"/>
              <w:gridCol w:w="537"/>
              <w:gridCol w:w="553"/>
              <w:gridCol w:w="521"/>
              <w:gridCol w:w="803"/>
              <w:gridCol w:w="2323"/>
              <w:gridCol w:w="886"/>
              <w:gridCol w:w="759"/>
            </w:tblGrid>
            <w:tr w14:paraId="52578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29" w:type="pct"/>
                  <w:vAlign w:val="center"/>
                </w:tcPr>
                <w:p w14:paraId="3FE4BCE5">
                  <w:pPr>
                    <w:keepNext w:val="0"/>
                    <w:keepLines w:val="0"/>
                    <w:suppressLineNumbers w:val="0"/>
                    <w:adjustRightInd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环境</w:t>
                  </w:r>
                </w:p>
                <w:p w14:paraId="08B5B3F8">
                  <w:pPr>
                    <w:keepNext w:val="0"/>
                    <w:keepLines w:val="0"/>
                    <w:suppressLineNumbers w:val="0"/>
                    <w:adjustRightInd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要素</w:t>
                  </w:r>
                </w:p>
              </w:tc>
              <w:tc>
                <w:tcPr>
                  <w:tcW w:w="608" w:type="pct"/>
                  <w:vAlign w:val="center"/>
                </w:tcPr>
                <w:p w14:paraId="71E29AAA">
                  <w:pPr>
                    <w:keepNext w:val="0"/>
                    <w:keepLines w:val="0"/>
                    <w:suppressLineNumbers w:val="0"/>
                    <w:adjustRightInd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保护目标</w:t>
                  </w:r>
                </w:p>
              </w:tc>
              <w:tc>
                <w:tcPr>
                  <w:tcW w:w="694" w:type="pct"/>
                  <w:gridSpan w:val="2"/>
                  <w:vAlign w:val="center"/>
                </w:tcPr>
                <w:p w14:paraId="0731C336">
                  <w:pPr>
                    <w:keepNext w:val="0"/>
                    <w:keepLines w:val="0"/>
                    <w:suppressLineNumbers w:val="0"/>
                    <w:adjustRightInd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坐标/m</w:t>
                  </w:r>
                </w:p>
                <w:p w14:paraId="1753DB7F">
                  <w:pPr>
                    <w:keepNext w:val="0"/>
                    <w:keepLines w:val="0"/>
                    <w:suppressLineNumbers w:val="0"/>
                    <w:adjustRightInd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（X，Y）</w:t>
                  </w:r>
                </w:p>
              </w:tc>
              <w:tc>
                <w:tcPr>
                  <w:tcW w:w="332" w:type="pct"/>
                  <w:vAlign w:val="center"/>
                </w:tcPr>
                <w:p w14:paraId="3C1C15E8">
                  <w:pPr>
                    <w:keepNext w:val="0"/>
                    <w:keepLines w:val="0"/>
                    <w:suppressLineNumbers w:val="0"/>
                    <w:adjustRightInd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保护对象</w:t>
                  </w:r>
                </w:p>
              </w:tc>
              <w:tc>
                <w:tcPr>
                  <w:tcW w:w="511" w:type="pct"/>
                  <w:vAlign w:val="center"/>
                </w:tcPr>
                <w:p w14:paraId="6AD21BF7">
                  <w:pPr>
                    <w:keepNext w:val="0"/>
                    <w:keepLines w:val="0"/>
                    <w:suppressLineNumbers w:val="0"/>
                    <w:adjustRightInd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保护内容</w:t>
                  </w:r>
                </w:p>
              </w:tc>
              <w:tc>
                <w:tcPr>
                  <w:tcW w:w="1479" w:type="pct"/>
                  <w:vAlign w:val="center"/>
                </w:tcPr>
                <w:p w14:paraId="35497194">
                  <w:pPr>
                    <w:keepNext w:val="0"/>
                    <w:keepLines w:val="0"/>
                    <w:suppressLineNumbers w:val="0"/>
                    <w:adjustRightInd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保护级别</w:t>
                  </w:r>
                </w:p>
              </w:tc>
              <w:tc>
                <w:tcPr>
                  <w:tcW w:w="564" w:type="pct"/>
                  <w:vAlign w:val="center"/>
                </w:tcPr>
                <w:p w14:paraId="39239C80">
                  <w:pPr>
                    <w:keepNext w:val="0"/>
                    <w:keepLines w:val="0"/>
                    <w:suppressLineNumbers w:val="0"/>
                    <w:adjustRightInd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相对厂址方位</w:t>
                  </w:r>
                </w:p>
              </w:tc>
              <w:tc>
                <w:tcPr>
                  <w:tcW w:w="483" w:type="pct"/>
                  <w:vAlign w:val="center"/>
                </w:tcPr>
                <w:p w14:paraId="5E666240">
                  <w:pPr>
                    <w:keepNext w:val="0"/>
                    <w:keepLines w:val="0"/>
                    <w:suppressLineNumbers w:val="0"/>
                    <w:adjustRightInd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相对厂界距离/m</w:t>
                  </w:r>
                </w:p>
              </w:tc>
            </w:tr>
            <w:tr w14:paraId="78597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29" w:type="pct"/>
                  <w:vMerge w:val="restart"/>
                  <w:vAlign w:val="center"/>
                </w:tcPr>
                <w:p w14:paraId="17E247B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大气</w:t>
                  </w:r>
                </w:p>
                <w:p w14:paraId="11B7E38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环境</w:t>
                  </w:r>
                </w:p>
              </w:tc>
              <w:tc>
                <w:tcPr>
                  <w:tcW w:w="608" w:type="pct"/>
                  <w:vAlign w:val="center"/>
                </w:tcPr>
                <w:p w14:paraId="3599506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新庄</w:t>
                  </w:r>
                </w:p>
              </w:tc>
              <w:tc>
                <w:tcPr>
                  <w:tcW w:w="342" w:type="pct"/>
                  <w:vAlign w:val="center"/>
                </w:tcPr>
                <w:p w14:paraId="5AAD6BB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-103</w:t>
                  </w:r>
                </w:p>
              </w:tc>
              <w:tc>
                <w:tcPr>
                  <w:tcW w:w="352" w:type="pct"/>
                  <w:vAlign w:val="center"/>
                </w:tcPr>
                <w:p w14:paraId="0F171C1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-105</w:t>
                  </w:r>
                </w:p>
              </w:tc>
              <w:tc>
                <w:tcPr>
                  <w:tcW w:w="332" w:type="pct"/>
                  <w:vAlign w:val="center"/>
                </w:tcPr>
                <w:p w14:paraId="58848F9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511" w:type="pct"/>
                  <w:vAlign w:val="center"/>
                </w:tcPr>
                <w:p w14:paraId="671C003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约</w:t>
                  </w:r>
                  <w:r>
                    <w:rPr>
                      <w:rFonts w:hint="eastAsia" w:ascii="Times New Roman" w:hAnsi="Times New Roman" w:eastAsia="宋体" w:cs="Times New Roman"/>
                      <w:szCs w:val="21"/>
                    </w:rPr>
                    <w:t>66</w:t>
                  </w:r>
                  <w:r>
                    <w:rPr>
                      <w:rFonts w:hint="default" w:ascii="Times New Roman" w:hAnsi="Times New Roman" w:eastAsia="宋体" w:cs="Times New Roman"/>
                      <w:szCs w:val="21"/>
                    </w:rPr>
                    <w:t>人</w:t>
                  </w:r>
                </w:p>
              </w:tc>
              <w:tc>
                <w:tcPr>
                  <w:tcW w:w="1479" w:type="pct"/>
                  <w:vMerge w:val="restart"/>
                  <w:vAlign w:val="center"/>
                </w:tcPr>
                <w:p w14:paraId="6BD8540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《环境空气质量标准》（GB3095-2026）中的过渡阶段二级浓度限值要求</w:t>
                  </w:r>
                </w:p>
              </w:tc>
              <w:tc>
                <w:tcPr>
                  <w:tcW w:w="564" w:type="pct"/>
                  <w:vAlign w:val="center"/>
                </w:tcPr>
                <w:p w14:paraId="7C4F62D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SW</w:t>
                  </w:r>
                </w:p>
              </w:tc>
              <w:tc>
                <w:tcPr>
                  <w:tcW w:w="483" w:type="pct"/>
                  <w:vAlign w:val="center"/>
                </w:tcPr>
                <w:p w14:paraId="63C1C52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147</w:t>
                  </w:r>
                </w:p>
              </w:tc>
            </w:tr>
            <w:tr w14:paraId="4F83C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29" w:type="pct"/>
                  <w:vMerge w:val="continue"/>
                  <w:vAlign w:val="center"/>
                </w:tcPr>
                <w:p w14:paraId="323BA4C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p>
              </w:tc>
              <w:tc>
                <w:tcPr>
                  <w:tcW w:w="608" w:type="pct"/>
                  <w:vAlign w:val="center"/>
                </w:tcPr>
                <w:p w14:paraId="3380ABA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大郢村</w:t>
                  </w:r>
                </w:p>
              </w:tc>
              <w:tc>
                <w:tcPr>
                  <w:tcW w:w="342" w:type="pct"/>
                  <w:vAlign w:val="center"/>
                </w:tcPr>
                <w:p w14:paraId="3A3562A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424</w:t>
                  </w:r>
                </w:p>
              </w:tc>
              <w:tc>
                <w:tcPr>
                  <w:tcW w:w="352" w:type="pct"/>
                  <w:vAlign w:val="center"/>
                </w:tcPr>
                <w:p w14:paraId="2BC046A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-353</w:t>
                  </w:r>
                </w:p>
              </w:tc>
              <w:tc>
                <w:tcPr>
                  <w:tcW w:w="332" w:type="pct"/>
                  <w:vAlign w:val="center"/>
                </w:tcPr>
                <w:p w14:paraId="63B2CD7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511" w:type="pct"/>
                  <w:vAlign w:val="center"/>
                </w:tcPr>
                <w:p w14:paraId="5E20AD0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约</w:t>
                  </w:r>
                  <w:r>
                    <w:rPr>
                      <w:rFonts w:hint="eastAsia" w:ascii="Times New Roman" w:hAnsi="Times New Roman" w:eastAsia="宋体" w:cs="Times New Roman"/>
                      <w:szCs w:val="21"/>
                    </w:rPr>
                    <w:t>150</w:t>
                  </w:r>
                  <w:r>
                    <w:rPr>
                      <w:rFonts w:hint="default" w:ascii="Times New Roman" w:hAnsi="Times New Roman" w:eastAsia="宋体" w:cs="Times New Roman"/>
                      <w:szCs w:val="21"/>
                    </w:rPr>
                    <w:t>人</w:t>
                  </w:r>
                </w:p>
              </w:tc>
              <w:tc>
                <w:tcPr>
                  <w:tcW w:w="1479" w:type="pct"/>
                  <w:vMerge w:val="continue"/>
                  <w:vAlign w:val="center"/>
                </w:tcPr>
                <w:p w14:paraId="5A5C046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p>
              </w:tc>
              <w:tc>
                <w:tcPr>
                  <w:tcW w:w="564" w:type="pct"/>
                  <w:vAlign w:val="center"/>
                </w:tcPr>
                <w:p w14:paraId="41C6522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SE</w:t>
                  </w:r>
                </w:p>
              </w:tc>
              <w:tc>
                <w:tcPr>
                  <w:tcW w:w="483" w:type="pct"/>
                  <w:vAlign w:val="center"/>
                </w:tcPr>
                <w:p w14:paraId="3333D06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480</w:t>
                  </w:r>
                </w:p>
              </w:tc>
            </w:tr>
            <w:tr w14:paraId="7FBC3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29" w:type="pct"/>
                  <w:vAlign w:val="center"/>
                </w:tcPr>
                <w:p w14:paraId="19AC616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声环境</w:t>
                  </w:r>
                </w:p>
              </w:tc>
              <w:tc>
                <w:tcPr>
                  <w:tcW w:w="4671" w:type="pct"/>
                  <w:gridSpan w:val="8"/>
                  <w:vAlign w:val="center"/>
                </w:tcPr>
                <w:p w14:paraId="16A4280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w:t>
                  </w:r>
                  <w:r>
                    <w:rPr>
                      <w:rFonts w:hint="eastAsia" w:ascii="Times New Roman" w:hAnsi="Times New Roman" w:eastAsia="宋体" w:cs="Times New Roman"/>
                      <w:szCs w:val="21"/>
                    </w:rPr>
                    <w:t>50m范围内无噪声敏感点</w:t>
                  </w:r>
                </w:p>
              </w:tc>
            </w:tr>
            <w:tr w14:paraId="2DC2D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29" w:type="pct"/>
                  <w:vAlign w:val="center"/>
                </w:tcPr>
                <w:p w14:paraId="334605D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地下水环境</w:t>
                  </w:r>
                </w:p>
              </w:tc>
              <w:tc>
                <w:tcPr>
                  <w:tcW w:w="4671" w:type="pct"/>
                  <w:gridSpan w:val="8"/>
                  <w:vAlign w:val="center"/>
                </w:tcPr>
                <w:p w14:paraId="3BE1D35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本项目位于淮南市田家庵区，项目所在区域均采用自来水作为饮用水源，项目厂界外500m范围内无地下水集中式饮用水水源、矿泉水、温泉等特殊地下水资源</w:t>
                  </w:r>
                </w:p>
              </w:tc>
            </w:tr>
            <w:tr w14:paraId="129FE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29" w:type="pct"/>
                  <w:vAlign w:val="center"/>
                </w:tcPr>
                <w:p w14:paraId="5CD0630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生态环境</w:t>
                  </w:r>
                </w:p>
              </w:tc>
              <w:tc>
                <w:tcPr>
                  <w:tcW w:w="4671" w:type="pct"/>
                  <w:gridSpan w:val="8"/>
                  <w:vAlign w:val="center"/>
                </w:tcPr>
                <w:p w14:paraId="1746497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本项目利用已有的工业用地进行项目建设，本项目用地范围内无生态环境保护目标</w:t>
                  </w:r>
                </w:p>
              </w:tc>
            </w:tr>
          </w:tbl>
          <w:p w14:paraId="78F227ED">
            <w:pPr>
              <w:keepNext w:val="0"/>
              <w:keepLines w:val="0"/>
              <w:suppressLineNumbers w:val="0"/>
              <w:spacing w:before="0" w:beforeAutospacing="0" w:after="0" w:afterAutospacing="0" w:line="276" w:lineRule="auto"/>
              <w:ind w:left="0" w:right="0"/>
              <w:rPr>
                <w:rFonts w:hint="default" w:ascii="Times New Roman" w:hAnsi="Times New Roman" w:eastAsia="黑体" w:cs="Times New Roman"/>
                <w:snapToGrid w:val="0"/>
                <w:szCs w:val="21"/>
              </w:rPr>
            </w:pPr>
            <w:r>
              <w:rPr>
                <w:rFonts w:hint="default" w:ascii="Times New Roman" w:hAnsi="黑体" w:eastAsia="黑体" w:cs="Times New Roman"/>
                <w:snapToGrid w:val="0"/>
                <w:szCs w:val="21"/>
              </w:rPr>
              <w:t>注：</w:t>
            </w:r>
            <w:r>
              <w:rPr>
                <w:rFonts w:hint="default" w:ascii="Times New Roman" w:hAnsi="Times New Roman" w:eastAsia="黑体" w:cs="Times New Roman"/>
                <w:snapToGrid w:val="0"/>
                <w:szCs w:val="21"/>
              </w:rPr>
              <w:t>1</w:t>
            </w:r>
            <w:r>
              <w:rPr>
                <w:rFonts w:hint="default" w:ascii="Times New Roman" w:hAnsi="黑体" w:eastAsia="黑体" w:cs="Times New Roman"/>
                <w:snapToGrid w:val="0"/>
                <w:szCs w:val="21"/>
              </w:rPr>
              <w:t>、以项目区西南角为坐标原点，正东为</w:t>
            </w:r>
            <w:r>
              <w:rPr>
                <w:rFonts w:hint="default" w:ascii="Times New Roman" w:hAnsi="Times New Roman" w:eastAsia="黑体" w:cs="Times New Roman"/>
                <w:snapToGrid w:val="0"/>
                <w:szCs w:val="21"/>
              </w:rPr>
              <w:t>X</w:t>
            </w:r>
            <w:r>
              <w:rPr>
                <w:rFonts w:hint="default" w:ascii="Times New Roman" w:hAnsi="黑体" w:eastAsia="黑体" w:cs="Times New Roman"/>
                <w:snapToGrid w:val="0"/>
                <w:szCs w:val="21"/>
              </w:rPr>
              <w:t>轴，正北为</w:t>
            </w:r>
            <w:r>
              <w:rPr>
                <w:rFonts w:hint="default" w:ascii="Times New Roman" w:hAnsi="Times New Roman" w:eastAsia="黑体" w:cs="Times New Roman"/>
                <w:snapToGrid w:val="0"/>
                <w:szCs w:val="21"/>
              </w:rPr>
              <w:t>Y</w:t>
            </w:r>
            <w:r>
              <w:rPr>
                <w:rFonts w:hint="default" w:ascii="Times New Roman" w:hAnsi="黑体" w:eastAsia="黑体" w:cs="Times New Roman"/>
                <w:snapToGrid w:val="0"/>
                <w:szCs w:val="21"/>
              </w:rPr>
              <w:t>轴；</w:t>
            </w:r>
          </w:p>
          <w:p w14:paraId="67458813">
            <w:pPr>
              <w:keepNext w:val="0"/>
              <w:keepLines w:val="0"/>
              <w:suppressLineNumbers w:val="0"/>
              <w:spacing w:before="0" w:beforeAutospacing="0" w:after="0" w:afterAutospacing="0" w:line="276" w:lineRule="auto"/>
              <w:ind w:left="0" w:right="0"/>
              <w:rPr>
                <w:rFonts w:hint="default" w:ascii="Times New Roman" w:hAnsi="Times New Roman" w:eastAsia="黑体" w:cs="Times New Roman"/>
                <w:snapToGrid w:val="0"/>
                <w:szCs w:val="21"/>
              </w:rPr>
            </w:pPr>
            <w:r>
              <w:rPr>
                <w:rFonts w:hint="default" w:ascii="Times New Roman" w:hAnsi="Times New Roman" w:eastAsia="黑体" w:cs="Times New Roman"/>
                <w:snapToGrid w:val="0"/>
                <w:szCs w:val="21"/>
              </w:rPr>
              <w:t>2</w:t>
            </w:r>
            <w:r>
              <w:rPr>
                <w:rFonts w:hint="default" w:ascii="Times New Roman" w:hAnsi="黑体" w:eastAsia="黑体" w:cs="Times New Roman"/>
                <w:snapToGrid w:val="0"/>
                <w:szCs w:val="21"/>
              </w:rPr>
              <w:t>、大气环境保护目标为项目区外</w:t>
            </w:r>
            <w:r>
              <w:rPr>
                <w:rFonts w:hint="default" w:ascii="Times New Roman" w:hAnsi="Times New Roman" w:eastAsia="黑体" w:cs="Times New Roman"/>
                <w:snapToGrid w:val="0"/>
                <w:szCs w:val="21"/>
              </w:rPr>
              <w:t>500m</w:t>
            </w:r>
            <w:r>
              <w:rPr>
                <w:rFonts w:hint="default" w:ascii="Times New Roman" w:hAnsi="黑体" w:eastAsia="黑体" w:cs="Times New Roman"/>
                <w:snapToGrid w:val="0"/>
                <w:szCs w:val="21"/>
              </w:rPr>
              <w:t>范围内敏感点。</w:t>
            </w:r>
          </w:p>
        </w:tc>
      </w:tr>
    </w:tbl>
    <w:p w14:paraId="38A18E55">
      <w:pPr>
        <w:rPr>
          <w:rFonts w:ascii="Times New Roman" w:hAnsi="Times New Roman"/>
        </w:rPr>
        <w:sectPr>
          <w:pgSz w:w="11906" w:h="16838"/>
          <w:pgMar w:top="1440" w:right="1800" w:bottom="1440" w:left="1800" w:header="851" w:footer="992" w:gutter="0"/>
          <w:cols w:space="425" w:num="1"/>
          <w:docGrid w:type="lines" w:linePitch="312" w:charSpace="0"/>
        </w:sectPr>
      </w:pPr>
    </w:p>
    <w:tbl>
      <w:tblPr>
        <w:tblStyle w:val="17"/>
        <w:tblW w:w="50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4"/>
      </w:tblGrid>
      <w:tr w14:paraId="5703B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0" w:hRule="atLeast"/>
          <w:jc w:val="center"/>
        </w:trPr>
        <w:tc>
          <w:tcPr>
            <w:tcW w:w="268" w:type="pct"/>
            <w:tcMar>
              <w:left w:w="28" w:type="dxa"/>
              <w:right w:w="28" w:type="dxa"/>
            </w:tcMar>
            <w:vAlign w:val="center"/>
          </w:tcPr>
          <w:p w14:paraId="1863AEF4">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污染</w:t>
            </w:r>
          </w:p>
          <w:p w14:paraId="3575FBD4">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物排</w:t>
            </w:r>
          </w:p>
          <w:p w14:paraId="40296932">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放控</w:t>
            </w:r>
          </w:p>
          <w:p w14:paraId="3B6735DD">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制标</w:t>
            </w:r>
          </w:p>
          <w:p w14:paraId="03A2BC0D">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kern w:val="0"/>
                <w:szCs w:val="21"/>
              </w:rPr>
            </w:pPr>
            <w:r>
              <w:rPr>
                <w:rFonts w:hint="eastAsia" w:ascii="Times New Roman" w:hAnsi="Times New Roman" w:eastAsia="宋体" w:cs="宋体"/>
                <w:bCs/>
                <w:sz w:val="24"/>
                <w:szCs w:val="24"/>
              </w:rPr>
              <w:t>准</w:t>
            </w:r>
          </w:p>
        </w:tc>
        <w:tc>
          <w:tcPr>
            <w:tcW w:w="4732" w:type="pct"/>
            <w:vAlign w:val="center"/>
          </w:tcPr>
          <w:p w14:paraId="509F9036">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1、大气污染物排放标准</w:t>
            </w:r>
          </w:p>
          <w:p w14:paraId="63AAAA0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项目</w:t>
            </w:r>
            <w:r>
              <w:rPr>
                <w:rFonts w:hint="eastAsia" w:ascii="Times New Roman" w:hAnsi="Times New Roman"/>
                <w:bCs/>
                <w:kern w:val="0"/>
                <w:sz w:val="24"/>
                <w:szCs w:val="24"/>
              </w:rPr>
              <w:t>工序产生的</w:t>
            </w:r>
            <w:r>
              <w:rPr>
                <w:rFonts w:hint="eastAsia" w:ascii="Times New Roman" w:hAnsi="Times New Roman"/>
                <w:bCs/>
                <w:kern w:val="0"/>
                <w:sz w:val="24"/>
                <w:szCs w:val="24"/>
                <w:lang w:val="en-US" w:eastAsia="zh-CN"/>
              </w:rPr>
              <w:t>颗粒物、</w:t>
            </w:r>
            <w:r>
              <w:rPr>
                <w:rFonts w:hint="eastAsia" w:ascii="Times New Roman" w:hAnsi="Times New Roman"/>
                <w:bCs/>
                <w:kern w:val="0"/>
                <w:sz w:val="24"/>
                <w:szCs w:val="24"/>
              </w:rPr>
              <w:t>非甲烷总烃排放</w:t>
            </w:r>
            <w:r>
              <w:rPr>
                <w:rFonts w:hint="eastAsia" w:ascii="Times New Roman" w:hAnsi="Times New Roman" w:eastAsia="宋体" w:cs="Times New Roman"/>
                <w:bCs/>
                <w:kern w:val="0"/>
                <w:sz w:val="24"/>
                <w:szCs w:val="24"/>
              </w:rPr>
              <w:t>执行《大气污染物综合排放标准》（GB16297-1996）表2中无组织排放监控浓度限值；厂区内非甲烷总烃无组织排放监控点浓度执行《固定源挥发性有机物综合排放标准第6部分：其他行业》（DB34/4812.6-2024）中表4规定的无组织排放限值。</w:t>
            </w:r>
          </w:p>
          <w:p w14:paraId="401A7FC6">
            <w:pPr>
              <w:keepNext w:val="0"/>
              <w:keepLines w:val="0"/>
              <w:widowControl/>
              <w:suppressLineNumbers w:val="0"/>
              <w:spacing w:before="0" w:beforeAutospacing="0" w:after="0" w:afterAutospacing="0" w:line="360" w:lineRule="auto"/>
              <w:ind w:left="0" w:right="0" w:firstLine="480" w:firstLineChars="200"/>
              <w:jc w:val="center"/>
              <w:rPr>
                <w:rFonts w:hint="default" w:ascii="Times New Roman" w:hAnsi="Times New Roman" w:eastAsia="黑体" w:cs="Times New Roman"/>
                <w:bCs/>
                <w:kern w:val="0"/>
                <w:sz w:val="24"/>
                <w:szCs w:val="24"/>
              </w:rPr>
            </w:pPr>
            <w:r>
              <w:rPr>
                <w:rFonts w:hint="default" w:ascii="Times New Roman" w:hAnsi="Times New Roman" w:eastAsia="黑体" w:cs="Times New Roman"/>
                <w:bCs/>
                <w:kern w:val="0"/>
                <w:sz w:val="24"/>
                <w:szCs w:val="24"/>
              </w:rPr>
              <w:t>表3</w:t>
            </w:r>
            <w:r>
              <w:rPr>
                <w:rFonts w:hint="eastAsia" w:ascii="Times New Roman" w:hAnsi="Times New Roman" w:eastAsia="黑体" w:cs="Times New Roman"/>
                <w:bCs/>
                <w:kern w:val="0"/>
                <w:sz w:val="24"/>
                <w:szCs w:val="24"/>
              </w:rPr>
              <w:t>-</w:t>
            </w:r>
            <w:r>
              <w:rPr>
                <w:rFonts w:hint="eastAsia" w:ascii="Times New Roman" w:hAnsi="Times New Roman" w:eastAsia="黑体" w:cs="Times New Roman"/>
                <w:bCs/>
                <w:kern w:val="0"/>
                <w:sz w:val="24"/>
                <w:szCs w:val="24"/>
                <w:lang w:val="en-US" w:eastAsia="zh-CN"/>
              </w:rPr>
              <w:t>4</w:t>
            </w:r>
            <w:r>
              <w:rPr>
                <w:rFonts w:hint="eastAsia" w:ascii="Times New Roman" w:hAnsi="Times New Roman" w:eastAsia="黑体" w:cs="Times New Roman"/>
                <w:bCs/>
                <w:kern w:val="0"/>
                <w:sz w:val="24"/>
                <w:szCs w:val="24"/>
              </w:rPr>
              <w:t xml:space="preserve">  废气排放标准</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4153"/>
              <w:gridCol w:w="2159"/>
            </w:tblGrid>
            <w:tr w14:paraId="050C9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9" w:type="pct"/>
                  <w:vMerge w:val="restart"/>
                  <w:vAlign w:val="center"/>
                </w:tcPr>
                <w:p w14:paraId="370BC6D8">
                  <w:pPr>
                    <w:keepNext w:val="0"/>
                    <w:keepLines w:val="0"/>
                    <w:suppressLineNumbers w:val="0"/>
                    <w:spacing w:before="0" w:beforeAutospacing="0" w:after="0" w:afterAutospacing="0" w:line="276" w:lineRule="auto"/>
                    <w:ind w:left="0" w:right="0"/>
                    <w:jc w:val="center"/>
                    <w:rPr>
                      <w:rFonts w:hint="default" w:ascii="Times New Roman" w:hAnsi="Times New Roman"/>
                      <w:b/>
                      <w:kern w:val="0"/>
                    </w:rPr>
                  </w:pPr>
                  <w:r>
                    <w:rPr>
                      <w:rFonts w:hint="default" w:ascii="Times New Roman"/>
                      <w:b/>
                      <w:kern w:val="0"/>
                    </w:rPr>
                    <w:t>污染物</w:t>
                  </w:r>
                </w:p>
              </w:tc>
              <w:tc>
                <w:tcPr>
                  <w:tcW w:w="4020" w:type="pct"/>
                  <w:gridSpan w:val="2"/>
                  <w:vAlign w:val="center"/>
                </w:tcPr>
                <w:p w14:paraId="6EFBC6FA">
                  <w:pPr>
                    <w:keepNext w:val="0"/>
                    <w:keepLines w:val="0"/>
                    <w:suppressLineNumbers w:val="0"/>
                    <w:spacing w:before="0" w:beforeAutospacing="0" w:after="0" w:afterAutospacing="0" w:line="276" w:lineRule="auto"/>
                    <w:ind w:left="0" w:right="0"/>
                    <w:jc w:val="center"/>
                    <w:rPr>
                      <w:rFonts w:hint="default" w:ascii="Times New Roman" w:hAnsi="Times New Roman"/>
                      <w:b/>
                      <w:kern w:val="0"/>
                    </w:rPr>
                  </w:pPr>
                  <w:r>
                    <w:rPr>
                      <w:rFonts w:hint="default" w:ascii="Times New Roman"/>
                      <w:b/>
                      <w:kern w:val="0"/>
                    </w:rPr>
                    <w:t>无组织排放浓度限值</w:t>
                  </w:r>
                </w:p>
              </w:tc>
            </w:tr>
            <w:tr w14:paraId="44864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9" w:type="pct"/>
                  <w:vMerge w:val="continue"/>
                  <w:vAlign w:val="center"/>
                </w:tcPr>
                <w:p w14:paraId="0A520CF3">
                  <w:pPr>
                    <w:keepNext w:val="0"/>
                    <w:keepLines w:val="0"/>
                    <w:suppressLineNumbers w:val="0"/>
                    <w:spacing w:before="0" w:beforeAutospacing="0" w:after="0" w:afterAutospacing="0" w:line="276" w:lineRule="auto"/>
                    <w:ind w:left="0" w:right="0"/>
                    <w:jc w:val="center"/>
                    <w:rPr>
                      <w:rFonts w:hint="default" w:ascii="Times New Roman" w:hAnsi="Times New Roman"/>
                      <w:b/>
                      <w:kern w:val="0"/>
                    </w:rPr>
                  </w:pPr>
                </w:p>
              </w:tc>
              <w:tc>
                <w:tcPr>
                  <w:tcW w:w="2645" w:type="pct"/>
                  <w:vAlign w:val="center"/>
                </w:tcPr>
                <w:p w14:paraId="4E0D629A">
                  <w:pPr>
                    <w:keepNext w:val="0"/>
                    <w:keepLines w:val="0"/>
                    <w:suppressLineNumbers w:val="0"/>
                    <w:spacing w:before="0" w:beforeAutospacing="0" w:after="0" w:afterAutospacing="0" w:line="276" w:lineRule="auto"/>
                    <w:ind w:left="0" w:right="0"/>
                    <w:jc w:val="center"/>
                    <w:rPr>
                      <w:rFonts w:hint="default" w:ascii="Times New Roman" w:hAnsi="Times New Roman"/>
                      <w:b/>
                      <w:kern w:val="0"/>
                    </w:rPr>
                  </w:pPr>
                  <w:r>
                    <w:rPr>
                      <w:rFonts w:hint="default" w:ascii="Times New Roman"/>
                      <w:b/>
                      <w:kern w:val="0"/>
                    </w:rPr>
                    <w:t>浓度（</w:t>
                  </w:r>
                  <w:r>
                    <w:rPr>
                      <w:rFonts w:hint="default" w:ascii="Times New Roman" w:hAnsi="Times New Roman"/>
                      <w:b/>
                      <w:kern w:val="0"/>
                    </w:rPr>
                    <w:t>mg/m</w:t>
                  </w:r>
                  <w:r>
                    <w:rPr>
                      <w:rFonts w:hint="default" w:ascii="Times New Roman" w:hAnsi="Times New Roman"/>
                      <w:b/>
                      <w:kern w:val="0"/>
                      <w:vertAlign w:val="superscript"/>
                    </w:rPr>
                    <w:t>3</w:t>
                  </w:r>
                  <w:r>
                    <w:rPr>
                      <w:rFonts w:hint="default" w:ascii="Times New Roman"/>
                      <w:b/>
                      <w:kern w:val="0"/>
                    </w:rPr>
                    <w:t>）</w:t>
                  </w:r>
                </w:p>
              </w:tc>
              <w:tc>
                <w:tcPr>
                  <w:tcW w:w="1374" w:type="pct"/>
                  <w:vAlign w:val="center"/>
                </w:tcPr>
                <w:p w14:paraId="6BF5ED68">
                  <w:pPr>
                    <w:keepNext w:val="0"/>
                    <w:keepLines w:val="0"/>
                    <w:suppressLineNumbers w:val="0"/>
                    <w:spacing w:before="0" w:beforeAutospacing="0" w:after="0" w:afterAutospacing="0" w:line="276" w:lineRule="auto"/>
                    <w:ind w:left="0" w:right="0"/>
                    <w:jc w:val="center"/>
                    <w:rPr>
                      <w:rFonts w:hint="default" w:ascii="Times New Roman" w:hAnsi="Times New Roman"/>
                      <w:b/>
                      <w:kern w:val="0"/>
                    </w:rPr>
                  </w:pPr>
                  <w:r>
                    <w:rPr>
                      <w:rFonts w:hint="default" w:ascii="Times New Roman"/>
                      <w:b/>
                      <w:kern w:val="0"/>
                    </w:rPr>
                    <w:t>监控点</w:t>
                  </w:r>
                </w:p>
              </w:tc>
            </w:tr>
            <w:tr w14:paraId="386D6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14:paraId="00A7A2D7">
                  <w:pPr>
                    <w:keepNext w:val="0"/>
                    <w:keepLines w:val="0"/>
                    <w:suppressLineNumbers w:val="0"/>
                    <w:spacing w:before="0" w:beforeAutospacing="0" w:after="0" w:afterAutospacing="0" w:line="276" w:lineRule="auto"/>
                    <w:ind w:left="0" w:right="0"/>
                    <w:jc w:val="center"/>
                    <w:rPr>
                      <w:rFonts w:hint="eastAsia" w:ascii="Times New Roman" w:hAnsi="Times New Roman" w:eastAsiaTheme="minorEastAsia"/>
                      <w:kern w:val="0"/>
                      <w:lang w:val="en-US" w:eastAsia="zh-CN"/>
                    </w:rPr>
                  </w:pPr>
                  <w:r>
                    <w:rPr>
                      <w:rFonts w:hint="eastAsia" w:ascii="Times New Roman" w:hAnsi="Times New Roman"/>
                      <w:kern w:val="0"/>
                      <w:lang w:val="en-US" w:eastAsia="zh-CN"/>
                    </w:rPr>
                    <w:t>颗粒物</w:t>
                  </w:r>
                </w:p>
              </w:tc>
              <w:tc>
                <w:tcPr>
                  <w:tcW w:w="2645" w:type="pct"/>
                  <w:vAlign w:val="center"/>
                </w:tcPr>
                <w:p w14:paraId="2F4C55D1">
                  <w:pPr>
                    <w:keepNext w:val="0"/>
                    <w:keepLines w:val="0"/>
                    <w:suppressLineNumbers w:val="0"/>
                    <w:spacing w:before="0" w:beforeAutospacing="0" w:after="0" w:afterAutospacing="0" w:line="276" w:lineRule="auto"/>
                    <w:ind w:left="0" w:right="0"/>
                    <w:jc w:val="center"/>
                    <w:rPr>
                      <w:rFonts w:hint="default" w:ascii="Times New Roman" w:hAnsi="Times New Roman" w:eastAsiaTheme="minorEastAsia"/>
                      <w:kern w:val="0"/>
                      <w:lang w:val="en-US" w:eastAsia="zh-CN"/>
                    </w:rPr>
                  </w:pPr>
                  <w:r>
                    <w:rPr>
                      <w:rFonts w:hint="eastAsia" w:ascii="Times New Roman" w:hAnsi="Times New Roman"/>
                      <w:kern w:val="0"/>
                      <w:lang w:val="en-US" w:eastAsia="zh-CN"/>
                    </w:rPr>
                    <w:t>1.0</w:t>
                  </w:r>
                </w:p>
              </w:tc>
              <w:tc>
                <w:tcPr>
                  <w:tcW w:w="1374" w:type="pct"/>
                  <w:vAlign w:val="center"/>
                </w:tcPr>
                <w:p w14:paraId="2702720F">
                  <w:pPr>
                    <w:keepNext w:val="0"/>
                    <w:keepLines w:val="0"/>
                    <w:suppressLineNumbers w:val="0"/>
                    <w:spacing w:before="0" w:beforeAutospacing="0" w:after="0" w:afterAutospacing="0" w:line="276" w:lineRule="auto"/>
                    <w:ind w:left="0" w:right="0"/>
                    <w:jc w:val="center"/>
                    <w:rPr>
                      <w:rFonts w:hint="default" w:ascii="Times New Roman" w:hAnsi="Times New Roman"/>
                      <w:kern w:val="0"/>
                    </w:rPr>
                  </w:pPr>
                  <w:r>
                    <w:rPr>
                      <w:rFonts w:hint="default" w:ascii="Times New Roman"/>
                      <w:kern w:val="0"/>
                    </w:rPr>
                    <w:t>周界外浓度最高点</w:t>
                  </w:r>
                </w:p>
              </w:tc>
            </w:tr>
            <w:tr w14:paraId="77E6D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9" w:type="pct"/>
                  <w:shd w:val="clear" w:color="auto" w:fill="auto"/>
                  <w:vAlign w:val="center"/>
                </w:tcPr>
                <w:p w14:paraId="57734F02">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Theme="minorEastAsia" w:cstheme="minorBidi"/>
                      <w:kern w:val="0"/>
                      <w:sz w:val="21"/>
                      <w:szCs w:val="22"/>
                      <w:lang w:val="en-US" w:eastAsia="zh-CN" w:bidi="ar-SA"/>
                    </w:rPr>
                  </w:pPr>
                  <w:r>
                    <w:rPr>
                      <w:rFonts w:hint="default" w:ascii="Times New Roman"/>
                      <w:kern w:val="0"/>
                    </w:rPr>
                    <w:t>非甲烷总烃</w:t>
                  </w:r>
                </w:p>
              </w:tc>
              <w:tc>
                <w:tcPr>
                  <w:tcW w:w="2645" w:type="pct"/>
                  <w:shd w:val="clear" w:color="auto" w:fill="auto"/>
                  <w:vAlign w:val="center"/>
                </w:tcPr>
                <w:p w14:paraId="019440B5">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Theme="minorEastAsia" w:cstheme="minorBidi"/>
                      <w:kern w:val="0"/>
                      <w:sz w:val="21"/>
                      <w:szCs w:val="22"/>
                      <w:lang w:val="en-US" w:eastAsia="zh-CN" w:bidi="ar-SA"/>
                    </w:rPr>
                  </w:pPr>
                  <w:r>
                    <w:rPr>
                      <w:rFonts w:hint="default" w:ascii="Times New Roman" w:hAnsi="Times New Roman"/>
                      <w:kern w:val="0"/>
                    </w:rPr>
                    <w:t>4.0</w:t>
                  </w:r>
                </w:p>
              </w:tc>
              <w:tc>
                <w:tcPr>
                  <w:tcW w:w="1374" w:type="pct"/>
                  <w:shd w:val="clear" w:color="auto" w:fill="auto"/>
                  <w:vAlign w:val="center"/>
                </w:tcPr>
                <w:p w14:paraId="75EA9CEF">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Theme="minorEastAsia" w:cstheme="minorBidi"/>
                      <w:kern w:val="0"/>
                      <w:sz w:val="21"/>
                      <w:szCs w:val="22"/>
                      <w:lang w:val="en-US" w:eastAsia="zh-CN" w:bidi="ar-SA"/>
                    </w:rPr>
                  </w:pPr>
                  <w:r>
                    <w:rPr>
                      <w:rFonts w:hint="default" w:ascii="Times New Roman"/>
                      <w:kern w:val="0"/>
                    </w:rPr>
                    <w:t>周界外浓度最高点</w:t>
                  </w:r>
                </w:p>
              </w:tc>
            </w:tr>
          </w:tbl>
          <w:p w14:paraId="7C778B8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s="Times New Roman"/>
                <w:bCs/>
                <w:kern w:val="0"/>
                <w:sz w:val="24"/>
                <w:szCs w:val="24"/>
              </w:rPr>
            </w:pPr>
            <w:r>
              <w:rPr>
                <w:rFonts w:hint="default" w:ascii="Times New Roman" w:hAnsi="Times New Roman" w:eastAsia="黑体" w:cs="Times New Roman"/>
                <w:bCs/>
                <w:kern w:val="0"/>
                <w:sz w:val="24"/>
                <w:szCs w:val="24"/>
              </w:rPr>
              <w:t>表3</w:t>
            </w:r>
            <w:r>
              <w:rPr>
                <w:rFonts w:hint="eastAsia" w:ascii="Times New Roman" w:hAnsi="Times New Roman" w:eastAsia="黑体" w:cs="Times New Roman"/>
                <w:bCs/>
                <w:kern w:val="0"/>
                <w:sz w:val="24"/>
                <w:szCs w:val="24"/>
              </w:rPr>
              <w:t>-</w:t>
            </w:r>
            <w:r>
              <w:rPr>
                <w:rFonts w:hint="eastAsia" w:ascii="Times New Roman" w:hAnsi="Times New Roman" w:eastAsia="黑体" w:cs="Times New Roman"/>
                <w:bCs/>
                <w:kern w:val="0"/>
                <w:sz w:val="24"/>
                <w:szCs w:val="24"/>
                <w:lang w:val="en-US" w:eastAsia="zh-CN"/>
              </w:rPr>
              <w:t>5</w:t>
            </w:r>
            <w:r>
              <w:rPr>
                <w:rFonts w:hint="eastAsia" w:ascii="Times New Roman" w:hAnsi="Times New Roman" w:eastAsia="黑体" w:cs="Times New Roman"/>
                <w:bCs/>
                <w:kern w:val="0"/>
                <w:sz w:val="24"/>
                <w:szCs w:val="24"/>
              </w:rPr>
              <w:t xml:space="preserve">  厂区内大气</w:t>
            </w:r>
            <w:r>
              <w:rPr>
                <w:rFonts w:hint="default" w:ascii="Times New Roman" w:hAnsi="Times New Roman" w:eastAsia="黑体" w:cs="Times New Roman"/>
                <w:bCs/>
                <w:kern w:val="0"/>
                <w:sz w:val="24"/>
                <w:szCs w:val="24"/>
              </w:rPr>
              <w:t>污染物无组织排放标准</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61"/>
              <w:gridCol w:w="2268"/>
              <w:gridCol w:w="2551"/>
              <w:gridCol w:w="2068"/>
            </w:tblGrid>
            <w:tr w14:paraId="6E14A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61" w:type="dxa"/>
                  <w:vAlign w:val="center"/>
                </w:tcPr>
                <w:p w14:paraId="7B9BCFF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污染物</w:t>
                  </w:r>
                </w:p>
              </w:tc>
              <w:tc>
                <w:tcPr>
                  <w:tcW w:w="2268" w:type="dxa"/>
                  <w:vAlign w:val="center"/>
                </w:tcPr>
                <w:p w14:paraId="572E084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最高允许排放浓度</w:t>
                  </w:r>
                  <w:r>
                    <w:rPr>
                      <w:rFonts w:hint="default" w:ascii="Times New Roman" w:hAnsi="Times New Roman" w:eastAsia="宋体" w:cs="Times New Roman"/>
                      <w:b/>
                      <w:bCs/>
                      <w:szCs w:val="21"/>
                    </w:rPr>
                    <w:t>（mg/m</w:t>
                  </w:r>
                  <w:r>
                    <w:rPr>
                      <w:rFonts w:hint="default" w:ascii="Times New Roman" w:hAnsi="Times New Roman" w:eastAsia="宋体" w:cs="Times New Roman"/>
                      <w:b/>
                      <w:bCs/>
                      <w:szCs w:val="21"/>
                      <w:vertAlign w:val="superscript"/>
                    </w:rPr>
                    <w:t>3</w:t>
                  </w:r>
                  <w:r>
                    <w:rPr>
                      <w:rFonts w:hint="default" w:ascii="Times New Roman" w:hAnsi="Times New Roman" w:eastAsia="宋体" w:cs="Times New Roman"/>
                      <w:b/>
                      <w:bCs/>
                      <w:szCs w:val="21"/>
                    </w:rPr>
                    <w:t>）</w:t>
                  </w:r>
                </w:p>
              </w:tc>
              <w:tc>
                <w:tcPr>
                  <w:tcW w:w="2551" w:type="dxa"/>
                  <w:vAlign w:val="center"/>
                </w:tcPr>
                <w:p w14:paraId="270FC67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排放限值</w:t>
                  </w:r>
                  <w:r>
                    <w:rPr>
                      <w:rFonts w:hint="default" w:ascii="Times New Roman" w:hAnsi="Times New Roman" w:eastAsia="宋体" w:cs="Times New Roman"/>
                      <w:b/>
                      <w:bCs/>
                      <w:szCs w:val="21"/>
                    </w:rPr>
                    <w:t>含义</w:t>
                  </w:r>
                </w:p>
              </w:tc>
              <w:tc>
                <w:tcPr>
                  <w:tcW w:w="2068" w:type="dxa"/>
                  <w:vAlign w:val="center"/>
                </w:tcPr>
                <w:p w14:paraId="6027FC2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无组织排放监控位置</w:t>
                  </w:r>
                </w:p>
              </w:tc>
            </w:tr>
            <w:tr w14:paraId="23648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61" w:type="dxa"/>
                  <w:vMerge w:val="restart"/>
                  <w:vAlign w:val="center"/>
                </w:tcPr>
                <w:p w14:paraId="1CDADA8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非甲烷总烃</w:t>
                  </w:r>
                </w:p>
              </w:tc>
              <w:tc>
                <w:tcPr>
                  <w:tcW w:w="2268" w:type="dxa"/>
                  <w:vAlign w:val="center"/>
                </w:tcPr>
                <w:p w14:paraId="7C2522FB">
                  <w:pPr>
                    <w:keepNext w:val="0"/>
                    <w:keepLines w:val="0"/>
                    <w:suppressLineNumbers w:val="0"/>
                    <w:tabs>
                      <w:tab w:val="left" w:pos="0"/>
                    </w:tabs>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w:t>
                  </w:r>
                </w:p>
              </w:tc>
              <w:tc>
                <w:tcPr>
                  <w:tcW w:w="2551" w:type="dxa"/>
                  <w:vAlign w:val="center"/>
                </w:tcPr>
                <w:p w14:paraId="42194A4F">
                  <w:pPr>
                    <w:keepNext w:val="0"/>
                    <w:keepLines w:val="0"/>
                    <w:suppressLineNumbers w:val="0"/>
                    <w:tabs>
                      <w:tab w:val="left" w:pos="0"/>
                    </w:tabs>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监控点处</w:t>
                  </w:r>
                  <w:r>
                    <w:rPr>
                      <w:rFonts w:hint="eastAsia" w:ascii="Times New Roman" w:hAnsi="Times New Roman" w:eastAsia="宋体" w:cs="Times New Roman"/>
                      <w:szCs w:val="21"/>
                    </w:rPr>
                    <w:t>1h平均浓度值</w:t>
                  </w:r>
                </w:p>
              </w:tc>
              <w:tc>
                <w:tcPr>
                  <w:tcW w:w="2068" w:type="dxa"/>
                  <w:vMerge w:val="restart"/>
                  <w:vAlign w:val="center"/>
                </w:tcPr>
                <w:p w14:paraId="46489A05">
                  <w:pPr>
                    <w:keepNext w:val="0"/>
                    <w:keepLines w:val="0"/>
                    <w:suppressLineNumbers w:val="0"/>
                    <w:tabs>
                      <w:tab w:val="left" w:pos="0"/>
                    </w:tabs>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在</w:t>
                  </w:r>
                  <w:r>
                    <w:rPr>
                      <w:rFonts w:hint="default" w:ascii="Times New Roman" w:hAnsi="Times New Roman" w:eastAsia="宋体" w:cs="Times New Roman"/>
                      <w:szCs w:val="21"/>
                    </w:rPr>
                    <w:t>厂房外设置监控点</w:t>
                  </w:r>
                </w:p>
              </w:tc>
            </w:tr>
            <w:tr w14:paraId="2BAFD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61" w:type="dxa"/>
                  <w:vMerge w:val="continue"/>
                  <w:vAlign w:val="center"/>
                </w:tcPr>
                <w:p w14:paraId="357EBD4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p>
              </w:tc>
              <w:tc>
                <w:tcPr>
                  <w:tcW w:w="2268" w:type="dxa"/>
                  <w:vAlign w:val="center"/>
                </w:tcPr>
                <w:p w14:paraId="609C963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20</w:t>
                  </w:r>
                </w:p>
              </w:tc>
              <w:tc>
                <w:tcPr>
                  <w:tcW w:w="2551" w:type="dxa"/>
                  <w:vAlign w:val="center"/>
                </w:tcPr>
                <w:p w14:paraId="39B037E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监控点处任意一次浓度值</w:t>
                  </w:r>
                </w:p>
              </w:tc>
              <w:tc>
                <w:tcPr>
                  <w:tcW w:w="2068" w:type="dxa"/>
                  <w:vMerge w:val="continue"/>
                  <w:vAlign w:val="center"/>
                </w:tcPr>
                <w:p w14:paraId="3FA06AB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p>
              </w:tc>
            </w:tr>
          </w:tbl>
          <w:p w14:paraId="47C675A9">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2、水污染物排放标准</w:t>
            </w:r>
          </w:p>
          <w:p w14:paraId="2A2F10FC">
            <w:pPr>
              <w:keepNext w:val="0"/>
              <w:keepLines w:val="0"/>
              <w:widowControl/>
              <w:suppressLineNumbers w:val="0"/>
              <w:spacing w:before="0" w:beforeAutospacing="0" w:after="0" w:afterAutospacing="0" w:line="360" w:lineRule="auto"/>
              <w:ind w:left="0" w:right="0" w:firstLine="480" w:firstLineChars="200"/>
              <w:rPr>
                <w:rFonts w:hint="default" w:ascii="Times New Roman" w:hAnsi="宋体" w:eastAsia="宋体" w:cs="Times New Roman"/>
                <w:bCs/>
                <w:spacing w:val="-1"/>
                <w:kern w:val="0"/>
                <w:sz w:val="24"/>
                <w:szCs w:val="24"/>
              </w:rPr>
            </w:pPr>
            <w:r>
              <w:rPr>
                <w:rFonts w:hint="eastAsia" w:ascii="Times New Roman" w:hAnsi="宋体" w:eastAsia="宋体" w:cs="Times New Roman"/>
                <w:bCs/>
                <w:sz w:val="24"/>
                <w:szCs w:val="24"/>
              </w:rPr>
              <w:t>本项目废水主要为生活污水、后段清洗废水和保洁废水</w:t>
            </w:r>
            <w:r>
              <w:rPr>
                <w:rFonts w:hint="eastAsia" w:ascii="Times New Roman" w:hAnsi="Times New Roman" w:eastAsia="宋体" w:cs="Times New Roman"/>
                <w:sz w:val="24"/>
              </w:rPr>
              <w:t>。</w:t>
            </w:r>
            <w:r>
              <w:rPr>
                <w:rFonts w:hint="eastAsia" w:ascii="Times New Roman" w:hAnsi="宋体" w:eastAsia="宋体" w:cs="Times New Roman"/>
                <w:bCs/>
                <w:sz w:val="24"/>
                <w:szCs w:val="24"/>
              </w:rPr>
              <w:t>生活污水、后段清洗废水和保洁废水</w:t>
            </w:r>
            <w:r>
              <w:rPr>
                <w:rFonts w:hint="eastAsia" w:ascii="Times New Roman" w:hAnsi="Times New Roman" w:eastAsia="宋体" w:cs="Times New Roman"/>
                <w:bCs/>
                <w:sz w:val="24"/>
              </w:rPr>
              <w:t>达到</w:t>
            </w:r>
            <w:r>
              <w:rPr>
                <w:rFonts w:hint="default" w:ascii="Times New Roman" w:hAnsi="Times New Roman" w:eastAsia="宋体" w:cs="Times New Roman"/>
                <w:sz w:val="24"/>
                <w:szCs w:val="24"/>
              </w:rPr>
              <w:t>山南新区污水处理厂</w:t>
            </w:r>
            <w:r>
              <w:rPr>
                <w:rFonts w:hint="eastAsia" w:ascii="Times New Roman" w:hAnsi="Times New Roman" w:eastAsia="宋体" w:cs="Times New Roman"/>
                <w:sz w:val="24"/>
              </w:rPr>
              <w:t>接管限值后，</w:t>
            </w:r>
            <w:r>
              <w:rPr>
                <w:rFonts w:hint="eastAsia" w:ascii="Times New Roman" w:hAnsi="Times New Roman" w:eastAsia="宋体" w:cs="Times New Roman"/>
                <w:bCs/>
                <w:sz w:val="24"/>
              </w:rPr>
              <w:t>排入</w:t>
            </w:r>
            <w:r>
              <w:rPr>
                <w:rFonts w:hint="default" w:ascii="Times New Roman" w:hAnsi="Times New Roman" w:eastAsia="宋体" w:cs="Times New Roman"/>
                <w:sz w:val="24"/>
                <w:szCs w:val="24"/>
              </w:rPr>
              <w:t>山南新区污水处理厂</w:t>
            </w:r>
            <w:r>
              <w:rPr>
                <w:rFonts w:hint="eastAsia" w:ascii="Times New Roman" w:hAnsi="Times New Roman" w:eastAsia="宋体" w:cs="Times New Roman"/>
                <w:bCs/>
                <w:sz w:val="24"/>
              </w:rPr>
              <w:t>处理</w:t>
            </w:r>
            <w:r>
              <w:rPr>
                <w:rFonts w:hint="default" w:ascii="Times New Roman" w:hAnsi="Times New Roman" w:eastAsia="宋体" w:cs="Times New Roman"/>
                <w:bCs/>
                <w:sz w:val="24"/>
              </w:rPr>
              <w:t>达</w:t>
            </w:r>
            <w:r>
              <w:rPr>
                <w:rFonts w:hint="eastAsia" w:ascii="Times New Roman" w:hAnsi="Times New Roman" w:eastAsia="宋体" w:cs="Times New Roman"/>
                <w:bCs/>
                <w:sz w:val="24"/>
              </w:rPr>
              <w:t>《城镇污水处理厂污染物排放标准》（GB18918-2002）中一级A标准，尾水</w:t>
            </w:r>
            <w:r>
              <w:rPr>
                <w:rFonts w:hint="default" w:ascii="Times New Roman" w:hAnsi="Times New Roman" w:eastAsia="宋体" w:cs="Times New Roman"/>
                <w:sz w:val="24"/>
                <w:szCs w:val="24"/>
              </w:rPr>
              <w:t>经建湾渠排入高塘湖，最终汇入淮河</w:t>
            </w:r>
            <w:r>
              <w:rPr>
                <w:rFonts w:hint="eastAsia" w:ascii="Times New Roman" w:hAnsi="宋体" w:eastAsia="宋体" w:cs="Times New Roman"/>
                <w:bCs/>
                <w:sz w:val="24"/>
                <w:szCs w:val="24"/>
              </w:rPr>
              <w:t>。</w:t>
            </w:r>
            <w:r>
              <w:rPr>
                <w:rFonts w:hint="eastAsia" w:ascii="Times New Roman" w:hAnsi="宋体" w:eastAsia="宋体" w:cs="Times New Roman"/>
                <w:bCs/>
                <w:spacing w:val="-1"/>
                <w:kern w:val="0"/>
                <w:sz w:val="24"/>
                <w:szCs w:val="24"/>
              </w:rPr>
              <w:t>项目废水排放标准见下表。</w:t>
            </w:r>
          </w:p>
          <w:p w14:paraId="45DA064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s="Times New Roman"/>
                <w:bCs/>
                <w:spacing w:val="-1"/>
                <w:kern w:val="0"/>
                <w:sz w:val="24"/>
                <w:szCs w:val="24"/>
              </w:rPr>
            </w:pPr>
            <w:r>
              <w:rPr>
                <w:rFonts w:hint="default" w:ascii="Times New Roman" w:hAnsi="Times New Roman" w:eastAsia="黑体" w:cs="Times New Roman"/>
                <w:sz w:val="24"/>
                <w:szCs w:val="24"/>
              </w:rPr>
              <w:t>表3</w:t>
            </w:r>
            <w:r>
              <w:rPr>
                <w:rFonts w:hint="eastAsia" w:ascii="Times New Roman" w:hAnsi="Times New Roman" w:eastAsia="黑体" w:cs="Times New Roman"/>
                <w:sz w:val="24"/>
                <w:szCs w:val="24"/>
              </w:rPr>
              <w:t>-</w:t>
            </w:r>
            <w:r>
              <w:rPr>
                <w:rFonts w:hint="eastAsia" w:ascii="Times New Roman" w:hAnsi="Times New Roman" w:eastAsia="黑体" w:cs="Times New Roman"/>
                <w:sz w:val="24"/>
                <w:szCs w:val="24"/>
                <w:lang w:val="en-US" w:eastAsia="zh-CN"/>
              </w:rPr>
              <w:t xml:space="preserve">6 </w:t>
            </w:r>
            <w:r>
              <w:rPr>
                <w:rFonts w:hint="eastAsia" w:ascii="Times New Roman" w:hAnsi="Times New Roman" w:eastAsia="黑体" w:cs="Times New Roman"/>
                <w:sz w:val="24"/>
                <w:szCs w:val="24"/>
              </w:rPr>
              <w:t xml:space="preserve"> </w:t>
            </w:r>
            <w:r>
              <w:rPr>
                <w:rFonts w:hint="default" w:ascii="Times New Roman" w:hAnsi="Times New Roman" w:eastAsia="黑体" w:cs="Times New Roman"/>
                <w:sz w:val="24"/>
                <w:szCs w:val="24"/>
              </w:rPr>
              <w:t>污水排放标准</w:t>
            </w:r>
            <w:r>
              <w:rPr>
                <w:rFonts w:hint="eastAsia" w:ascii="Times New Roman" w:hAnsi="Times New Roman" w:eastAsia="黑体" w:cs="Times New Roman"/>
                <w:sz w:val="24"/>
                <w:szCs w:val="24"/>
              </w:rPr>
              <w:t xml:space="preserve">   </w:t>
            </w:r>
            <w:r>
              <w:rPr>
                <w:rFonts w:hint="default" w:ascii="Times New Roman" w:hAnsi="Times New Roman" w:eastAsia="黑体" w:cs="Times New Roman"/>
                <w:sz w:val="24"/>
                <w:szCs w:val="24"/>
              </w:rPr>
              <w:t>单位</w:t>
            </w:r>
            <w:r>
              <w:rPr>
                <w:rFonts w:hint="eastAsia" w:ascii="Times New Roman" w:hAnsi="Times New Roman" w:eastAsia="黑体" w:cs="Times New Roman"/>
                <w:sz w:val="24"/>
                <w:szCs w:val="24"/>
              </w:rPr>
              <w:t>：</w:t>
            </w:r>
            <w:r>
              <w:rPr>
                <w:rFonts w:hint="default" w:ascii="Times New Roman" w:hAnsi="Times New Roman" w:eastAsia="黑体" w:cs="Times New Roman"/>
                <w:sz w:val="24"/>
                <w:szCs w:val="24"/>
              </w:rPr>
              <w:t>mg/L，pH</w:t>
            </w:r>
            <w:r>
              <w:rPr>
                <w:rFonts w:hint="eastAsia" w:ascii="Times New Roman" w:hAnsi="Times New Roman" w:eastAsia="黑体" w:cs="Times New Roman"/>
                <w:sz w:val="24"/>
                <w:szCs w:val="24"/>
              </w:rPr>
              <w:t>无量纲</w:t>
            </w:r>
          </w:p>
          <w:tbl>
            <w:tblPr>
              <w:tblStyle w:val="17"/>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1200"/>
              <w:gridCol w:w="1836"/>
              <w:gridCol w:w="1375"/>
              <w:gridCol w:w="2864"/>
            </w:tblGrid>
            <w:tr w14:paraId="7A28E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365" w:type="pct"/>
                  <w:shd w:val="clear" w:color="auto" w:fill="auto"/>
                  <w:vAlign w:val="center"/>
                </w:tcPr>
                <w:p w14:paraId="58F0C5F6">
                  <w:pPr>
                    <w:pStyle w:val="6"/>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default" w:ascii="Times New Roman" w:cs="Times New Roman"/>
                      <w:b/>
                      <w:szCs w:val="21"/>
                    </w:rPr>
                    <w:t>序号</w:t>
                  </w:r>
                </w:p>
              </w:tc>
              <w:tc>
                <w:tcPr>
                  <w:tcW w:w="764" w:type="pct"/>
                  <w:shd w:val="clear" w:color="auto" w:fill="auto"/>
                  <w:vAlign w:val="center"/>
                </w:tcPr>
                <w:p w14:paraId="3D303B80">
                  <w:pPr>
                    <w:pStyle w:val="6"/>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default" w:ascii="Times New Roman" w:cs="Times New Roman"/>
                      <w:b/>
                      <w:szCs w:val="21"/>
                    </w:rPr>
                    <w:t>污染物项目</w:t>
                  </w:r>
                </w:p>
              </w:tc>
              <w:tc>
                <w:tcPr>
                  <w:tcW w:w="1169" w:type="pct"/>
                  <w:shd w:val="clear" w:color="auto" w:fill="auto"/>
                  <w:vAlign w:val="center"/>
                </w:tcPr>
                <w:p w14:paraId="2063A747">
                  <w:pPr>
                    <w:pStyle w:val="6"/>
                    <w:keepNext w:val="0"/>
                    <w:keepLines w:val="0"/>
                    <w:suppressLineNumbers w:val="0"/>
                    <w:spacing w:before="0" w:beforeAutospacing="0" w:after="0" w:afterAutospacing="0" w:line="276" w:lineRule="auto"/>
                    <w:ind w:left="0" w:right="0"/>
                    <w:jc w:val="center"/>
                    <w:rPr>
                      <w:rFonts w:hint="default" w:ascii="Times New Roman" w:hAnsi="Times New Roman" w:cs="Times New Roman"/>
                      <w:b/>
                    </w:rPr>
                  </w:pPr>
                  <w:r>
                    <w:rPr>
                      <w:rFonts w:hint="default" w:ascii="Times New Roman" w:cs="Times New Roman"/>
                      <w:b/>
                    </w:rPr>
                    <w:t>山南新区污水处理厂接管限值</w:t>
                  </w:r>
                </w:p>
              </w:tc>
              <w:tc>
                <w:tcPr>
                  <w:tcW w:w="876" w:type="pct"/>
                  <w:shd w:val="clear" w:color="auto" w:fill="D9D9D9"/>
                  <w:vAlign w:val="center"/>
                </w:tcPr>
                <w:p w14:paraId="061A6C55">
                  <w:pPr>
                    <w:pStyle w:val="6"/>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default" w:ascii="Times New Roman" w:cs="Times New Roman"/>
                      <w:b/>
                      <w:szCs w:val="21"/>
                    </w:rPr>
                    <w:t>本项目执行标准</w:t>
                  </w:r>
                </w:p>
              </w:tc>
              <w:tc>
                <w:tcPr>
                  <w:tcW w:w="1824" w:type="pct"/>
                  <w:vAlign w:val="center"/>
                </w:tcPr>
                <w:p w14:paraId="4C4F40CE">
                  <w:pPr>
                    <w:pStyle w:val="6"/>
                    <w:keepNext w:val="0"/>
                    <w:keepLines w:val="0"/>
                    <w:suppressLineNumbers w:val="0"/>
                    <w:spacing w:before="0" w:beforeAutospacing="0" w:after="0" w:afterAutospacing="0" w:line="276" w:lineRule="auto"/>
                    <w:ind w:left="0" w:right="0"/>
                    <w:jc w:val="center"/>
                    <w:rPr>
                      <w:rFonts w:hint="default" w:ascii="Times New Roman" w:hAnsi="Times New Roman" w:cs="Times New Roman"/>
                      <w:b/>
                    </w:rPr>
                  </w:pPr>
                  <w:r>
                    <w:rPr>
                      <w:rFonts w:hint="default" w:ascii="Times New Roman" w:cs="Times New Roman"/>
                      <w:b/>
                      <w:szCs w:val="21"/>
                    </w:rPr>
                    <w:t>山南新区污水处理厂尾水排放标准（</w:t>
                  </w:r>
                  <w:r>
                    <w:rPr>
                      <w:rFonts w:hint="default" w:ascii="Times New Roman" w:hAnsi="Times New Roman" w:cs="Times New Roman"/>
                      <w:b/>
                      <w:szCs w:val="21"/>
                    </w:rPr>
                    <w:t>GB18918-2002</w:t>
                  </w:r>
                  <w:r>
                    <w:rPr>
                      <w:rFonts w:hint="eastAsia" w:ascii="Times New Roman" w:hAnsi="Times New Roman" w:cs="Times New Roman"/>
                      <w:b/>
                      <w:szCs w:val="21"/>
                    </w:rPr>
                    <w:t>）</w:t>
                  </w:r>
                  <w:r>
                    <w:rPr>
                      <w:rFonts w:hint="default" w:ascii="Times New Roman" w:cs="Times New Roman"/>
                      <w:b/>
                      <w:szCs w:val="21"/>
                    </w:rPr>
                    <w:t>中一级</w:t>
                  </w:r>
                  <w:r>
                    <w:rPr>
                      <w:rFonts w:hint="default" w:ascii="Times New Roman" w:hAnsi="Times New Roman" w:cs="Times New Roman"/>
                      <w:b/>
                      <w:szCs w:val="21"/>
                    </w:rPr>
                    <w:t>A</w:t>
                  </w:r>
                  <w:r>
                    <w:rPr>
                      <w:rFonts w:hint="default" w:ascii="Times New Roman" w:cs="Times New Roman"/>
                      <w:b/>
                      <w:szCs w:val="21"/>
                    </w:rPr>
                    <w:t>标准</w:t>
                  </w:r>
                </w:p>
              </w:tc>
            </w:tr>
            <w:tr w14:paraId="62207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365" w:type="pct"/>
                  <w:shd w:val="clear" w:color="auto" w:fill="auto"/>
                  <w:vAlign w:val="center"/>
                </w:tcPr>
                <w:p w14:paraId="00D17531">
                  <w:pPr>
                    <w:pStyle w:val="6"/>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szCs w:val="21"/>
                    </w:rPr>
                    <w:t>1</w:t>
                  </w:r>
                </w:p>
              </w:tc>
              <w:tc>
                <w:tcPr>
                  <w:tcW w:w="764" w:type="pct"/>
                  <w:shd w:val="clear" w:color="auto" w:fill="auto"/>
                  <w:vAlign w:val="center"/>
                </w:tcPr>
                <w:p w14:paraId="1EBBB21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bCs/>
                      <w:szCs w:val="21"/>
                    </w:rPr>
                    <w:t>pH</w:t>
                  </w:r>
                </w:p>
              </w:tc>
              <w:tc>
                <w:tcPr>
                  <w:tcW w:w="1169" w:type="pct"/>
                  <w:shd w:val="clear" w:color="auto" w:fill="auto"/>
                  <w:vAlign w:val="center"/>
                </w:tcPr>
                <w:p w14:paraId="3C8B845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6~9</w:t>
                  </w:r>
                </w:p>
              </w:tc>
              <w:tc>
                <w:tcPr>
                  <w:tcW w:w="876" w:type="pct"/>
                  <w:shd w:val="clear" w:color="auto" w:fill="D9D9D9"/>
                  <w:vAlign w:val="center"/>
                </w:tcPr>
                <w:p w14:paraId="6C25347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6~9</w:t>
                  </w:r>
                </w:p>
              </w:tc>
              <w:tc>
                <w:tcPr>
                  <w:tcW w:w="1824" w:type="pct"/>
                  <w:vAlign w:val="center"/>
                </w:tcPr>
                <w:p w14:paraId="02F5C83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6~9</w:t>
                  </w:r>
                </w:p>
              </w:tc>
            </w:tr>
            <w:tr w14:paraId="1B850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 w:type="pct"/>
                  <w:shd w:val="clear" w:color="auto" w:fill="auto"/>
                  <w:vAlign w:val="center"/>
                </w:tcPr>
                <w:p w14:paraId="2D68652B">
                  <w:pPr>
                    <w:pStyle w:val="6"/>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szCs w:val="21"/>
                    </w:rPr>
                    <w:t>2</w:t>
                  </w:r>
                </w:p>
              </w:tc>
              <w:tc>
                <w:tcPr>
                  <w:tcW w:w="764" w:type="pct"/>
                  <w:shd w:val="clear" w:color="auto" w:fill="auto"/>
                  <w:vAlign w:val="center"/>
                </w:tcPr>
                <w:p w14:paraId="35B3CBC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kern w:val="0"/>
                      <w:szCs w:val="21"/>
                    </w:rPr>
                    <w:t>COD</w:t>
                  </w:r>
                </w:p>
              </w:tc>
              <w:tc>
                <w:tcPr>
                  <w:tcW w:w="1169" w:type="pct"/>
                  <w:shd w:val="clear" w:color="auto" w:fill="auto"/>
                  <w:vAlign w:val="center"/>
                </w:tcPr>
                <w:p w14:paraId="067FD84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350</w:t>
                  </w:r>
                </w:p>
              </w:tc>
              <w:tc>
                <w:tcPr>
                  <w:tcW w:w="876" w:type="pct"/>
                  <w:shd w:val="clear" w:color="auto" w:fill="D9D9D9"/>
                  <w:vAlign w:val="center"/>
                </w:tcPr>
                <w:p w14:paraId="21B1E2C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350</w:t>
                  </w:r>
                </w:p>
              </w:tc>
              <w:tc>
                <w:tcPr>
                  <w:tcW w:w="1824" w:type="pct"/>
                  <w:vAlign w:val="center"/>
                </w:tcPr>
                <w:p w14:paraId="783FB682">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50</w:t>
                  </w:r>
                </w:p>
              </w:tc>
            </w:tr>
            <w:tr w14:paraId="0A8D0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 w:type="pct"/>
                  <w:shd w:val="clear" w:color="auto" w:fill="auto"/>
                  <w:vAlign w:val="center"/>
                </w:tcPr>
                <w:p w14:paraId="3F039AFD">
                  <w:pPr>
                    <w:pStyle w:val="6"/>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szCs w:val="21"/>
                    </w:rPr>
                    <w:t>3</w:t>
                  </w:r>
                </w:p>
              </w:tc>
              <w:tc>
                <w:tcPr>
                  <w:tcW w:w="764" w:type="pct"/>
                  <w:shd w:val="clear" w:color="auto" w:fill="auto"/>
                  <w:vAlign w:val="center"/>
                </w:tcPr>
                <w:p w14:paraId="1575EDB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BOD</w:t>
                  </w:r>
                  <w:r>
                    <w:rPr>
                      <w:rFonts w:hint="default" w:ascii="Times New Roman" w:hAnsi="Times New Roman" w:cs="Times New Roman"/>
                      <w:bCs/>
                      <w:szCs w:val="21"/>
                      <w:vertAlign w:val="subscript"/>
                    </w:rPr>
                    <w:t>5</w:t>
                  </w:r>
                </w:p>
              </w:tc>
              <w:tc>
                <w:tcPr>
                  <w:tcW w:w="1169" w:type="pct"/>
                  <w:shd w:val="clear" w:color="auto" w:fill="auto"/>
                  <w:vAlign w:val="center"/>
                </w:tcPr>
                <w:p w14:paraId="002BF0B2">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300</w:t>
                  </w:r>
                </w:p>
              </w:tc>
              <w:tc>
                <w:tcPr>
                  <w:tcW w:w="876" w:type="pct"/>
                  <w:shd w:val="clear" w:color="auto" w:fill="D9D9D9"/>
                  <w:vAlign w:val="center"/>
                </w:tcPr>
                <w:p w14:paraId="2F931D2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300</w:t>
                  </w:r>
                </w:p>
              </w:tc>
              <w:tc>
                <w:tcPr>
                  <w:tcW w:w="1824" w:type="pct"/>
                  <w:vAlign w:val="center"/>
                </w:tcPr>
                <w:p w14:paraId="5EB6262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10</w:t>
                  </w:r>
                </w:p>
              </w:tc>
            </w:tr>
            <w:tr w14:paraId="3AE25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365" w:type="pct"/>
                  <w:shd w:val="clear" w:color="auto" w:fill="auto"/>
                  <w:vAlign w:val="center"/>
                </w:tcPr>
                <w:p w14:paraId="7B3E9507">
                  <w:pPr>
                    <w:pStyle w:val="6"/>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szCs w:val="21"/>
                    </w:rPr>
                    <w:t>4</w:t>
                  </w:r>
                </w:p>
              </w:tc>
              <w:tc>
                <w:tcPr>
                  <w:tcW w:w="764" w:type="pct"/>
                  <w:shd w:val="clear" w:color="auto" w:fill="auto"/>
                  <w:vAlign w:val="center"/>
                </w:tcPr>
                <w:p w14:paraId="1AFA5F6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SS</w:t>
                  </w:r>
                </w:p>
              </w:tc>
              <w:tc>
                <w:tcPr>
                  <w:tcW w:w="1169" w:type="pct"/>
                  <w:shd w:val="clear" w:color="auto" w:fill="auto"/>
                  <w:vAlign w:val="center"/>
                </w:tcPr>
                <w:p w14:paraId="62BB1E7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400</w:t>
                  </w:r>
                </w:p>
              </w:tc>
              <w:tc>
                <w:tcPr>
                  <w:tcW w:w="876" w:type="pct"/>
                  <w:shd w:val="clear" w:color="auto" w:fill="D9D9D9"/>
                  <w:vAlign w:val="center"/>
                </w:tcPr>
                <w:p w14:paraId="7715A0E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400</w:t>
                  </w:r>
                </w:p>
              </w:tc>
              <w:tc>
                <w:tcPr>
                  <w:tcW w:w="1824" w:type="pct"/>
                  <w:vAlign w:val="center"/>
                </w:tcPr>
                <w:p w14:paraId="1AC1115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10</w:t>
                  </w:r>
                </w:p>
              </w:tc>
            </w:tr>
            <w:tr w14:paraId="6ED87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 w:type="pct"/>
                  <w:shd w:val="clear" w:color="auto" w:fill="auto"/>
                  <w:vAlign w:val="center"/>
                </w:tcPr>
                <w:p w14:paraId="33560CAC">
                  <w:pPr>
                    <w:pStyle w:val="6"/>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szCs w:val="21"/>
                    </w:rPr>
                    <w:t>5</w:t>
                  </w:r>
                </w:p>
              </w:tc>
              <w:tc>
                <w:tcPr>
                  <w:tcW w:w="764" w:type="pct"/>
                  <w:shd w:val="clear" w:color="auto" w:fill="auto"/>
                  <w:vAlign w:val="center"/>
                </w:tcPr>
                <w:p w14:paraId="1D28733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bCs/>
                      <w:szCs w:val="21"/>
                    </w:rPr>
                    <w:t>NH</w:t>
                  </w:r>
                  <w:r>
                    <w:rPr>
                      <w:rFonts w:hint="default" w:ascii="Times New Roman" w:hAnsi="Times New Roman" w:cs="Times New Roman"/>
                      <w:bCs/>
                      <w:szCs w:val="21"/>
                      <w:vertAlign w:val="subscript"/>
                    </w:rPr>
                    <w:t>3</w:t>
                  </w:r>
                  <w:r>
                    <w:rPr>
                      <w:rFonts w:hint="default" w:ascii="Times New Roman" w:hAnsi="Times New Roman" w:cs="Times New Roman"/>
                      <w:bCs/>
                      <w:szCs w:val="21"/>
                    </w:rPr>
                    <w:t>-N</w:t>
                  </w:r>
                </w:p>
              </w:tc>
              <w:tc>
                <w:tcPr>
                  <w:tcW w:w="1169" w:type="pct"/>
                  <w:shd w:val="clear" w:color="auto" w:fill="auto"/>
                  <w:vAlign w:val="center"/>
                </w:tcPr>
                <w:p w14:paraId="35B7279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35</w:t>
                  </w:r>
                </w:p>
              </w:tc>
              <w:tc>
                <w:tcPr>
                  <w:tcW w:w="876" w:type="pct"/>
                  <w:shd w:val="clear" w:color="auto" w:fill="D9D9D9"/>
                  <w:vAlign w:val="center"/>
                </w:tcPr>
                <w:p w14:paraId="01D1D82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35</w:t>
                  </w:r>
                </w:p>
              </w:tc>
              <w:tc>
                <w:tcPr>
                  <w:tcW w:w="1824" w:type="pct"/>
                  <w:vAlign w:val="center"/>
                </w:tcPr>
                <w:p w14:paraId="323459B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5（8）</w:t>
                  </w:r>
                </w:p>
              </w:tc>
            </w:tr>
            <w:tr w14:paraId="2FAAA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 w:type="pct"/>
                  <w:shd w:val="clear" w:color="auto" w:fill="auto"/>
                  <w:vAlign w:val="center"/>
                </w:tcPr>
                <w:p w14:paraId="1C37C48E">
                  <w:pPr>
                    <w:pStyle w:val="6"/>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6</w:t>
                  </w:r>
                </w:p>
              </w:tc>
              <w:tc>
                <w:tcPr>
                  <w:tcW w:w="764" w:type="pct"/>
                  <w:shd w:val="clear" w:color="auto" w:fill="auto"/>
                  <w:vAlign w:val="center"/>
                </w:tcPr>
                <w:p w14:paraId="3F3FE33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粪大肠菌群数</w:t>
                  </w:r>
                </w:p>
              </w:tc>
              <w:tc>
                <w:tcPr>
                  <w:tcW w:w="1169" w:type="pct"/>
                  <w:shd w:val="clear" w:color="auto" w:fill="auto"/>
                  <w:vAlign w:val="center"/>
                </w:tcPr>
                <w:p w14:paraId="38C86DC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5000个/L</w:t>
                  </w:r>
                </w:p>
              </w:tc>
              <w:tc>
                <w:tcPr>
                  <w:tcW w:w="876" w:type="pct"/>
                  <w:shd w:val="clear" w:color="auto" w:fill="D9D9D9"/>
                  <w:vAlign w:val="center"/>
                </w:tcPr>
                <w:p w14:paraId="7A492F3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cs="Times New Roman"/>
                      <w:bCs/>
                      <w:szCs w:val="21"/>
                      <w:lang w:val="en-US" w:eastAsia="zh-CN"/>
                    </w:rPr>
                    <w:t>5000个/L</w:t>
                  </w:r>
                </w:p>
              </w:tc>
              <w:tc>
                <w:tcPr>
                  <w:tcW w:w="1824" w:type="pct"/>
                  <w:vAlign w:val="center"/>
                </w:tcPr>
                <w:p w14:paraId="4321510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1000个/L</w:t>
                  </w:r>
                </w:p>
              </w:tc>
            </w:tr>
          </w:tbl>
          <w:p w14:paraId="1975C256">
            <w:pPr>
              <w:keepNext w:val="0"/>
              <w:keepLines w:val="0"/>
              <w:suppressLineNumbers w:val="0"/>
              <w:spacing w:before="0" w:beforeAutospacing="0" w:after="0" w:afterAutospacing="0" w:line="360" w:lineRule="auto"/>
              <w:ind w:left="0" w:right="0" w:firstLine="472" w:firstLineChars="196"/>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3、噪声</w:t>
            </w:r>
          </w:p>
          <w:p w14:paraId="49394F5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本项目营运期各厂界噪声排放执行《工业企业厂界环境噪声排放标准》（GB12348-2008）中3类标准</w:t>
            </w:r>
            <w:r>
              <w:rPr>
                <w:rFonts w:hint="default" w:ascii="Times New Roman" w:hAnsi="Times New Roman" w:eastAsia="宋体" w:cs="Times New Roman"/>
                <w:bCs/>
                <w:sz w:val="24"/>
              </w:rPr>
              <w:t>，标准值</w:t>
            </w:r>
            <w:r>
              <w:rPr>
                <w:rFonts w:hint="default" w:ascii="Times New Roman" w:hAnsi="Times New Roman" w:eastAsia="宋体" w:cs="Times New Roman"/>
                <w:bCs/>
                <w:kern w:val="0"/>
                <w:sz w:val="24"/>
                <w:szCs w:val="24"/>
              </w:rPr>
              <w:t>详见下表。</w:t>
            </w:r>
          </w:p>
          <w:p w14:paraId="46AAA4AC">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kern w:val="0"/>
                <w:sz w:val="24"/>
                <w:szCs w:val="24"/>
                <w:lang w:val="en-US" w:eastAsia="zh-CN"/>
              </w:rPr>
            </w:pPr>
            <w:r>
              <w:rPr>
                <w:rFonts w:hint="default" w:ascii="Times New Roman" w:hAnsi="Times New Roman" w:eastAsia="黑体" w:cs="Times New Roman"/>
                <w:bCs/>
                <w:kern w:val="0"/>
                <w:sz w:val="24"/>
                <w:szCs w:val="24"/>
              </w:rPr>
              <w:t>表3-</w:t>
            </w:r>
            <w:r>
              <w:rPr>
                <w:rFonts w:hint="eastAsia" w:ascii="Times New Roman" w:hAnsi="Times New Roman" w:eastAsia="黑体" w:cs="Times New Roman"/>
                <w:bCs/>
                <w:kern w:val="0"/>
                <w:sz w:val="24"/>
                <w:szCs w:val="24"/>
                <w:lang w:val="en-US" w:eastAsia="zh-CN"/>
              </w:rPr>
              <w:t>7</w:t>
            </w:r>
            <w:r>
              <w:rPr>
                <w:rFonts w:hint="eastAsia" w:ascii="Times New Roman" w:hAnsi="Times New Roman" w:eastAsia="黑体" w:cs="Times New Roman"/>
                <w:bCs/>
                <w:kern w:val="0"/>
                <w:sz w:val="24"/>
                <w:szCs w:val="24"/>
              </w:rPr>
              <w:t xml:space="preserve">  </w:t>
            </w:r>
            <w:r>
              <w:rPr>
                <w:rFonts w:hint="default" w:ascii="Times New Roman" w:hAnsi="Times New Roman" w:eastAsia="黑体" w:cs="Times New Roman"/>
                <w:bCs/>
                <w:kern w:val="0"/>
                <w:sz w:val="24"/>
                <w:szCs w:val="24"/>
              </w:rPr>
              <w:t>工业企业厂界环境噪声排放标准</w:t>
            </w:r>
            <w:r>
              <w:rPr>
                <w:rFonts w:hint="eastAsia" w:ascii="Times New Roman" w:hAnsi="Times New Roman" w:eastAsia="黑体" w:cs="Times New Roman"/>
                <w:bCs/>
                <w:kern w:val="0"/>
                <w:sz w:val="24"/>
                <w:szCs w:val="24"/>
                <w:lang w:val="en-US" w:eastAsia="zh-CN"/>
              </w:rPr>
              <w:t xml:space="preserve">   单位：dB（A）</w:t>
            </w:r>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26"/>
              <w:gridCol w:w="3519"/>
            </w:tblGrid>
            <w:tr w14:paraId="74ACE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7" w:type="pct"/>
                  <w:vMerge w:val="restart"/>
                  <w:vAlign w:val="center"/>
                </w:tcPr>
                <w:p w14:paraId="0A5F396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标准名称</w:t>
                  </w:r>
                </w:p>
              </w:tc>
              <w:tc>
                <w:tcPr>
                  <w:tcW w:w="2242" w:type="pct"/>
                  <w:vAlign w:val="center"/>
                </w:tcPr>
                <w:p w14:paraId="14A876A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标准值</w:t>
                  </w:r>
                </w:p>
              </w:tc>
            </w:tr>
            <w:tr w14:paraId="0B97F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7" w:type="pct"/>
                  <w:vMerge w:val="continue"/>
                  <w:vAlign w:val="center"/>
                </w:tcPr>
                <w:p w14:paraId="0BD7603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p>
              </w:tc>
              <w:tc>
                <w:tcPr>
                  <w:tcW w:w="2242" w:type="pct"/>
                  <w:vAlign w:val="center"/>
                </w:tcPr>
                <w:p w14:paraId="5B2E857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昼间</w:t>
                  </w:r>
                </w:p>
              </w:tc>
            </w:tr>
            <w:tr w14:paraId="3AE9F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7" w:type="pct"/>
                  <w:vAlign w:val="center"/>
                </w:tcPr>
                <w:p w14:paraId="3E70DDA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（GB12348-2008）中3类标准</w:t>
                  </w:r>
                </w:p>
              </w:tc>
              <w:tc>
                <w:tcPr>
                  <w:tcW w:w="2242" w:type="pct"/>
                  <w:vAlign w:val="center"/>
                </w:tcPr>
                <w:p w14:paraId="22A48F4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65</w:t>
                  </w:r>
                </w:p>
              </w:tc>
            </w:tr>
          </w:tbl>
          <w:p w14:paraId="1908FC75">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4、固体废物</w:t>
            </w:r>
          </w:p>
          <w:p w14:paraId="7630A1C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kern w:val="0"/>
                <w:sz w:val="24"/>
                <w:szCs w:val="24"/>
              </w:rPr>
            </w:pPr>
            <w:r>
              <w:rPr>
                <w:rFonts w:hint="default" w:ascii="Times New Roman" w:hAnsi="Times New Roman" w:cs="Times New Roman"/>
                <w:snapToGrid w:val="0"/>
                <w:kern w:val="0"/>
                <w:sz w:val="24"/>
              </w:rPr>
              <w:t>按照《中华人民共和国固体废物污染环境防治法》的要求，固体废物要妥善处置，不得形成二次污染。一般工业固体废物贮存、处置参照执行《一般工业固体废物贮存和填埋污染控制标准》（GB18599-2020）；危险废物贮存执行《危险废物贮存污染控制标准》（GB18597-2023）。</w:t>
            </w:r>
          </w:p>
          <w:p w14:paraId="55F6A25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kern w:val="0"/>
                <w:sz w:val="24"/>
                <w:szCs w:val="24"/>
              </w:rPr>
            </w:pPr>
          </w:p>
          <w:p w14:paraId="25D664C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kern w:val="0"/>
                <w:sz w:val="24"/>
                <w:szCs w:val="24"/>
              </w:rPr>
            </w:pPr>
          </w:p>
          <w:p w14:paraId="7818A75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kern w:val="0"/>
                <w:sz w:val="24"/>
                <w:szCs w:val="24"/>
              </w:rPr>
            </w:pPr>
          </w:p>
          <w:p w14:paraId="7007D5A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kern w:val="0"/>
                <w:sz w:val="24"/>
                <w:szCs w:val="24"/>
              </w:rPr>
            </w:pPr>
          </w:p>
          <w:p w14:paraId="32767715">
            <w:pPr>
              <w:keepNext w:val="0"/>
              <w:keepLines w:val="0"/>
              <w:suppressLineNumbers w:val="0"/>
              <w:spacing w:before="0" w:beforeAutospacing="0" w:after="0" w:afterAutospacing="0" w:line="360" w:lineRule="auto"/>
              <w:ind w:left="0" w:right="0"/>
              <w:jc w:val="left"/>
              <w:rPr>
                <w:rFonts w:hint="default" w:ascii="Times New Roman" w:hAnsi="Times New Roman" w:cs="Times New Roman"/>
                <w:snapToGrid w:val="0"/>
                <w:kern w:val="0"/>
                <w:sz w:val="24"/>
              </w:rPr>
            </w:pPr>
          </w:p>
        </w:tc>
      </w:tr>
    </w:tbl>
    <w:p w14:paraId="70BBCE45">
      <w:pPr>
        <w:jc w:val="center"/>
        <w:rPr>
          <w:rFonts w:ascii="Times New Roman" w:hAnsi="Times New Roman" w:eastAsia="宋体" w:cs="宋体"/>
          <w:bCs/>
          <w:sz w:val="24"/>
          <w:szCs w:val="24"/>
        </w:rPr>
        <w:sectPr>
          <w:pgSz w:w="11906" w:h="16838"/>
          <w:pgMar w:top="1440" w:right="1800" w:bottom="1440" w:left="1800" w:header="851" w:footer="992" w:gutter="0"/>
          <w:cols w:space="425" w:num="1"/>
          <w:docGrid w:type="lines" w:linePitch="312" w:charSpace="0"/>
        </w:sectPr>
      </w:pPr>
    </w:p>
    <w:tbl>
      <w:tblPr>
        <w:tblStyle w:val="1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3"/>
      </w:tblGrid>
      <w:tr w14:paraId="28CD0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3" w:hRule="atLeast"/>
          <w:jc w:val="center"/>
        </w:trPr>
        <w:tc>
          <w:tcPr>
            <w:tcW w:w="268" w:type="pct"/>
            <w:vAlign w:val="center"/>
          </w:tcPr>
          <w:p w14:paraId="487522D9">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总量</w:t>
            </w:r>
          </w:p>
          <w:p w14:paraId="2CBD6D91">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控制</w:t>
            </w:r>
          </w:p>
          <w:p w14:paraId="485F0AB9">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kern w:val="0"/>
                <w:szCs w:val="21"/>
              </w:rPr>
            </w:pPr>
            <w:r>
              <w:rPr>
                <w:rFonts w:hint="eastAsia" w:ascii="Times New Roman" w:hAnsi="Times New Roman" w:eastAsia="宋体" w:cs="宋体"/>
                <w:bCs/>
                <w:sz w:val="24"/>
                <w:szCs w:val="24"/>
              </w:rPr>
              <w:t>指标</w:t>
            </w:r>
          </w:p>
        </w:tc>
        <w:tc>
          <w:tcPr>
            <w:tcW w:w="4732" w:type="pct"/>
          </w:tcPr>
          <w:p w14:paraId="6F9F5566">
            <w:pPr>
              <w:keepNext w:val="0"/>
              <w:keepLines w:val="0"/>
              <w:suppressLineNumbers w:val="0"/>
              <w:spacing w:before="0" w:beforeAutospacing="0" w:after="0" w:afterAutospacing="0" w:line="360" w:lineRule="auto"/>
              <w:ind w:left="0" w:right="0" w:firstLine="480" w:firstLineChars="200"/>
              <w:rPr>
                <w:rFonts w:hint="default" w:ascii="Times New Roman" w:hAnsi="宋体" w:eastAsia="宋体" w:cs="Times New Roman"/>
                <w:kern w:val="0"/>
                <w:sz w:val="24"/>
                <w:szCs w:val="20"/>
              </w:rPr>
            </w:pPr>
            <w:r>
              <w:rPr>
                <w:rFonts w:hint="default" w:ascii="Times New Roman" w:hAnsi="Times New Roman"/>
                <w:snapToGrid w:val="0"/>
                <w:kern w:val="0"/>
                <w:sz w:val="24"/>
              </w:rPr>
              <w:t>根据安徽省生态环境厅安徽省发展和改革委员会关于印发《安徽省“十</w:t>
            </w:r>
            <w:r>
              <w:rPr>
                <w:rFonts w:hint="eastAsia" w:ascii="Times New Roman" w:hAnsi="Times New Roman"/>
                <w:snapToGrid w:val="0"/>
                <w:kern w:val="0"/>
                <w:sz w:val="24"/>
              </w:rPr>
              <w:t>四</w:t>
            </w:r>
            <w:r>
              <w:rPr>
                <w:rFonts w:hint="default" w:ascii="Times New Roman" w:hAnsi="Times New Roman"/>
                <w:snapToGrid w:val="0"/>
                <w:kern w:val="0"/>
                <w:sz w:val="24"/>
              </w:rPr>
              <w:t>五”生态环境保护规划》的通知中有关规定，目前需对化学需氧量（COD）、氨氮（NH</w:t>
            </w:r>
            <w:r>
              <w:rPr>
                <w:rFonts w:hint="default" w:ascii="Times New Roman" w:hAnsi="Times New Roman"/>
                <w:snapToGrid w:val="0"/>
                <w:kern w:val="0"/>
                <w:sz w:val="24"/>
                <w:vertAlign w:val="subscript"/>
              </w:rPr>
              <w:t>3</w:t>
            </w:r>
            <w:r>
              <w:rPr>
                <w:rFonts w:hint="default" w:ascii="Times New Roman" w:hAnsi="Times New Roman"/>
                <w:snapToGrid w:val="0"/>
                <w:kern w:val="0"/>
                <w:sz w:val="24"/>
              </w:rPr>
              <w:t>-N）、氮氧化物（NOx）、挥发性有机物（VOCs）实行排放总量控制计划管理。</w:t>
            </w:r>
            <w:r>
              <w:rPr>
                <w:rFonts w:hint="eastAsia" w:ascii="Times New Roman" w:hAnsi="Times New Roman"/>
                <w:snapToGrid w:val="0"/>
                <w:kern w:val="0"/>
                <w:sz w:val="24"/>
              </w:rPr>
              <w:t>根据《安徽省环保厅关于进一步加强建设项目新增大气主要污染物总量指标管理工作的通知》中有关规定，大气主要污染物总量指标从两项增加为四项，在SO</w:t>
            </w:r>
            <w:r>
              <w:rPr>
                <w:rFonts w:hint="eastAsia" w:ascii="Times New Roman" w:hAnsi="Times New Roman"/>
                <w:snapToGrid w:val="0"/>
                <w:kern w:val="0"/>
                <w:sz w:val="24"/>
                <w:vertAlign w:val="subscript"/>
              </w:rPr>
              <w:t>2</w:t>
            </w:r>
            <w:r>
              <w:rPr>
                <w:rFonts w:hint="eastAsia" w:ascii="Times New Roman" w:hAnsi="Times New Roman"/>
                <w:snapToGrid w:val="0"/>
                <w:kern w:val="0"/>
                <w:sz w:val="24"/>
              </w:rPr>
              <w:t>、NOx的基础上增加烟（粉）尘、挥发性有机物两项指标。</w:t>
            </w:r>
          </w:p>
          <w:p w14:paraId="72C00FD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0"/>
                <w:lang w:val="en-US" w:eastAsia="zh-CN"/>
              </w:rPr>
            </w:pPr>
            <w:r>
              <w:rPr>
                <w:rFonts w:hint="eastAsia" w:ascii="Times New Roman" w:hAnsi="Times New Roman" w:eastAsia="宋体" w:cs="Times New Roman"/>
                <w:kern w:val="0"/>
                <w:sz w:val="24"/>
                <w:szCs w:val="20"/>
              </w:rPr>
              <w:t>本项目</w:t>
            </w:r>
            <w:r>
              <w:rPr>
                <w:rFonts w:hint="eastAsia" w:ascii="Times New Roman" w:hAnsi="Times New Roman" w:eastAsia="宋体" w:cs="Times New Roman"/>
                <w:kern w:val="0"/>
                <w:sz w:val="24"/>
                <w:szCs w:val="20"/>
                <w:lang w:val="en-US" w:eastAsia="zh-CN"/>
              </w:rPr>
              <w:t>颗粒物、挥发性有机物（</w:t>
            </w:r>
            <w:r>
              <w:rPr>
                <w:rFonts w:hint="default" w:ascii="Times New Roman" w:hAnsi="Times New Roman"/>
                <w:snapToGrid w:val="0"/>
                <w:kern w:val="0"/>
                <w:sz w:val="24"/>
              </w:rPr>
              <w:t>VOCs</w:t>
            </w:r>
            <w:r>
              <w:rPr>
                <w:rFonts w:hint="eastAsia" w:ascii="Times New Roman" w:hAnsi="Times New Roman" w:eastAsia="宋体" w:cs="Times New Roman"/>
                <w:kern w:val="0"/>
                <w:sz w:val="24"/>
                <w:szCs w:val="20"/>
                <w:lang w:val="en-US" w:eastAsia="zh-CN"/>
              </w:rPr>
              <w:t>）排放量分别为0.0145t/a、0.5t/a</w:t>
            </w:r>
            <w:r>
              <w:rPr>
                <w:rFonts w:hint="eastAsia" w:ascii="Times New Roman" w:hAnsi="Times New Roman" w:eastAsia="宋体" w:cs="Times New Roman"/>
                <w:kern w:val="0"/>
                <w:sz w:val="24"/>
                <w:szCs w:val="20"/>
              </w:rPr>
              <w:t>。</w:t>
            </w:r>
            <w:r>
              <w:rPr>
                <w:rFonts w:hint="eastAsia" w:ascii="Times New Roman" w:hAnsi="Times New Roman" w:eastAsia="宋体" w:cs="Times New Roman"/>
                <w:kern w:val="0"/>
                <w:sz w:val="24"/>
                <w:szCs w:val="20"/>
                <w:lang w:val="en-US" w:eastAsia="zh-CN"/>
              </w:rPr>
              <w:t>具体总量指标由生态环境主管部门核定。</w:t>
            </w:r>
          </w:p>
          <w:p w14:paraId="13D6974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cs="Times New Roman"/>
                <w:snapToGrid w:val="0"/>
                <w:kern w:val="0"/>
                <w:sz w:val="24"/>
              </w:rPr>
              <w:t>废水：本项目废水</w:t>
            </w:r>
            <w:r>
              <w:rPr>
                <w:rFonts w:hint="eastAsia" w:ascii="Times New Roman" w:hAnsi="Times New Roman" w:cs="Times New Roman"/>
                <w:snapToGrid w:val="0"/>
                <w:kern w:val="0"/>
                <w:sz w:val="24"/>
              </w:rPr>
              <w:t>纳管至</w:t>
            </w:r>
            <w:r>
              <w:rPr>
                <w:rFonts w:hint="default" w:ascii="Times New Roman" w:hAnsi="Times New Roman" w:eastAsia="宋体" w:cs="Times New Roman"/>
                <w:sz w:val="24"/>
                <w:szCs w:val="24"/>
              </w:rPr>
              <w:t>山南新区污水处理厂</w:t>
            </w:r>
            <w:r>
              <w:rPr>
                <w:rFonts w:hint="eastAsia" w:ascii="Times New Roman" w:hAnsi="Times New Roman" w:eastAsia="宋体" w:cs="Times New Roman"/>
                <w:bCs/>
                <w:sz w:val="24"/>
              </w:rPr>
              <w:t>统一处理</w:t>
            </w:r>
            <w:r>
              <w:rPr>
                <w:rFonts w:hint="eastAsia" w:ascii="Times New Roman" w:hAnsi="Times New Roman" w:cs="Times New Roman"/>
                <w:snapToGrid w:val="0"/>
                <w:kern w:val="0"/>
                <w:sz w:val="24"/>
              </w:rPr>
              <w:t>，</w:t>
            </w:r>
            <w:r>
              <w:rPr>
                <w:rFonts w:hint="eastAsia" w:ascii="Times New Roman" w:hAnsi="Times New Roman" w:eastAsia="宋体" w:cs="Times New Roman"/>
                <w:bCs/>
                <w:sz w:val="24"/>
              </w:rPr>
              <w:t>尾水</w:t>
            </w:r>
            <w:r>
              <w:rPr>
                <w:rFonts w:hint="default" w:ascii="Times New Roman" w:hAnsi="Times New Roman" w:eastAsia="宋体" w:cs="Times New Roman"/>
                <w:sz w:val="24"/>
                <w:szCs w:val="24"/>
              </w:rPr>
              <w:t>经建湾渠排入高塘湖，最终汇入淮河</w:t>
            </w:r>
            <w:r>
              <w:rPr>
                <w:rFonts w:hint="eastAsia" w:ascii="Times New Roman" w:hAnsi="Times New Roman" w:cs="Times New Roman"/>
                <w:snapToGrid w:val="0"/>
                <w:kern w:val="0"/>
                <w:sz w:val="24"/>
              </w:rPr>
              <w:t>。</w:t>
            </w:r>
            <w:r>
              <w:rPr>
                <w:rFonts w:hint="default" w:ascii="Times New Roman" w:hAnsi="Times New Roman" w:cs="Times New Roman"/>
                <w:snapToGrid w:val="0"/>
                <w:kern w:val="0"/>
                <w:sz w:val="24"/>
              </w:rPr>
              <w:t>排放总量指标纳入</w:t>
            </w:r>
            <w:r>
              <w:rPr>
                <w:rFonts w:hint="default" w:ascii="Times New Roman" w:hAnsi="Times New Roman" w:eastAsia="宋体" w:cs="Times New Roman"/>
                <w:sz w:val="24"/>
                <w:szCs w:val="24"/>
              </w:rPr>
              <w:t>山南新区污水处理厂</w:t>
            </w:r>
            <w:r>
              <w:rPr>
                <w:rFonts w:hint="default" w:ascii="Times New Roman" w:hAnsi="Times New Roman" w:cs="Times New Roman"/>
                <w:snapToGrid w:val="0"/>
                <w:kern w:val="0"/>
                <w:sz w:val="24"/>
              </w:rPr>
              <w:t>污染物总量控制指标统一考核，无需另外申请总量指标。</w:t>
            </w:r>
          </w:p>
          <w:p w14:paraId="05F9F68C">
            <w:pPr>
              <w:keepNext w:val="0"/>
              <w:keepLines w:val="0"/>
              <w:suppressLineNumbers w:val="0"/>
              <w:spacing w:before="0" w:beforeAutospacing="0" w:after="0" w:afterAutospacing="0" w:line="336" w:lineRule="auto"/>
              <w:ind w:left="0" w:right="0" w:firstLine="480" w:firstLineChars="200"/>
              <w:jc w:val="left"/>
              <w:rPr>
                <w:rFonts w:hint="default" w:ascii="Times New Roman" w:hAnsi="Times New Roman" w:eastAsia="宋体" w:cs="Times New Roman"/>
                <w:sz w:val="24"/>
              </w:rPr>
            </w:pPr>
          </w:p>
          <w:p w14:paraId="6A59E4D7">
            <w:pPr>
              <w:keepNext w:val="0"/>
              <w:keepLines w:val="0"/>
              <w:suppressLineNumbers w:val="0"/>
              <w:spacing w:before="0" w:beforeAutospacing="0" w:after="0" w:afterAutospacing="0" w:line="336" w:lineRule="auto"/>
              <w:ind w:left="0" w:right="0" w:firstLine="480" w:firstLineChars="200"/>
              <w:jc w:val="left"/>
              <w:rPr>
                <w:rFonts w:hint="default" w:ascii="Times New Roman" w:hAnsi="Times New Roman" w:eastAsia="宋体" w:cs="Times New Roman"/>
                <w:sz w:val="24"/>
              </w:rPr>
            </w:pPr>
          </w:p>
          <w:p w14:paraId="3779F912">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43FD0807">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5C21552D">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50EE9E14">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53700B27">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71366821">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29262656">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36520090">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7851C619">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6D24D5E6">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7354AEC4">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4F09FFCB">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51FC0EED">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4A554925">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424548CF">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0F86F7A9">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1C619BC6">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tc>
      </w:tr>
    </w:tbl>
    <w:p w14:paraId="6E9DA451">
      <w:pPr>
        <w:widowControl/>
        <w:spacing w:before="100" w:beforeAutospacing="1" w:after="100" w:afterAutospacing="1"/>
        <w:jc w:val="center"/>
        <w:outlineLvl w:val="0"/>
        <w:rPr>
          <w:rFonts w:ascii="Times New Roman" w:hAnsi="Times New Roman" w:eastAsia="黑体" w:cs="Times New Roman"/>
          <w:snapToGrid w:val="0"/>
          <w:kern w:val="0"/>
          <w:sz w:val="30"/>
          <w:szCs w:val="30"/>
        </w:rPr>
        <w:sectPr>
          <w:pgSz w:w="11906" w:h="16838"/>
          <w:pgMar w:top="1440" w:right="1800" w:bottom="1440" w:left="1800" w:header="851" w:footer="992" w:gutter="0"/>
          <w:cols w:space="425" w:num="1"/>
          <w:docGrid w:type="lines" w:linePitch="312" w:charSpace="0"/>
        </w:sectPr>
      </w:pPr>
    </w:p>
    <w:p w14:paraId="3278E052">
      <w:pPr>
        <w:widowControl/>
        <w:spacing w:before="100" w:beforeAutospacing="1" w:after="100" w:afterAutospacing="1"/>
        <w:jc w:val="center"/>
        <w:outlineLvl w:val="0"/>
        <w:rPr>
          <w:rFonts w:ascii="Times New Roman" w:hAnsi="Times New Roman" w:eastAsia="黑体" w:cs="Times New Roman"/>
          <w:snapToGrid w:val="0"/>
          <w:kern w:val="0"/>
          <w:sz w:val="30"/>
          <w:szCs w:val="30"/>
        </w:rPr>
      </w:pPr>
      <w:r>
        <w:rPr>
          <w:rFonts w:hint="eastAsia" w:ascii="Times New Roman" w:hAnsi="Times New Roman" w:eastAsia="黑体" w:cs="Times New Roman"/>
          <w:snapToGrid w:val="0"/>
          <w:kern w:val="0"/>
          <w:sz w:val="30"/>
          <w:szCs w:val="30"/>
        </w:rPr>
        <w:t>四、主要环境影响和保护措施</w:t>
      </w:r>
    </w:p>
    <w:tbl>
      <w:tblPr>
        <w:tblStyle w:val="1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3"/>
      </w:tblGrid>
      <w:tr w14:paraId="0F3CB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3" w:hRule="atLeast"/>
          <w:jc w:val="center"/>
        </w:trPr>
        <w:tc>
          <w:tcPr>
            <w:tcW w:w="268" w:type="pct"/>
            <w:vAlign w:val="center"/>
          </w:tcPr>
          <w:p w14:paraId="51CE28D6">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kern w:val="0"/>
                <w:szCs w:val="21"/>
              </w:rPr>
            </w:pPr>
            <w:r>
              <w:rPr>
                <w:rFonts w:hint="eastAsia" w:ascii="Times New Roman" w:hAnsi="Times New Roman" w:eastAsia="宋体" w:cs="宋体"/>
                <w:bCs/>
                <w:sz w:val="24"/>
                <w:szCs w:val="24"/>
              </w:rPr>
              <w:t>施工期环境保护措施</w:t>
            </w:r>
          </w:p>
        </w:tc>
        <w:tc>
          <w:tcPr>
            <w:tcW w:w="4732" w:type="pct"/>
          </w:tcPr>
          <w:p w14:paraId="7B8101F2">
            <w:pPr>
              <w:keepNext w:val="0"/>
              <w:keepLines w:val="0"/>
              <w:suppressLineNumbers w:val="0"/>
              <w:spacing w:before="0" w:beforeAutospacing="0" w:after="0" w:afterAutospacing="0" w:line="360" w:lineRule="auto"/>
              <w:ind w:left="0" w:right="0" w:firstLine="480" w:firstLineChars="200"/>
              <w:rPr>
                <w:rFonts w:hint="default" w:ascii="Times New Roman" w:hAnsi="Times New Roman"/>
                <w:snapToGrid w:val="0"/>
                <w:sz w:val="24"/>
              </w:rPr>
            </w:pPr>
            <w:r>
              <w:rPr>
                <w:rFonts w:hint="default" w:ascii="Times New Roman" w:hAnsi="Times New Roman" w:cs="Times New Roman"/>
                <w:snapToGrid w:val="0"/>
                <w:sz w:val="24"/>
              </w:rPr>
              <w:t>本项目</w:t>
            </w:r>
            <w:r>
              <w:rPr>
                <w:rFonts w:hint="eastAsia" w:ascii="Times New Roman" w:hAnsi="Times New Roman" w:cs="Times New Roman"/>
                <w:snapToGrid w:val="0"/>
                <w:sz w:val="24"/>
              </w:rPr>
              <w:t>租赁</w:t>
            </w:r>
            <w:r>
              <w:rPr>
                <w:rFonts w:hint="eastAsia" w:ascii="Times New Roman" w:hAnsi="Times New Roman" w:cs="Times New Roman"/>
                <w:sz w:val="24"/>
                <w:szCs w:val="24"/>
              </w:rPr>
              <w:t>安徽省淮南市高新区科技信息产业园5号楼</w:t>
            </w:r>
            <w:r>
              <w:rPr>
                <w:rFonts w:hint="default" w:ascii="Times New Roman" w:hAnsi="Times New Roman" w:cs="Times New Roman"/>
                <w:snapToGrid w:val="0"/>
                <w:sz w:val="24"/>
              </w:rPr>
              <w:t>，</w:t>
            </w:r>
            <w:r>
              <w:rPr>
                <w:rFonts w:hint="eastAsia" w:ascii="Times New Roman" w:hAnsi="Times New Roman"/>
                <w:snapToGrid w:val="0"/>
                <w:sz w:val="24"/>
              </w:rPr>
              <w:t>在闲置厂房内进行设备安装调试，产生的污染物较少。因此，本次评价仅对其进行简要定性分析和评价。</w:t>
            </w:r>
          </w:p>
          <w:p w14:paraId="523A80A8">
            <w:pPr>
              <w:keepNext w:val="0"/>
              <w:keepLines w:val="0"/>
              <w:suppressLineNumbers w:val="0"/>
              <w:spacing w:before="0" w:beforeAutospacing="0" w:after="0" w:afterAutospacing="0" w:line="336" w:lineRule="auto"/>
              <w:ind w:left="0" w:right="0" w:firstLine="480" w:firstLineChars="200"/>
              <w:jc w:val="left"/>
              <w:rPr>
                <w:rFonts w:hint="default" w:ascii="Times New Roman" w:hAnsi="Times New Roman" w:eastAsia="宋体" w:cs="Times New Roman"/>
                <w:sz w:val="24"/>
              </w:rPr>
            </w:pPr>
          </w:p>
          <w:p w14:paraId="75A2D5E7">
            <w:pPr>
              <w:keepNext w:val="0"/>
              <w:keepLines w:val="0"/>
              <w:suppressLineNumbers w:val="0"/>
              <w:spacing w:before="0" w:beforeAutospacing="0" w:after="0" w:afterAutospacing="0" w:line="336" w:lineRule="auto"/>
              <w:ind w:left="0" w:right="0" w:firstLine="480" w:firstLineChars="200"/>
              <w:jc w:val="left"/>
              <w:rPr>
                <w:rFonts w:hint="default" w:ascii="Times New Roman" w:hAnsi="Times New Roman" w:eastAsia="宋体" w:cs="Times New Roman"/>
                <w:sz w:val="24"/>
              </w:rPr>
            </w:pPr>
          </w:p>
          <w:p w14:paraId="40E31A28">
            <w:pPr>
              <w:keepNext w:val="0"/>
              <w:keepLines w:val="0"/>
              <w:suppressLineNumbers w:val="0"/>
              <w:spacing w:before="0" w:beforeAutospacing="0" w:after="0" w:afterAutospacing="0" w:line="336" w:lineRule="auto"/>
              <w:ind w:left="0" w:right="0" w:firstLine="480" w:firstLineChars="200"/>
              <w:jc w:val="left"/>
              <w:rPr>
                <w:rFonts w:hint="default" w:ascii="Times New Roman" w:hAnsi="Times New Roman" w:eastAsia="宋体" w:cs="Times New Roman"/>
                <w:sz w:val="24"/>
              </w:rPr>
            </w:pPr>
          </w:p>
          <w:p w14:paraId="1ADCE159">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4EDE6179">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2070F2F8">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190DD52C">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06473354">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492ECD6A">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07672CB0">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7555C17B">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54CA9803">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4913AFAA">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403C5A7C">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161246A1">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261EEF06">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71F10BD2">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64F8ACAC">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5180D080">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57BFFA16">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23F94C48">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741ADD93">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15A1F4EE">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497D491F">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69115C0D">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p w14:paraId="3CFFBEAE">
            <w:pPr>
              <w:keepNext w:val="0"/>
              <w:keepLines w:val="0"/>
              <w:suppressLineNumbers w:val="0"/>
              <w:spacing w:before="0" w:beforeAutospacing="0" w:after="0" w:afterAutospacing="0" w:line="336" w:lineRule="auto"/>
              <w:ind w:left="0" w:right="0"/>
              <w:jc w:val="left"/>
              <w:rPr>
                <w:rFonts w:hint="default" w:ascii="Times New Roman" w:hAnsi="Times New Roman" w:eastAsia="宋体" w:cs="Times New Roman"/>
                <w:sz w:val="24"/>
              </w:rPr>
            </w:pPr>
          </w:p>
        </w:tc>
      </w:tr>
      <w:tr w14:paraId="3883F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3" w:hRule="atLeast"/>
          <w:jc w:val="center"/>
        </w:trPr>
        <w:tc>
          <w:tcPr>
            <w:tcW w:w="268" w:type="pct"/>
            <w:vAlign w:val="center"/>
          </w:tcPr>
          <w:p w14:paraId="26FADDD4">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kern w:val="0"/>
                <w:szCs w:val="21"/>
              </w:rPr>
            </w:pPr>
            <w:r>
              <w:rPr>
                <w:rFonts w:hint="eastAsia" w:ascii="Times New Roman" w:hAnsi="Times New Roman" w:eastAsia="宋体" w:cs="宋体"/>
                <w:bCs/>
                <w:sz w:val="24"/>
                <w:szCs w:val="24"/>
              </w:rPr>
              <w:t>施工期环境保护措施</w:t>
            </w:r>
          </w:p>
        </w:tc>
        <w:tc>
          <w:tcPr>
            <w:tcW w:w="4732" w:type="pct"/>
          </w:tcPr>
          <w:p w14:paraId="2D89556D">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宋体"/>
                <w:b/>
                <w:bCs/>
                <w:sz w:val="24"/>
                <w:szCs w:val="24"/>
              </w:rPr>
            </w:pPr>
            <w:r>
              <w:rPr>
                <w:rFonts w:hint="eastAsia" w:ascii="Times New Roman" w:hAnsi="Times New Roman" w:eastAsia="宋体" w:cs="宋体"/>
                <w:b/>
                <w:bCs/>
                <w:sz w:val="24"/>
                <w:szCs w:val="24"/>
              </w:rPr>
              <w:t>一、运营期水环境影响和保护措施</w:t>
            </w:r>
          </w:p>
          <w:p w14:paraId="299FA9FF">
            <w:pPr>
              <w:keepNext w:val="0"/>
              <w:keepLines w:val="0"/>
              <w:suppressLineNumbers w:val="0"/>
              <w:spacing w:before="0" w:beforeAutospacing="0" w:after="0" w:afterAutospacing="0" w:line="360" w:lineRule="auto"/>
              <w:ind w:left="0" w:right="0" w:firstLine="442" w:firstLineChars="200"/>
              <w:rPr>
                <w:rFonts w:hint="default" w:ascii="Times New Roman" w:hAnsi="Times New Roman" w:eastAsia="宋体" w:cs="Times New Roman"/>
                <w:b/>
                <w:bCs/>
                <w:spacing w:val="-10"/>
                <w:sz w:val="24"/>
                <w:szCs w:val="24"/>
              </w:rPr>
            </w:pPr>
            <w:r>
              <w:rPr>
                <w:rFonts w:hint="eastAsia" w:ascii="Times New Roman" w:hAnsi="Times New Roman" w:eastAsia="宋体" w:cs="Times New Roman"/>
                <w:b/>
                <w:bCs/>
                <w:spacing w:val="-10"/>
                <w:sz w:val="24"/>
                <w:szCs w:val="24"/>
              </w:rPr>
              <w:t>1、运营期水环境影响分析</w:t>
            </w:r>
          </w:p>
          <w:p w14:paraId="1E7D4E1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rPr>
            </w:pPr>
            <w:r>
              <w:rPr>
                <w:rFonts w:hint="eastAsia" w:ascii="Times New Roman" w:hAnsi="Times New Roman" w:eastAsia="宋体" w:cs="Times New Roman"/>
                <w:sz w:val="24"/>
              </w:rPr>
              <w:t>根据工艺过程分析，本项目废水主要为员工日常的生活污水、后段清洗废水和保洁废水。</w:t>
            </w:r>
          </w:p>
          <w:p w14:paraId="2E8652CB">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（1）生活污水</w:t>
            </w:r>
          </w:p>
          <w:p w14:paraId="67E8A0F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根据建设单位提供资料，本项目劳动定员</w:t>
            </w:r>
            <w:r>
              <w:rPr>
                <w:rFonts w:hint="eastAsia" w:ascii="Times New Roman" w:hAnsi="Times New Roman" w:eastAsia="宋体" w:cs="Times New Roman"/>
                <w:sz w:val="24"/>
                <w:szCs w:val="28"/>
              </w:rPr>
              <w:t>150</w:t>
            </w:r>
            <w:r>
              <w:rPr>
                <w:rFonts w:hint="default" w:ascii="Times New Roman" w:hAnsi="Times New Roman" w:eastAsia="宋体" w:cs="Times New Roman"/>
                <w:sz w:val="24"/>
                <w:szCs w:val="28"/>
              </w:rPr>
              <w:t>人，根据《安徽省行业用水定额》（</w:t>
            </w:r>
            <w:r>
              <w:rPr>
                <w:rFonts w:hint="eastAsia" w:ascii="Times New Roman" w:hAnsi="Times New Roman" w:eastAsia="宋体" w:cs="Times New Roman"/>
                <w:sz w:val="24"/>
                <w:szCs w:val="28"/>
              </w:rPr>
              <w:t>G</w:t>
            </w:r>
            <w:r>
              <w:rPr>
                <w:rFonts w:hint="default" w:ascii="Times New Roman" w:hAnsi="Times New Roman" w:eastAsia="宋体" w:cs="Times New Roman"/>
                <w:sz w:val="24"/>
                <w:szCs w:val="28"/>
              </w:rPr>
              <w:t>B34/T679-</w:t>
            </w:r>
            <w:r>
              <w:rPr>
                <w:rFonts w:hint="eastAsia" w:ascii="Times New Roman" w:hAnsi="Times New Roman" w:eastAsia="宋体" w:cs="Times New Roman"/>
                <w:sz w:val="24"/>
                <w:szCs w:val="28"/>
              </w:rPr>
              <w:t>2025</w:t>
            </w:r>
            <w:r>
              <w:rPr>
                <w:rFonts w:hint="default" w:ascii="Times New Roman" w:hAnsi="Times New Roman" w:eastAsia="宋体" w:cs="Times New Roman"/>
                <w:sz w:val="24"/>
                <w:szCs w:val="28"/>
              </w:rPr>
              <w:t>），</w:t>
            </w:r>
            <w:r>
              <w:rPr>
                <w:rFonts w:hint="eastAsia" w:ascii="Times New Roman" w:hAnsi="Times New Roman" w:eastAsia="宋体" w:cs="Times New Roman"/>
                <w:sz w:val="24"/>
                <w:szCs w:val="28"/>
              </w:rPr>
              <w:t>办公人员生活</w:t>
            </w:r>
            <w:r>
              <w:rPr>
                <w:rFonts w:hint="default" w:ascii="Times New Roman" w:hAnsi="Times New Roman" w:eastAsia="宋体" w:cs="Times New Roman"/>
                <w:sz w:val="24"/>
                <w:szCs w:val="28"/>
              </w:rPr>
              <w:t>用水量以</w:t>
            </w:r>
            <w:r>
              <w:rPr>
                <w:rFonts w:hint="eastAsia" w:ascii="Times New Roman" w:hAnsi="Times New Roman" w:eastAsia="宋体" w:cs="Times New Roman"/>
                <w:sz w:val="24"/>
                <w:szCs w:val="28"/>
              </w:rPr>
              <w:t>15m</w:t>
            </w:r>
            <w:r>
              <w:rPr>
                <w:rFonts w:hint="eastAsia"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/（人·</w:t>
            </w:r>
            <w:r>
              <w:rPr>
                <w:rFonts w:hint="eastAsia" w:ascii="Times New Roman" w:hAnsi="Times New Roman" w:eastAsia="宋体" w:cs="Times New Roman"/>
                <w:sz w:val="24"/>
                <w:szCs w:val="28"/>
              </w:rPr>
              <w:t>a</w:t>
            </w:r>
            <w:r>
              <w:rPr>
                <w:rFonts w:hint="default" w:ascii="Times New Roman" w:hAnsi="Times New Roman" w:eastAsia="宋体" w:cs="Times New Roman"/>
                <w:sz w:val="24"/>
                <w:szCs w:val="28"/>
              </w:rPr>
              <w:t>）计，则</w:t>
            </w:r>
            <w:r>
              <w:rPr>
                <w:rFonts w:hint="eastAsia" w:ascii="Times New Roman" w:hAnsi="Times New Roman" w:eastAsia="宋体" w:cs="Times New Roman"/>
                <w:sz w:val="24"/>
                <w:szCs w:val="28"/>
              </w:rPr>
              <w:t>项目日</w:t>
            </w:r>
            <w:r>
              <w:rPr>
                <w:rFonts w:hint="default" w:ascii="Times New Roman" w:hAnsi="Times New Roman" w:eastAsia="宋体" w:cs="Times New Roman"/>
                <w:sz w:val="24"/>
                <w:szCs w:val="28"/>
              </w:rPr>
              <w:t>用水量为</w:t>
            </w:r>
            <w:r>
              <w:rPr>
                <w:rFonts w:hint="eastAsia" w:ascii="Times New Roman" w:hAnsi="Times New Roman" w:eastAsia="宋体" w:cs="Times New Roman"/>
                <w:sz w:val="24"/>
                <w:szCs w:val="28"/>
              </w:rPr>
              <w:t>7.5</w:t>
            </w:r>
            <w:r>
              <w:rPr>
                <w:rFonts w:hint="default" w:ascii="Times New Roman" w:hAnsi="Times New Roman" w:eastAsia="宋体" w:cs="Times New Roman"/>
                <w:sz w:val="24"/>
                <w:szCs w:val="28"/>
              </w:rPr>
              <w:t>m</w:t>
            </w:r>
            <w:r>
              <w:rPr>
                <w:rFonts w:hint="default"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/d，合计年用水量为</w:t>
            </w:r>
            <w:r>
              <w:rPr>
                <w:rFonts w:hint="eastAsia" w:ascii="Times New Roman" w:hAnsi="Times New Roman" w:eastAsia="宋体" w:cs="Times New Roman"/>
                <w:sz w:val="24"/>
                <w:szCs w:val="28"/>
              </w:rPr>
              <w:t>2250</w:t>
            </w:r>
            <w:r>
              <w:rPr>
                <w:rFonts w:hint="default" w:ascii="Times New Roman" w:hAnsi="Times New Roman" w:eastAsia="宋体" w:cs="Times New Roman"/>
                <w:sz w:val="24"/>
                <w:szCs w:val="28"/>
              </w:rPr>
              <w:t>m</w:t>
            </w:r>
            <w:r>
              <w:rPr>
                <w:rFonts w:hint="default"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/a。根据《</w:t>
            </w:r>
            <w:r>
              <w:rPr>
                <w:rFonts w:hint="eastAsia" w:ascii="Times New Roman" w:hAnsi="Times New Roman" w:eastAsia="宋体" w:cs="Times New Roman"/>
                <w:sz w:val="24"/>
                <w:szCs w:val="28"/>
              </w:rPr>
              <w:t>排放源</w:t>
            </w:r>
            <w:r>
              <w:rPr>
                <w:rFonts w:hint="default" w:ascii="Times New Roman" w:hAnsi="Times New Roman" w:eastAsia="宋体" w:cs="Times New Roman"/>
                <w:sz w:val="24"/>
                <w:szCs w:val="28"/>
              </w:rPr>
              <w:t>统计调查产排污核算方法和系数手册》（公告</w:t>
            </w:r>
            <w:r>
              <w:rPr>
                <w:rFonts w:hint="eastAsia" w:ascii="Times New Roman" w:hAnsi="Times New Roman" w:eastAsia="宋体" w:cs="Times New Roman"/>
                <w:sz w:val="24"/>
                <w:szCs w:val="28"/>
              </w:rPr>
              <w:t>2021年第24号</w:t>
            </w:r>
            <w:r>
              <w:rPr>
                <w:rFonts w:hint="default" w:ascii="Times New Roman" w:hAnsi="Times New Roman" w:eastAsia="宋体" w:cs="Times New Roman"/>
                <w:sz w:val="24"/>
                <w:szCs w:val="28"/>
              </w:rPr>
              <w:t>）中生活源产排污核算方法和系数手册，生活污水的产生量取用水量的8</w:t>
            </w:r>
            <w:r>
              <w:rPr>
                <w:rFonts w:hint="eastAsia" w:ascii="Times New Roman" w:hAnsi="Times New Roman" w:eastAsia="宋体" w:cs="Times New Roman"/>
                <w:sz w:val="24"/>
                <w:szCs w:val="28"/>
              </w:rPr>
              <w:t>5</w:t>
            </w:r>
            <w:r>
              <w:rPr>
                <w:rFonts w:hint="default" w:ascii="Times New Roman" w:hAnsi="Times New Roman" w:eastAsia="宋体" w:cs="Times New Roman"/>
                <w:sz w:val="24"/>
                <w:szCs w:val="28"/>
              </w:rPr>
              <w:t>%，则生活污水产生量约为</w:t>
            </w:r>
            <w:r>
              <w:rPr>
                <w:rFonts w:hint="eastAsia" w:ascii="Times New Roman" w:hAnsi="Times New Roman" w:eastAsia="宋体" w:cs="Times New Roman"/>
                <w:sz w:val="24"/>
                <w:szCs w:val="28"/>
              </w:rPr>
              <w:t>6.375</w:t>
            </w:r>
            <w:r>
              <w:rPr>
                <w:rFonts w:hint="default" w:ascii="Times New Roman" w:hAnsi="Times New Roman" w:eastAsia="宋体" w:cs="Times New Roman"/>
                <w:sz w:val="24"/>
                <w:szCs w:val="28"/>
              </w:rPr>
              <w:t>m</w:t>
            </w:r>
            <w:r>
              <w:rPr>
                <w:rFonts w:hint="default"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/d（</w:t>
            </w:r>
            <w:r>
              <w:rPr>
                <w:rFonts w:hint="eastAsia" w:ascii="Times New Roman" w:hAnsi="Times New Roman" w:eastAsia="宋体" w:cs="Times New Roman"/>
                <w:sz w:val="24"/>
                <w:szCs w:val="28"/>
              </w:rPr>
              <w:t>1912.5</w:t>
            </w:r>
            <w:r>
              <w:rPr>
                <w:rFonts w:hint="default" w:ascii="Times New Roman" w:hAnsi="Times New Roman" w:eastAsia="宋体" w:cs="Times New Roman"/>
                <w:sz w:val="24"/>
                <w:szCs w:val="28"/>
              </w:rPr>
              <w:t>m</w:t>
            </w:r>
            <w:r>
              <w:rPr>
                <w:rFonts w:hint="default"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/a）。</w:t>
            </w:r>
          </w:p>
          <w:p w14:paraId="2A00EBBC">
            <w:pPr>
              <w:pStyle w:val="53"/>
              <w:keepNext w:val="0"/>
              <w:keepLines w:val="0"/>
              <w:suppressLineNumbers w:val="0"/>
              <w:adjustRightInd/>
              <w:spacing w:before="0" w:beforeAutospacing="0" w:after="0" w:afterAutospacing="0" w:line="360" w:lineRule="auto"/>
              <w:ind w:left="0" w:right="0" w:firstLine="480" w:firstLineChars="200"/>
              <w:jc w:val="both"/>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rPr>
              <w:t>2</w:t>
            </w:r>
            <w:r>
              <w:rPr>
                <w:rFonts w:hint="default" w:ascii="Times New Roman" w:hAnsi="Times New Roman" w:cs="Times New Roman"/>
              </w:rPr>
              <w:t>）</w:t>
            </w:r>
            <w:r>
              <w:rPr>
                <w:rFonts w:hint="eastAsia" w:ascii="Times New Roman" w:hAnsi="Times New Roman" w:cs="Times New Roman"/>
              </w:rPr>
              <w:t>后段清洗废水</w:t>
            </w:r>
          </w:p>
          <w:p w14:paraId="73DFB87C">
            <w:pPr>
              <w:pStyle w:val="53"/>
              <w:keepNext w:val="0"/>
              <w:keepLines w:val="0"/>
              <w:suppressLineNumbers w:val="0"/>
              <w:adjustRightInd/>
              <w:spacing w:before="0" w:beforeAutospacing="0" w:after="0" w:afterAutospacing="0" w:line="360" w:lineRule="auto"/>
              <w:ind w:left="0" w:right="0" w:firstLine="480" w:firstLineChars="200"/>
              <w:jc w:val="both"/>
              <w:rPr>
                <w:rFonts w:hint="default"/>
              </w:rPr>
            </w:pPr>
            <w:r>
              <w:rPr>
                <w:rFonts w:hint="eastAsia" w:ascii="Times New Roman" w:hAnsi="Times New Roman" w:cs="Times New Roman"/>
                <w:lang w:eastAsia="zh-CN"/>
              </w:rPr>
              <w:t>质检室</w:t>
            </w:r>
            <w:r>
              <w:rPr>
                <w:rFonts w:hint="default" w:ascii="Times New Roman" w:hAnsi="Times New Roman" w:cs="Times New Roman"/>
              </w:rPr>
              <w:t>清洗实验器皿和实验装置时有废水产生，</w:t>
            </w:r>
            <w:r>
              <w:rPr>
                <w:rFonts w:hint="eastAsia" w:ascii="Times New Roman" w:hAnsi="Times New Roman" w:cs="Times New Roman"/>
                <w:lang w:eastAsia="zh-CN"/>
              </w:rPr>
              <w:t>质检室</w:t>
            </w:r>
            <w:r>
              <w:rPr>
                <w:rFonts w:hint="default" w:ascii="Times New Roman" w:hAnsi="Times New Roman" w:cs="Times New Roman"/>
              </w:rPr>
              <w:t>一次、二次清洗废液作危险废物处理，收集暂存于危险废物暂存间，定期委托有资质单位</w:t>
            </w:r>
            <w:r>
              <w:rPr>
                <w:rFonts w:hint="eastAsia" w:ascii="Times New Roman" w:hAnsi="Times New Roman" w:cs="Times New Roman"/>
              </w:rPr>
              <w:t>处置。</w:t>
            </w:r>
            <w:r>
              <w:rPr>
                <w:rFonts w:hint="default" w:ascii="Times New Roman" w:hAnsi="Times New Roman" w:cs="Times New Roman"/>
              </w:rPr>
              <w:t>本项目经一次</w:t>
            </w:r>
            <w:r>
              <w:rPr>
                <w:rFonts w:hint="eastAsia" w:ascii="Times New Roman" w:hAnsi="Times New Roman" w:cs="Times New Roman"/>
              </w:rPr>
              <w:t>、</w:t>
            </w:r>
            <w:r>
              <w:rPr>
                <w:rFonts w:hint="default" w:ascii="Times New Roman" w:hAnsi="Times New Roman" w:cs="Times New Roman"/>
              </w:rPr>
              <w:t>二次清洗后的后段清洗废水中特征污染物</w:t>
            </w:r>
            <w:r>
              <w:rPr>
                <w:rFonts w:hint="eastAsia" w:ascii="Times New Roman" w:hAnsi="Times New Roman" w:cs="Times New Roman"/>
                <w:lang w:val="en-US" w:eastAsia="zh-CN"/>
              </w:rPr>
              <w:t>浓度较低</w:t>
            </w:r>
            <w:r>
              <w:rPr>
                <w:rFonts w:hint="eastAsia" w:ascii="Times New Roman" w:hAnsi="Times New Roman" w:cs="Times New Roman"/>
              </w:rPr>
              <w:t>，后段清洗废水经pH调节后</w:t>
            </w:r>
            <w:r>
              <w:rPr>
                <w:rFonts w:hint="default" w:ascii="Times New Roman" w:cs="Times New Roman" w:hAnsiTheme="minorEastAsia"/>
                <w:bCs/>
                <w:szCs w:val="24"/>
              </w:rPr>
              <w:t>排入</w:t>
            </w:r>
            <w:r>
              <w:rPr>
                <w:rFonts w:hint="eastAsia" w:ascii="Times New Roman" w:hAnsi="Times New Roman"/>
                <w:kern w:val="0"/>
                <w:szCs w:val="24"/>
              </w:rPr>
              <w:t>山南新区污水处理厂</w:t>
            </w:r>
            <w:r>
              <w:rPr>
                <w:rFonts w:hint="default" w:ascii="Times New Roman" w:cs="Times New Roman" w:hAnsiTheme="minorEastAsia"/>
                <w:bCs/>
                <w:szCs w:val="24"/>
              </w:rPr>
              <w:t>进一步处理</w:t>
            </w:r>
            <w:r>
              <w:rPr>
                <w:rFonts w:hint="eastAsia"/>
              </w:rPr>
              <w:t>。</w:t>
            </w:r>
          </w:p>
          <w:p w14:paraId="669A1642">
            <w:pPr>
              <w:pStyle w:val="53"/>
              <w:keepNext w:val="0"/>
              <w:keepLines w:val="0"/>
              <w:suppressLineNumbers w:val="0"/>
              <w:adjustRightInd/>
              <w:spacing w:before="0" w:beforeAutospacing="0" w:after="0" w:afterAutospacing="0" w:line="360" w:lineRule="auto"/>
              <w:ind w:left="0" w:right="0" w:firstLine="480" w:firstLineChars="200"/>
              <w:jc w:val="both"/>
              <w:rPr>
                <w:rFonts w:hint="default" w:ascii="Times New Roman" w:hAnsi="Times New Roman" w:cs="Times New Roman"/>
              </w:rPr>
            </w:pPr>
            <w:r>
              <w:rPr>
                <w:rFonts w:hint="eastAsia"/>
                <w:lang w:val="en-US" w:eastAsia="zh-CN"/>
              </w:rPr>
              <w:t>参照同类型实验室后段清洗废水水质指标，</w:t>
            </w:r>
            <w:r>
              <w:rPr>
                <w:rFonts w:hint="eastAsia"/>
              </w:rPr>
              <w:t>项目</w:t>
            </w:r>
            <w:r>
              <w:rPr>
                <w:rFonts w:hint="default" w:ascii="Times New Roman" w:hAnsi="Times New Roman" w:cs="Times New Roman"/>
              </w:rPr>
              <w:t>后段清洗废水水质指标</w:t>
            </w:r>
            <w:r>
              <w:rPr>
                <w:rFonts w:hint="eastAsia" w:ascii="Times New Roman" w:hAnsi="Times New Roman" w:cs="Times New Roman"/>
              </w:rPr>
              <w:t>取</w:t>
            </w:r>
            <w:r>
              <w:rPr>
                <w:rFonts w:hint="default" w:ascii="Times New Roman" w:hAnsi="Times New Roman" w:cs="Times New Roman"/>
              </w:rPr>
              <w:t>：pH4～</w:t>
            </w:r>
            <w:r>
              <w:rPr>
                <w:rFonts w:hint="eastAsia" w:ascii="Times New Roman" w:hAnsi="Times New Roman" w:cs="Times New Roman"/>
              </w:rPr>
              <w:t>6</w:t>
            </w:r>
            <w:r>
              <w:rPr>
                <w:rFonts w:hint="default" w:ascii="Times New Roman" w:hAnsi="Times New Roman" w:cs="Times New Roman"/>
              </w:rPr>
              <w:t>，</w:t>
            </w:r>
            <w:r>
              <w:rPr>
                <w:rFonts w:hint="eastAsia" w:ascii="Times New Roman" w:cs="Times New Roman" w:hAnsiTheme="minorEastAsia"/>
                <w:bCs/>
                <w:szCs w:val="24"/>
              </w:rPr>
              <w:t>COD</w:t>
            </w:r>
            <w:r>
              <w:rPr>
                <w:rFonts w:hint="eastAsia" w:ascii="Times New Roman" w:cs="Times New Roman" w:hAnsiTheme="minorEastAsia"/>
                <w:bCs/>
                <w:szCs w:val="24"/>
                <w:vertAlign w:val="subscript"/>
              </w:rPr>
              <w:t>Cr</w:t>
            </w:r>
            <w:r>
              <w:rPr>
                <w:rFonts w:hint="default" w:ascii="Times New Roman" w:hAnsi="Times New Roman" w:cs="Times New Roman"/>
              </w:rPr>
              <w:t>≤300mg/L，</w:t>
            </w:r>
            <w:r>
              <w:rPr>
                <w:rFonts w:hint="default" w:ascii="Times New Roman" w:hAnsi="Times New Roman" w:cs="Times New Roman"/>
                <w:bCs/>
                <w:spacing w:val="-6"/>
              </w:rPr>
              <w:t>NH</w:t>
            </w:r>
            <w:r>
              <w:rPr>
                <w:rFonts w:hint="default" w:ascii="Times New Roman" w:hAnsi="Times New Roman" w:cs="Times New Roman"/>
                <w:bCs/>
                <w:spacing w:val="-6"/>
                <w:vertAlign w:val="subscript"/>
              </w:rPr>
              <w:t>3</w:t>
            </w:r>
            <w:r>
              <w:rPr>
                <w:rFonts w:hint="default" w:ascii="Times New Roman" w:hAnsi="Times New Roman" w:cs="Times New Roman"/>
                <w:bCs/>
                <w:spacing w:val="-6"/>
              </w:rPr>
              <w:t>-N</w:t>
            </w:r>
            <w:r>
              <w:rPr>
                <w:rFonts w:hint="default" w:ascii="Times New Roman" w:hAnsi="Times New Roman" w:cs="Times New Roman"/>
                <w:spacing w:val="-6"/>
              </w:rPr>
              <w:t>≤</w:t>
            </w:r>
            <w:r>
              <w:rPr>
                <w:rFonts w:hint="eastAsia" w:ascii="Times New Roman" w:hAnsi="Times New Roman" w:cs="Times New Roman"/>
                <w:spacing w:val="-6"/>
              </w:rPr>
              <w:t>25</w:t>
            </w:r>
            <w:r>
              <w:rPr>
                <w:rFonts w:hint="default" w:ascii="Times New Roman" w:hAnsi="Times New Roman" w:cs="Times New Roman"/>
                <w:spacing w:val="-6"/>
              </w:rPr>
              <w:t>mg/L，SS≤2</w:t>
            </w:r>
            <w:r>
              <w:rPr>
                <w:rFonts w:hint="eastAsia" w:ascii="Times New Roman" w:hAnsi="Times New Roman" w:cs="Times New Roman"/>
                <w:spacing w:val="-6"/>
              </w:rPr>
              <w:t>70</w:t>
            </w:r>
            <w:r>
              <w:rPr>
                <w:rFonts w:hint="default" w:ascii="Times New Roman" w:hAnsi="Times New Roman" w:cs="Times New Roman"/>
                <w:spacing w:val="-6"/>
              </w:rPr>
              <w:t>mg/L</w:t>
            </w:r>
            <w:r>
              <w:rPr>
                <w:rFonts w:hint="eastAsia" w:ascii="Times New Roman" w:hAnsi="Times New Roman" w:cs="Times New Roman"/>
                <w:spacing w:val="-6"/>
                <w:lang w:eastAsia="zh-CN"/>
              </w:rPr>
              <w:t>，</w:t>
            </w:r>
            <w:r>
              <w:rPr>
                <w:rFonts w:hint="eastAsia" w:ascii="Times New Roman" w:hAnsi="Times New Roman" w:cs="Times New Roman"/>
                <w:spacing w:val="-6"/>
                <w:lang w:val="en-US" w:eastAsia="zh-CN"/>
              </w:rPr>
              <w:t>粪大肠菌群数</w:t>
            </w:r>
            <w:r>
              <w:rPr>
                <w:rFonts w:hint="default" w:ascii="Times New Roman" w:hAnsi="Times New Roman" w:cs="Times New Roman"/>
                <w:spacing w:val="-6"/>
              </w:rPr>
              <w:t>≤</w:t>
            </w:r>
            <w:r>
              <w:rPr>
                <w:rFonts w:hint="eastAsia" w:ascii="Times New Roman" w:hAnsi="Times New Roman" w:cs="Times New Roman"/>
                <w:spacing w:val="-6"/>
                <w:lang w:val="en-US" w:eastAsia="zh-CN"/>
              </w:rPr>
              <w:t>1500个</w:t>
            </w:r>
            <w:r>
              <w:rPr>
                <w:rFonts w:hint="default" w:ascii="Times New Roman" w:hAnsi="Times New Roman" w:cs="Times New Roman"/>
                <w:spacing w:val="-6"/>
              </w:rPr>
              <w:t>/L。</w:t>
            </w:r>
            <w:r>
              <w:rPr>
                <w:rFonts w:hint="eastAsia" w:ascii="Times New Roman" w:hAnsi="Times New Roman" w:cs="Times New Roman"/>
                <w:spacing w:val="-6"/>
                <w:lang w:eastAsia="zh-CN"/>
              </w:rPr>
              <w:t>质检室</w:t>
            </w:r>
            <w:r>
              <w:rPr>
                <w:rFonts w:hint="default" w:ascii="Times New Roman" w:hAnsi="Times New Roman" w:cs="Times New Roman"/>
                <w:spacing w:val="-6"/>
              </w:rPr>
              <w:t>后段清洗用水量0.02m</w:t>
            </w:r>
            <w:r>
              <w:rPr>
                <w:rFonts w:hint="eastAsia" w:ascii="Times New Roman" w:hAnsi="Times New Roman" w:cs="Times New Roman"/>
                <w:spacing w:val="-6"/>
                <w:vertAlign w:val="superscript"/>
              </w:rPr>
              <w:t>3</w:t>
            </w:r>
            <w:r>
              <w:rPr>
                <w:rFonts w:hint="default" w:ascii="Times New Roman" w:hAnsi="Times New Roman" w:cs="Times New Roman"/>
                <w:spacing w:val="-6"/>
              </w:rPr>
              <w:t>/d（6m</w:t>
            </w:r>
            <w:r>
              <w:rPr>
                <w:rFonts w:hint="eastAsia" w:ascii="Times New Roman" w:hAnsi="Times New Roman" w:cs="Times New Roman"/>
                <w:spacing w:val="-6"/>
                <w:vertAlign w:val="superscript"/>
              </w:rPr>
              <w:t>3</w:t>
            </w:r>
            <w:r>
              <w:rPr>
                <w:rFonts w:hint="default" w:ascii="Times New Roman" w:hAnsi="Times New Roman" w:cs="Times New Roman"/>
                <w:spacing w:val="-6"/>
              </w:rPr>
              <w:t>/a），</w:t>
            </w:r>
            <w:r>
              <w:rPr>
                <w:rFonts w:hint="eastAsia" w:ascii="Times New Roman" w:hAnsi="Times New Roman" w:cs="Times New Roman"/>
                <w:lang w:eastAsia="zh-CN"/>
              </w:rPr>
              <w:t>质检室</w:t>
            </w:r>
            <w:r>
              <w:rPr>
                <w:rFonts w:hint="default" w:ascii="Times New Roman" w:hAnsi="Times New Roman" w:cs="Times New Roman"/>
              </w:rPr>
              <w:t>后段清洗废水产生系数为0.9，则</w:t>
            </w:r>
            <w:r>
              <w:rPr>
                <w:rFonts w:hint="eastAsia" w:ascii="Times New Roman" w:hAnsi="Times New Roman" w:cs="Times New Roman"/>
                <w:lang w:eastAsia="zh-CN"/>
              </w:rPr>
              <w:t>质检室</w:t>
            </w:r>
            <w:r>
              <w:rPr>
                <w:rFonts w:hint="default" w:ascii="Times New Roman" w:hAnsi="Times New Roman" w:cs="Times New Roman"/>
              </w:rPr>
              <w:t>后段清洗废水产生量约为0.018</w:t>
            </w:r>
            <w:r>
              <w:rPr>
                <w:rFonts w:hint="default" w:ascii="Times New Roman" w:hAnsi="Times New Roman" w:cs="Times New Roman"/>
                <w:spacing w:val="-6"/>
              </w:rPr>
              <w:t>m</w:t>
            </w:r>
            <w:r>
              <w:rPr>
                <w:rFonts w:hint="eastAsia" w:ascii="Times New Roman" w:hAnsi="Times New Roman" w:cs="Times New Roman"/>
                <w:spacing w:val="-6"/>
                <w:vertAlign w:val="superscript"/>
              </w:rPr>
              <w:t>3</w:t>
            </w:r>
            <w:r>
              <w:rPr>
                <w:rFonts w:hint="default" w:ascii="Times New Roman" w:hAnsi="Times New Roman" w:cs="Times New Roman"/>
              </w:rPr>
              <w:t>/d（5.4</w:t>
            </w:r>
            <w:r>
              <w:rPr>
                <w:rFonts w:hint="default" w:ascii="Times New Roman" w:hAnsi="Times New Roman" w:cs="Times New Roman"/>
                <w:spacing w:val="-6"/>
              </w:rPr>
              <w:t>m</w:t>
            </w:r>
            <w:r>
              <w:rPr>
                <w:rFonts w:hint="eastAsia" w:ascii="Times New Roman" w:hAnsi="Times New Roman" w:cs="Times New Roman"/>
                <w:spacing w:val="-6"/>
                <w:vertAlign w:val="superscript"/>
              </w:rPr>
              <w:t>3</w:t>
            </w:r>
            <w:r>
              <w:rPr>
                <w:rFonts w:hint="default" w:ascii="Times New Roman" w:hAnsi="Times New Roman" w:cs="Times New Roman"/>
              </w:rPr>
              <w:t>/a）。</w:t>
            </w:r>
          </w:p>
          <w:p w14:paraId="7D3193C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8"/>
              </w:rPr>
            </w:pPr>
            <w:r>
              <w:rPr>
                <w:rFonts w:hint="eastAsia" w:ascii="Times New Roman" w:hAnsi="Times New Roman" w:eastAsia="宋体" w:cs="Times New Roman"/>
                <w:sz w:val="24"/>
                <w:szCs w:val="28"/>
              </w:rPr>
              <w:t>（3）保洁废水</w:t>
            </w:r>
          </w:p>
          <w:p w14:paraId="628707D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8"/>
              </w:rPr>
            </w:pPr>
            <w:r>
              <w:rPr>
                <w:rFonts w:hint="eastAsia" w:ascii="Times New Roman" w:hAnsi="Times New Roman" w:eastAsia="宋体" w:cs="Times New Roman"/>
                <w:sz w:val="24"/>
                <w:szCs w:val="28"/>
              </w:rPr>
              <w:t>项目运营期间主要对项目办公区和干燥剂生产区地面进行清洗，每5天清洗一次。</w:t>
            </w:r>
            <w:r>
              <w:rPr>
                <w:rFonts w:hint="eastAsia" w:ascii="Times New Roman" w:hAnsi="Times New Roman" w:eastAsia="宋体" w:cs="Times New Roman"/>
                <w:kern w:val="0"/>
                <w:sz w:val="24"/>
                <w:szCs w:val="24"/>
              </w:rPr>
              <w:t>结合《建筑给水排水设计标准》（GB50015-2019）按2-3L/m</w:t>
            </w:r>
            <w:r>
              <w:rPr>
                <w:rFonts w:hint="eastAsia" w:ascii="Times New Roman" w:hAnsi="Times New Roman" w:eastAsia="宋体" w:cs="Times New Roman"/>
                <w:kern w:val="0"/>
                <w:sz w:val="24"/>
                <w:szCs w:val="24"/>
                <w:vertAlign w:val="superscript"/>
              </w:rPr>
              <w:t>2</w:t>
            </w:r>
            <w:r>
              <w:rPr>
                <w:rFonts w:hint="eastAsia" w:ascii="Times New Roman" w:hAnsi="Times New Roman" w:eastAsia="宋体" w:cs="Times New Roman"/>
                <w:kern w:val="0"/>
                <w:sz w:val="24"/>
                <w:szCs w:val="24"/>
              </w:rPr>
              <w:t>计算，本项目按3L/m</w:t>
            </w:r>
            <w:r>
              <w:rPr>
                <w:rFonts w:hint="eastAsia" w:ascii="Times New Roman" w:hAnsi="Times New Roman" w:eastAsia="宋体" w:cs="Times New Roman"/>
                <w:kern w:val="0"/>
                <w:sz w:val="24"/>
                <w:szCs w:val="24"/>
                <w:vertAlign w:val="superscript"/>
              </w:rPr>
              <w:t>2</w:t>
            </w:r>
            <w:r>
              <w:rPr>
                <w:rFonts w:hint="eastAsia" w:ascii="Times New Roman" w:hAnsi="Times New Roman" w:eastAsia="宋体" w:cs="Times New Roman"/>
                <w:kern w:val="0"/>
                <w:sz w:val="24"/>
                <w:szCs w:val="24"/>
              </w:rPr>
              <w:t>计算</w:t>
            </w:r>
            <w:r>
              <w:rPr>
                <w:rFonts w:hint="eastAsia" w:ascii="Times New Roman" w:hAnsi="Times New Roman" w:eastAsia="宋体" w:cs="Times New Roman"/>
                <w:sz w:val="24"/>
                <w:szCs w:val="28"/>
              </w:rPr>
              <w:t>，保洁面积约为500</w:t>
            </w:r>
            <w:r>
              <w:rPr>
                <w:rFonts w:hint="default" w:ascii="Times New Roman" w:hAnsi="Times New Roman" w:eastAsia="宋体" w:cs="Times New Roman"/>
                <w:sz w:val="24"/>
                <w:szCs w:val="28"/>
              </w:rPr>
              <w:t>m</w:t>
            </w:r>
            <w:r>
              <w:rPr>
                <w:rFonts w:hint="default" w:ascii="Times New Roman" w:hAnsi="Times New Roman" w:eastAsia="宋体" w:cs="Times New Roman"/>
                <w:sz w:val="24"/>
                <w:szCs w:val="28"/>
                <w:vertAlign w:val="superscript"/>
              </w:rPr>
              <w:t>2</w:t>
            </w:r>
            <w:r>
              <w:rPr>
                <w:rFonts w:hint="eastAsia" w:ascii="Times New Roman" w:hAnsi="Times New Roman" w:eastAsia="宋体" w:cs="Times New Roman"/>
                <w:sz w:val="24"/>
                <w:szCs w:val="28"/>
              </w:rPr>
              <w:t>，保洁用水量约为0.3m</w:t>
            </w:r>
            <w:r>
              <w:rPr>
                <w:rFonts w:hint="eastAsia"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/d</w:t>
            </w:r>
            <w:r>
              <w:rPr>
                <w:rFonts w:hint="eastAsia" w:ascii="Times New Roman" w:hAnsi="Times New Roman" w:eastAsia="宋体" w:cs="Times New Roman"/>
                <w:sz w:val="24"/>
                <w:szCs w:val="28"/>
              </w:rPr>
              <w:t>（90m</w:t>
            </w:r>
            <w:r>
              <w:rPr>
                <w:rFonts w:hint="eastAsia"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/a</w:t>
            </w:r>
            <w:r>
              <w:rPr>
                <w:rFonts w:hint="eastAsia" w:ascii="Times New Roman" w:hAnsi="Times New Roman" w:eastAsia="宋体" w:cs="Times New Roman"/>
                <w:sz w:val="24"/>
                <w:szCs w:val="28"/>
              </w:rPr>
              <w:t>）。保洁用水损耗按</w:t>
            </w:r>
            <w:r>
              <w:rPr>
                <w:rFonts w:hint="default" w:ascii="Times New Roman" w:hAnsi="Times New Roman" w:eastAsia="宋体" w:cs="Times New Roman"/>
                <w:sz w:val="24"/>
                <w:szCs w:val="28"/>
              </w:rPr>
              <w:t>20%</w:t>
            </w:r>
            <w:r>
              <w:rPr>
                <w:rFonts w:hint="eastAsia" w:ascii="Times New Roman" w:hAnsi="Times New Roman" w:eastAsia="宋体" w:cs="Times New Roman"/>
                <w:sz w:val="24"/>
                <w:szCs w:val="28"/>
              </w:rPr>
              <w:t>计算，则保洁废水产生量约为</w:t>
            </w:r>
            <w:r>
              <w:rPr>
                <w:rFonts w:hint="default" w:ascii="Times New Roman" w:hAnsi="Times New Roman" w:eastAsia="宋体" w:cs="Times New Roman"/>
                <w:sz w:val="24"/>
                <w:szCs w:val="28"/>
              </w:rPr>
              <w:t>0.</w:t>
            </w:r>
            <w:r>
              <w:rPr>
                <w:rFonts w:hint="eastAsia" w:ascii="Times New Roman" w:hAnsi="Times New Roman" w:eastAsia="宋体" w:cs="Times New Roman"/>
                <w:sz w:val="24"/>
                <w:szCs w:val="28"/>
              </w:rPr>
              <w:t>24m</w:t>
            </w:r>
            <w:r>
              <w:rPr>
                <w:rFonts w:hint="eastAsia"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/d</w:t>
            </w:r>
            <w:r>
              <w:rPr>
                <w:rFonts w:hint="eastAsia" w:ascii="Times New Roman" w:hAnsi="Times New Roman" w:eastAsia="宋体" w:cs="Times New Roman"/>
                <w:sz w:val="24"/>
                <w:szCs w:val="28"/>
              </w:rPr>
              <w:t>（72m</w:t>
            </w:r>
            <w:r>
              <w:rPr>
                <w:rFonts w:hint="eastAsia" w:ascii="Times New Roman" w:hAnsi="Times New Roman" w:eastAsia="宋体" w:cs="Times New Roman"/>
                <w:sz w:val="24"/>
                <w:szCs w:val="28"/>
                <w:vertAlign w:val="superscript"/>
              </w:rPr>
              <w:t>3</w:t>
            </w:r>
            <w:r>
              <w:rPr>
                <w:rFonts w:hint="default" w:ascii="Times New Roman" w:hAnsi="Times New Roman" w:eastAsia="宋体" w:cs="Times New Roman"/>
                <w:sz w:val="24"/>
                <w:szCs w:val="28"/>
              </w:rPr>
              <w:t>/a</w:t>
            </w:r>
            <w:r>
              <w:rPr>
                <w:rFonts w:hint="eastAsia" w:ascii="Times New Roman" w:hAnsi="Times New Roman" w:eastAsia="宋体" w:cs="Times New Roman"/>
                <w:sz w:val="24"/>
                <w:szCs w:val="28"/>
              </w:rPr>
              <w:t>）。类比同类项目可知，保洁废水水质为</w:t>
            </w:r>
            <w:r>
              <w:rPr>
                <w:rFonts w:hint="eastAsia" w:ascii="Times New Roman" w:hAnsi="Times New Roman" w:eastAsia="宋体" w:cs="Times New Roman"/>
                <w:bCs/>
                <w:sz w:val="24"/>
                <w:szCs w:val="28"/>
              </w:rPr>
              <w:t>pH6～9，</w:t>
            </w:r>
            <w:r>
              <w:rPr>
                <w:rFonts w:hint="eastAsia" w:ascii="Times New Roman" w:hAnsi="Times New Roman" w:eastAsia="宋体" w:cs="Times New Roman"/>
                <w:sz w:val="24"/>
                <w:szCs w:val="28"/>
              </w:rPr>
              <w:t>COD</w:t>
            </w:r>
            <w:r>
              <w:rPr>
                <w:rFonts w:hint="eastAsia" w:ascii="Times New Roman" w:hAnsi="Times New Roman" w:eastAsia="宋体" w:cs="Times New Roman"/>
                <w:sz w:val="24"/>
                <w:szCs w:val="28"/>
                <w:vertAlign w:val="subscript"/>
              </w:rPr>
              <w:t>Cr</w:t>
            </w:r>
            <w:r>
              <w:rPr>
                <w:rFonts w:hint="eastAsia" w:ascii="Times New Roman" w:hAnsi="Times New Roman" w:eastAsia="宋体" w:cs="Times New Roman"/>
                <w:sz w:val="24"/>
                <w:szCs w:val="28"/>
              </w:rPr>
              <w:t>：250mg/L，BOD</w:t>
            </w:r>
            <w:r>
              <w:rPr>
                <w:rFonts w:hint="eastAsia" w:ascii="Times New Roman" w:hAnsi="Times New Roman" w:eastAsia="宋体" w:cs="Times New Roman"/>
                <w:sz w:val="24"/>
                <w:szCs w:val="28"/>
                <w:vertAlign w:val="subscript"/>
              </w:rPr>
              <w:t>5</w:t>
            </w:r>
            <w:r>
              <w:rPr>
                <w:rFonts w:hint="eastAsia" w:ascii="Times New Roman" w:hAnsi="Times New Roman" w:eastAsia="宋体" w:cs="Times New Roman"/>
                <w:sz w:val="24"/>
                <w:szCs w:val="28"/>
              </w:rPr>
              <w:t>：100mg/L，SS：280mg/L。</w:t>
            </w:r>
          </w:p>
          <w:p w14:paraId="422A1666">
            <w:pPr>
              <w:keepNext w:val="0"/>
              <w:keepLines w:val="0"/>
              <w:suppressLineNumbers w:val="0"/>
              <w:spacing w:before="0" w:beforeAutospacing="0" w:after="0" w:afterAutospacing="0" w:line="360" w:lineRule="auto"/>
              <w:ind w:left="0" w:right="0"/>
              <w:rPr>
                <w:rFonts w:hint="default" w:ascii="Times New Roman" w:hAnsi="Times New Roman" w:cs="Times New Roman"/>
                <w:snapToGrid w:val="0"/>
                <w:sz w:val="24"/>
              </w:rPr>
            </w:pPr>
          </w:p>
        </w:tc>
      </w:tr>
    </w:tbl>
    <w:p w14:paraId="33F69151">
      <w:pPr>
        <w:widowControl/>
        <w:spacing w:before="100" w:beforeAutospacing="1" w:after="100" w:afterAutospacing="1"/>
        <w:jc w:val="center"/>
        <w:outlineLvl w:val="0"/>
        <w:rPr>
          <w:rFonts w:ascii="Times New Roman" w:hAnsi="Times New Roman" w:eastAsia="黑体" w:cs="Times New Roman"/>
          <w:snapToGrid w:val="0"/>
          <w:kern w:val="0"/>
          <w:sz w:val="30"/>
          <w:szCs w:val="30"/>
        </w:rPr>
        <w:sectPr>
          <w:pgSz w:w="11906" w:h="16838"/>
          <w:pgMar w:top="1440" w:right="1800" w:bottom="1440" w:left="1800" w:header="851" w:footer="992" w:gutter="0"/>
          <w:cols w:space="425" w:num="1"/>
          <w:docGrid w:type="lines" w:linePitch="312" w:charSpace="0"/>
        </w:sectPr>
      </w:pPr>
    </w:p>
    <w:tbl>
      <w:tblPr>
        <w:tblStyle w:val="17"/>
        <w:tblW w:w="5047" w:type="pct"/>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3463"/>
      </w:tblGrid>
      <w:tr w14:paraId="1D24595C">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PrEx>
        <w:trPr>
          <w:trHeight w:val="13730" w:hRule="atLeast"/>
          <w:jc w:val="center"/>
        </w:trPr>
        <w:tc>
          <w:tcPr>
            <w:tcW w:w="268" w:type="pct"/>
            <w:tcMar>
              <w:left w:w="28" w:type="dxa"/>
              <w:right w:w="28" w:type="dxa"/>
            </w:tcMar>
            <w:vAlign w:val="center"/>
          </w:tcPr>
          <w:p w14:paraId="166554D2">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kern w:val="0"/>
                <w:szCs w:val="21"/>
              </w:rPr>
            </w:pPr>
            <w:r>
              <w:rPr>
                <w:rFonts w:hint="eastAsia" w:ascii="Times New Roman" w:hAnsi="Times New Roman" w:eastAsia="宋体" w:cs="宋体"/>
                <w:bCs/>
                <w:sz w:val="24"/>
                <w:szCs w:val="24"/>
              </w:rPr>
              <w:t>运营期环境保护措施</w:t>
            </w:r>
          </w:p>
        </w:tc>
        <w:tc>
          <w:tcPr>
            <w:tcW w:w="4732" w:type="pct"/>
          </w:tcPr>
          <w:p w14:paraId="5FB4DDC6">
            <w:pPr>
              <w:keepNext w:val="0"/>
              <w:keepLines w:val="0"/>
              <w:suppressLineNumbers w:val="0"/>
              <w:spacing w:before="0" w:beforeAutospacing="0" w:after="0" w:afterAutospacing="0" w:line="360" w:lineRule="auto"/>
              <w:ind w:left="0" w:right="0" w:firstLine="470" w:firstLineChars="196"/>
              <w:rPr>
                <w:rFonts w:hint="default" w:ascii="Times New Roman" w:hAnsi="Times New Roman"/>
                <w:sz w:val="24"/>
              </w:rPr>
            </w:pPr>
            <w:r>
              <w:rPr>
                <w:rFonts w:hint="eastAsia" w:ascii="Times New Roman" w:hAnsi="Times New Roman"/>
                <w:sz w:val="24"/>
              </w:rPr>
              <w:t>本项目废水产生情况见下表：</w:t>
            </w:r>
          </w:p>
          <w:p w14:paraId="32EB5BC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s="Times New Roman"/>
                <w:kern w:val="0"/>
                <w:sz w:val="24"/>
                <w:szCs w:val="24"/>
              </w:rPr>
            </w:pPr>
            <w:r>
              <w:rPr>
                <w:rFonts w:hint="default" w:ascii="Times New Roman" w:hAnsi="Times New Roman" w:eastAsia="黑体" w:cs="Times New Roman"/>
                <w:kern w:val="0"/>
                <w:sz w:val="24"/>
                <w:szCs w:val="24"/>
              </w:rPr>
              <w:t>表</w:t>
            </w:r>
            <w:r>
              <w:rPr>
                <w:rFonts w:hint="eastAsia" w:ascii="Times New Roman" w:hAnsi="Times New Roman" w:eastAsia="黑体" w:cs="Times New Roman"/>
                <w:kern w:val="0"/>
                <w:sz w:val="24"/>
                <w:szCs w:val="24"/>
              </w:rPr>
              <w:t xml:space="preserve">4-1  </w:t>
            </w:r>
            <w:r>
              <w:rPr>
                <w:rFonts w:hint="default" w:ascii="Times New Roman" w:hAnsi="Times New Roman" w:eastAsia="黑体" w:cs="Times New Roman"/>
                <w:kern w:val="0"/>
                <w:sz w:val="24"/>
                <w:szCs w:val="24"/>
              </w:rPr>
              <w:t>项目废水处理及排放情况一览表</w:t>
            </w:r>
            <w:r>
              <w:rPr>
                <w:rFonts w:hint="eastAsia" w:ascii="Times New Roman" w:hAnsi="Times New Roman" w:eastAsia="黑体" w:cs="Times New Roman"/>
                <w:kern w:val="0"/>
                <w:sz w:val="24"/>
                <w:szCs w:val="24"/>
              </w:rPr>
              <w:t xml:space="preserve">   </w:t>
            </w:r>
            <w:r>
              <w:rPr>
                <w:rFonts w:hint="default" w:ascii="Times New Roman" w:hAnsi="Times New Roman" w:eastAsia="黑体" w:cs="Times New Roman"/>
                <w:sz w:val="24"/>
                <w:szCs w:val="24"/>
              </w:rPr>
              <w:t>pH</w:t>
            </w:r>
            <w:r>
              <w:rPr>
                <w:rFonts w:hint="eastAsia" w:ascii="Times New Roman" w:hAnsi="Times New Roman" w:eastAsia="黑体" w:cs="Times New Roman"/>
                <w:kern w:val="0"/>
                <w:sz w:val="24"/>
                <w:szCs w:val="24"/>
                <w:lang w:val="en-US" w:eastAsia="zh-CN"/>
              </w:rPr>
              <w:t>单位</w:t>
            </w:r>
            <w:r>
              <w:rPr>
                <w:rFonts w:hint="default" w:ascii="Times New Roman" w:hAnsi="Times New Roman" w:eastAsia="黑体" w:cs="Times New Roman"/>
                <w:sz w:val="24"/>
                <w:szCs w:val="24"/>
              </w:rPr>
              <w:t>：</w:t>
            </w:r>
            <w:r>
              <w:rPr>
                <w:rFonts w:hint="eastAsia" w:ascii="Times New Roman" w:hAnsi="Times New Roman" w:eastAsia="黑体" w:cs="Times New Roman"/>
                <w:sz w:val="24"/>
                <w:szCs w:val="24"/>
              </w:rPr>
              <w:t>无量纲</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1537"/>
              <w:gridCol w:w="1115"/>
              <w:gridCol w:w="899"/>
              <w:gridCol w:w="700"/>
              <w:gridCol w:w="1062"/>
              <w:gridCol w:w="700"/>
              <w:gridCol w:w="1550"/>
              <w:gridCol w:w="1196"/>
              <w:gridCol w:w="683"/>
              <w:gridCol w:w="1865"/>
            </w:tblGrid>
            <w:tr w14:paraId="382DF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Merge w:val="restart"/>
                  <w:vAlign w:val="center"/>
                </w:tcPr>
                <w:p w14:paraId="41F6D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废水量</w:t>
                  </w:r>
                </w:p>
              </w:tc>
              <w:tc>
                <w:tcPr>
                  <w:tcW w:w="1537" w:type="dxa"/>
                  <w:vMerge w:val="restart"/>
                  <w:vAlign w:val="center"/>
                </w:tcPr>
                <w:p w14:paraId="62BFF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污染物名称</w:t>
                  </w:r>
                </w:p>
              </w:tc>
              <w:tc>
                <w:tcPr>
                  <w:tcW w:w="2014" w:type="dxa"/>
                  <w:gridSpan w:val="2"/>
                  <w:vAlign w:val="center"/>
                </w:tcPr>
                <w:p w14:paraId="006C8F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污染物产生情况</w:t>
                  </w:r>
                </w:p>
              </w:tc>
              <w:tc>
                <w:tcPr>
                  <w:tcW w:w="2462" w:type="dxa"/>
                  <w:gridSpan w:val="3"/>
                  <w:vAlign w:val="center"/>
                </w:tcPr>
                <w:p w14:paraId="69527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治理措施</w:t>
                  </w:r>
                </w:p>
              </w:tc>
              <w:tc>
                <w:tcPr>
                  <w:tcW w:w="2746" w:type="dxa"/>
                  <w:gridSpan w:val="2"/>
                  <w:vAlign w:val="center"/>
                </w:tcPr>
                <w:p w14:paraId="547183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b/>
                      <w:szCs w:val="21"/>
                    </w:rPr>
                    <w:t>污染物排放情况</w:t>
                  </w:r>
                  <w:r>
                    <w:rPr>
                      <w:rFonts w:hint="eastAsia" w:ascii="Times New Roman" w:hAnsi="Times New Roman" w:eastAsia="宋体" w:cs="Times New Roman"/>
                      <w:b/>
                      <w:szCs w:val="21"/>
                    </w:rPr>
                    <w:t>（纳管量）</w:t>
                  </w:r>
                </w:p>
              </w:tc>
              <w:tc>
                <w:tcPr>
                  <w:tcW w:w="683" w:type="dxa"/>
                  <w:vMerge w:val="restart"/>
                  <w:vAlign w:val="center"/>
                </w:tcPr>
                <w:p w14:paraId="5F21A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排放方式</w:t>
                  </w:r>
                </w:p>
              </w:tc>
              <w:tc>
                <w:tcPr>
                  <w:tcW w:w="1865" w:type="dxa"/>
                  <w:vMerge w:val="restart"/>
                  <w:vAlign w:val="center"/>
                </w:tcPr>
                <w:p w14:paraId="0F0951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排放去向</w:t>
                  </w:r>
                </w:p>
              </w:tc>
            </w:tr>
            <w:tr w14:paraId="0A2F4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Merge w:val="continue"/>
                  <w:vAlign w:val="center"/>
                </w:tcPr>
                <w:p w14:paraId="36999C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p>
              </w:tc>
              <w:tc>
                <w:tcPr>
                  <w:tcW w:w="1537" w:type="dxa"/>
                  <w:vMerge w:val="continue"/>
                  <w:vAlign w:val="center"/>
                </w:tcPr>
                <w:p w14:paraId="695B4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p>
              </w:tc>
              <w:tc>
                <w:tcPr>
                  <w:tcW w:w="1115" w:type="dxa"/>
                  <w:vAlign w:val="center"/>
                </w:tcPr>
                <w:p w14:paraId="15645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产生浓度（mg/L）</w:t>
                  </w:r>
                </w:p>
              </w:tc>
              <w:tc>
                <w:tcPr>
                  <w:tcW w:w="899" w:type="dxa"/>
                  <w:vAlign w:val="center"/>
                </w:tcPr>
                <w:p w14:paraId="441E6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产生量</w:t>
                  </w:r>
                </w:p>
                <w:p w14:paraId="13824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（t/a）</w:t>
                  </w:r>
                </w:p>
              </w:tc>
              <w:tc>
                <w:tcPr>
                  <w:tcW w:w="700" w:type="dxa"/>
                  <w:vAlign w:val="center"/>
                </w:tcPr>
                <w:p w14:paraId="2ADE1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治理措施</w:t>
                  </w:r>
                </w:p>
              </w:tc>
              <w:tc>
                <w:tcPr>
                  <w:tcW w:w="1062" w:type="dxa"/>
                  <w:vAlign w:val="center"/>
                </w:tcPr>
                <w:p w14:paraId="64CE7E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是否为可行性技术</w:t>
                  </w:r>
                </w:p>
              </w:tc>
              <w:tc>
                <w:tcPr>
                  <w:tcW w:w="700" w:type="dxa"/>
                  <w:vAlign w:val="center"/>
                </w:tcPr>
                <w:p w14:paraId="4994AA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处理效率</w:t>
                  </w:r>
                </w:p>
              </w:tc>
              <w:tc>
                <w:tcPr>
                  <w:tcW w:w="1550" w:type="dxa"/>
                  <w:vAlign w:val="center"/>
                </w:tcPr>
                <w:p w14:paraId="38015B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排放浓度（mg/L）</w:t>
                  </w:r>
                </w:p>
              </w:tc>
              <w:tc>
                <w:tcPr>
                  <w:tcW w:w="1196" w:type="dxa"/>
                  <w:vAlign w:val="center"/>
                </w:tcPr>
                <w:p w14:paraId="4F9AB5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排放量（t/a）</w:t>
                  </w:r>
                </w:p>
              </w:tc>
              <w:tc>
                <w:tcPr>
                  <w:tcW w:w="683" w:type="dxa"/>
                  <w:vMerge w:val="continue"/>
                  <w:vAlign w:val="center"/>
                </w:tcPr>
                <w:p w14:paraId="7B8982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p>
              </w:tc>
              <w:tc>
                <w:tcPr>
                  <w:tcW w:w="1865" w:type="dxa"/>
                  <w:vMerge w:val="continue"/>
                  <w:vAlign w:val="center"/>
                </w:tcPr>
                <w:p w14:paraId="28A070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Cs w:val="21"/>
                    </w:rPr>
                  </w:pPr>
                </w:p>
              </w:tc>
            </w:tr>
            <w:tr w14:paraId="48972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Merge w:val="restart"/>
                  <w:vAlign w:val="center"/>
                </w:tcPr>
                <w:p w14:paraId="721A6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生活污水</w:t>
                  </w:r>
                  <w:r>
                    <w:rPr>
                      <w:rFonts w:hint="eastAsia" w:ascii="Times New Roman" w:hAnsi="Times New Roman" w:eastAsia="宋体" w:cs="Times New Roman"/>
                      <w:szCs w:val="21"/>
                    </w:rPr>
                    <w:t>6.375</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/d（</w:t>
                  </w:r>
                  <w:r>
                    <w:rPr>
                      <w:rFonts w:hint="eastAsia" w:ascii="Times New Roman" w:hAnsi="Times New Roman" w:eastAsia="宋体" w:cs="Times New Roman"/>
                      <w:szCs w:val="21"/>
                    </w:rPr>
                    <w:t>1912.5</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1537" w:type="dxa"/>
                  <w:vAlign w:val="center"/>
                </w:tcPr>
                <w:p w14:paraId="73D875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pH</w:t>
                  </w:r>
                </w:p>
              </w:tc>
              <w:tc>
                <w:tcPr>
                  <w:tcW w:w="1115" w:type="dxa"/>
                  <w:vAlign w:val="center"/>
                </w:tcPr>
                <w:p w14:paraId="37BB61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6</w:t>
                  </w:r>
                  <w:r>
                    <w:rPr>
                      <w:rFonts w:hint="eastAsia" w:ascii="Times New Roman" w:hAnsi="Times New Roman" w:cs="Times New Roman"/>
                      <w:szCs w:val="21"/>
                    </w:rPr>
                    <w:t>～</w:t>
                  </w:r>
                  <w:r>
                    <w:rPr>
                      <w:rFonts w:hint="eastAsia" w:ascii="Times New Roman" w:hAnsi="Times New Roman" w:eastAsia="宋体" w:cs="Times New Roman"/>
                      <w:szCs w:val="21"/>
                    </w:rPr>
                    <w:t>9</w:t>
                  </w:r>
                </w:p>
              </w:tc>
              <w:tc>
                <w:tcPr>
                  <w:tcW w:w="899" w:type="dxa"/>
                  <w:vAlign w:val="center"/>
                </w:tcPr>
                <w:p w14:paraId="2157D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700" w:type="dxa"/>
                  <w:vMerge w:val="restart"/>
                  <w:vAlign w:val="center"/>
                </w:tcPr>
                <w:p w14:paraId="2B790F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化粪池</w:t>
                  </w:r>
                </w:p>
              </w:tc>
              <w:tc>
                <w:tcPr>
                  <w:tcW w:w="1062" w:type="dxa"/>
                  <w:vMerge w:val="restart"/>
                  <w:vAlign w:val="center"/>
                </w:tcPr>
                <w:p w14:paraId="583B4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是</w:t>
                  </w:r>
                </w:p>
              </w:tc>
              <w:tc>
                <w:tcPr>
                  <w:tcW w:w="700" w:type="dxa"/>
                  <w:vMerge w:val="restart"/>
                  <w:vAlign w:val="center"/>
                </w:tcPr>
                <w:p w14:paraId="30EC4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1550" w:type="dxa"/>
                  <w:vAlign w:val="center"/>
                </w:tcPr>
                <w:p w14:paraId="5FD8AC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6～9</w:t>
                  </w:r>
                </w:p>
              </w:tc>
              <w:tc>
                <w:tcPr>
                  <w:tcW w:w="1196" w:type="dxa"/>
                  <w:vAlign w:val="center"/>
                </w:tcPr>
                <w:p w14:paraId="578C0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683" w:type="dxa"/>
                  <w:vMerge w:val="restart"/>
                  <w:vAlign w:val="center"/>
                </w:tcPr>
                <w:p w14:paraId="2F7DBE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间接排放</w:t>
                  </w:r>
                </w:p>
              </w:tc>
              <w:tc>
                <w:tcPr>
                  <w:tcW w:w="1865" w:type="dxa"/>
                  <w:vMerge w:val="restart"/>
                  <w:vAlign w:val="center"/>
                </w:tcPr>
                <w:p w14:paraId="0EBC5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经化粪池</w:t>
                  </w:r>
                  <w:r>
                    <w:rPr>
                      <w:rFonts w:hint="eastAsia" w:ascii="Times New Roman" w:hAnsi="Times New Roman" w:eastAsia="宋体" w:cs="Times New Roman"/>
                      <w:szCs w:val="21"/>
                    </w:rPr>
                    <w:t>收集</w:t>
                  </w:r>
                  <w:r>
                    <w:rPr>
                      <w:rFonts w:hint="default" w:ascii="Times New Roman" w:hAnsi="Times New Roman" w:eastAsia="宋体" w:cs="Times New Roman"/>
                      <w:szCs w:val="21"/>
                    </w:rPr>
                    <w:t>后排入</w:t>
                  </w:r>
                  <w:r>
                    <w:rPr>
                      <w:rFonts w:hint="eastAsia" w:ascii="Times New Roman" w:hAnsi="Times New Roman" w:cs="Times New Roman"/>
                      <w:szCs w:val="21"/>
                    </w:rPr>
                    <w:t>山南新区污水处理厂</w:t>
                  </w:r>
                </w:p>
              </w:tc>
            </w:tr>
            <w:tr w14:paraId="6C4F9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Merge w:val="continue"/>
                  <w:vAlign w:val="center"/>
                </w:tcPr>
                <w:p w14:paraId="64429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537" w:type="dxa"/>
                  <w:vAlign w:val="center"/>
                </w:tcPr>
                <w:p w14:paraId="63A3C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COD</w:t>
                  </w:r>
                  <w:r>
                    <w:rPr>
                      <w:rFonts w:hint="default" w:ascii="Times New Roman" w:hAnsi="Times New Roman" w:eastAsia="宋体" w:cs="Times New Roman"/>
                      <w:szCs w:val="21"/>
                      <w:vertAlign w:val="subscript"/>
                    </w:rPr>
                    <w:t>Cr</w:t>
                  </w:r>
                </w:p>
              </w:tc>
              <w:tc>
                <w:tcPr>
                  <w:tcW w:w="1115" w:type="dxa"/>
                  <w:vAlign w:val="center"/>
                </w:tcPr>
                <w:p w14:paraId="79E0F4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300</w:t>
                  </w:r>
                </w:p>
              </w:tc>
              <w:tc>
                <w:tcPr>
                  <w:tcW w:w="899" w:type="dxa"/>
                  <w:vAlign w:val="center"/>
                </w:tcPr>
                <w:p w14:paraId="68A24A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0.5738</w:t>
                  </w:r>
                </w:p>
              </w:tc>
              <w:tc>
                <w:tcPr>
                  <w:tcW w:w="700" w:type="dxa"/>
                  <w:vMerge w:val="continue"/>
                  <w:vAlign w:val="center"/>
                </w:tcPr>
                <w:p w14:paraId="4B263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062" w:type="dxa"/>
                  <w:vMerge w:val="continue"/>
                  <w:vAlign w:val="center"/>
                </w:tcPr>
                <w:p w14:paraId="19912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700" w:type="dxa"/>
                  <w:vMerge w:val="continue"/>
                  <w:vAlign w:val="center"/>
                </w:tcPr>
                <w:p w14:paraId="7C6B2E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550" w:type="dxa"/>
                  <w:vAlign w:val="center"/>
                </w:tcPr>
                <w:p w14:paraId="1DEC2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300</w:t>
                  </w:r>
                </w:p>
              </w:tc>
              <w:tc>
                <w:tcPr>
                  <w:tcW w:w="1196" w:type="dxa"/>
                  <w:vAlign w:val="center"/>
                </w:tcPr>
                <w:p w14:paraId="054D1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0.5738</w:t>
                  </w:r>
                </w:p>
              </w:tc>
              <w:tc>
                <w:tcPr>
                  <w:tcW w:w="683" w:type="dxa"/>
                  <w:vMerge w:val="continue"/>
                  <w:vAlign w:val="center"/>
                </w:tcPr>
                <w:p w14:paraId="6CBC51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67E19A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r>
            <w:tr w14:paraId="02B6C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Merge w:val="continue"/>
                  <w:vAlign w:val="center"/>
                </w:tcPr>
                <w:p w14:paraId="527E4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537" w:type="dxa"/>
                  <w:vAlign w:val="center"/>
                </w:tcPr>
                <w:p w14:paraId="3F372C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BOD</w:t>
                  </w:r>
                  <w:r>
                    <w:rPr>
                      <w:rFonts w:hint="default" w:ascii="Times New Roman" w:hAnsi="Times New Roman" w:eastAsia="宋体" w:cs="Times New Roman"/>
                      <w:szCs w:val="21"/>
                      <w:vertAlign w:val="subscript"/>
                    </w:rPr>
                    <w:t>5</w:t>
                  </w:r>
                </w:p>
              </w:tc>
              <w:tc>
                <w:tcPr>
                  <w:tcW w:w="1115" w:type="dxa"/>
                  <w:vAlign w:val="center"/>
                </w:tcPr>
                <w:p w14:paraId="1EFA1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w:t>
                  </w:r>
                  <w:r>
                    <w:rPr>
                      <w:rFonts w:hint="eastAsia" w:ascii="Times New Roman" w:hAnsi="Times New Roman" w:eastAsia="宋体" w:cs="Times New Roman"/>
                      <w:szCs w:val="21"/>
                    </w:rPr>
                    <w:t>0</w:t>
                  </w:r>
                  <w:r>
                    <w:rPr>
                      <w:rFonts w:hint="default" w:ascii="Times New Roman" w:hAnsi="Times New Roman" w:eastAsia="宋体" w:cs="Times New Roman"/>
                      <w:szCs w:val="21"/>
                    </w:rPr>
                    <w:t>0</w:t>
                  </w:r>
                </w:p>
              </w:tc>
              <w:tc>
                <w:tcPr>
                  <w:tcW w:w="899" w:type="dxa"/>
                  <w:vAlign w:val="center"/>
                </w:tcPr>
                <w:p w14:paraId="22A49A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0.1912</w:t>
                  </w:r>
                </w:p>
              </w:tc>
              <w:tc>
                <w:tcPr>
                  <w:tcW w:w="700" w:type="dxa"/>
                  <w:vMerge w:val="continue"/>
                  <w:vAlign w:val="center"/>
                </w:tcPr>
                <w:p w14:paraId="3BA72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3FC44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2C678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vAlign w:val="center"/>
                </w:tcPr>
                <w:p w14:paraId="68BA1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w:t>
                  </w:r>
                  <w:r>
                    <w:rPr>
                      <w:rFonts w:hint="eastAsia" w:ascii="Times New Roman" w:hAnsi="Times New Roman" w:eastAsia="宋体" w:cs="Times New Roman"/>
                      <w:szCs w:val="21"/>
                    </w:rPr>
                    <w:t>0</w:t>
                  </w:r>
                  <w:r>
                    <w:rPr>
                      <w:rFonts w:hint="default" w:ascii="Times New Roman" w:hAnsi="Times New Roman" w:eastAsia="宋体" w:cs="Times New Roman"/>
                      <w:szCs w:val="21"/>
                    </w:rPr>
                    <w:t>0</w:t>
                  </w:r>
                </w:p>
              </w:tc>
              <w:tc>
                <w:tcPr>
                  <w:tcW w:w="1196" w:type="dxa"/>
                  <w:vAlign w:val="center"/>
                </w:tcPr>
                <w:p w14:paraId="7FAAE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0.1912</w:t>
                  </w:r>
                </w:p>
              </w:tc>
              <w:tc>
                <w:tcPr>
                  <w:tcW w:w="683" w:type="dxa"/>
                  <w:vMerge w:val="continue"/>
                  <w:vAlign w:val="center"/>
                </w:tcPr>
                <w:p w14:paraId="6333B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3001E6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r>
            <w:tr w14:paraId="2FD99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Merge w:val="continue"/>
                  <w:vAlign w:val="center"/>
                </w:tcPr>
                <w:p w14:paraId="433B9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537" w:type="dxa"/>
                  <w:vAlign w:val="center"/>
                </w:tcPr>
                <w:p w14:paraId="3F6AD9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SS</w:t>
                  </w:r>
                </w:p>
              </w:tc>
              <w:tc>
                <w:tcPr>
                  <w:tcW w:w="1115" w:type="dxa"/>
                  <w:vAlign w:val="center"/>
                </w:tcPr>
                <w:p w14:paraId="7517F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150</w:t>
                  </w:r>
                </w:p>
              </w:tc>
              <w:tc>
                <w:tcPr>
                  <w:tcW w:w="899" w:type="dxa"/>
                  <w:vAlign w:val="center"/>
                </w:tcPr>
                <w:p w14:paraId="577755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0.2869</w:t>
                  </w:r>
                </w:p>
              </w:tc>
              <w:tc>
                <w:tcPr>
                  <w:tcW w:w="700" w:type="dxa"/>
                  <w:vMerge w:val="continue"/>
                  <w:vAlign w:val="center"/>
                </w:tcPr>
                <w:p w14:paraId="5B526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12F22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4E878E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vAlign w:val="center"/>
                </w:tcPr>
                <w:p w14:paraId="698466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150</w:t>
                  </w:r>
                </w:p>
              </w:tc>
              <w:tc>
                <w:tcPr>
                  <w:tcW w:w="1196" w:type="dxa"/>
                  <w:vAlign w:val="center"/>
                </w:tcPr>
                <w:p w14:paraId="3CA2E8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0.2869</w:t>
                  </w:r>
                </w:p>
              </w:tc>
              <w:tc>
                <w:tcPr>
                  <w:tcW w:w="683" w:type="dxa"/>
                  <w:vMerge w:val="continue"/>
                  <w:vAlign w:val="center"/>
                </w:tcPr>
                <w:p w14:paraId="32D7F0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6FF0E5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r>
            <w:tr w14:paraId="54B4D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940" w:type="dxa"/>
                  <w:vMerge w:val="continue"/>
                  <w:vAlign w:val="center"/>
                </w:tcPr>
                <w:p w14:paraId="2ECB11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537" w:type="dxa"/>
                  <w:vAlign w:val="center"/>
                </w:tcPr>
                <w:p w14:paraId="7BA2E9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-N</w:t>
                  </w:r>
                </w:p>
              </w:tc>
              <w:tc>
                <w:tcPr>
                  <w:tcW w:w="1115" w:type="dxa"/>
                  <w:vAlign w:val="center"/>
                </w:tcPr>
                <w:p w14:paraId="55D81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25</w:t>
                  </w:r>
                </w:p>
              </w:tc>
              <w:tc>
                <w:tcPr>
                  <w:tcW w:w="899" w:type="dxa"/>
                  <w:vAlign w:val="center"/>
                </w:tcPr>
                <w:p w14:paraId="5CE98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0.0478</w:t>
                  </w:r>
                </w:p>
              </w:tc>
              <w:tc>
                <w:tcPr>
                  <w:tcW w:w="700" w:type="dxa"/>
                  <w:vMerge w:val="continue"/>
                  <w:vAlign w:val="center"/>
                </w:tcPr>
                <w:p w14:paraId="53F07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0E99E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290E7D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vAlign w:val="center"/>
                </w:tcPr>
                <w:p w14:paraId="390214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25</w:t>
                  </w:r>
                </w:p>
              </w:tc>
              <w:tc>
                <w:tcPr>
                  <w:tcW w:w="1196" w:type="dxa"/>
                  <w:vAlign w:val="center"/>
                </w:tcPr>
                <w:p w14:paraId="1E6B2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0.0478</w:t>
                  </w:r>
                </w:p>
              </w:tc>
              <w:tc>
                <w:tcPr>
                  <w:tcW w:w="683" w:type="dxa"/>
                  <w:vMerge w:val="continue"/>
                  <w:vAlign w:val="center"/>
                </w:tcPr>
                <w:p w14:paraId="46F32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00977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r>
            <w:tr w14:paraId="7A24B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restart"/>
                  <w:vAlign w:val="center"/>
                </w:tcPr>
                <w:p w14:paraId="4B293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r>
                    <w:rPr>
                      <w:rFonts w:hint="eastAsia" w:ascii="Times New Roman" w:hAnsi="Times New Roman" w:cs="Times New Roman"/>
                      <w:bCs/>
                      <w:szCs w:val="21"/>
                    </w:rPr>
                    <w:t>后段清洗废水</w:t>
                  </w:r>
                  <w:r>
                    <w:rPr>
                      <w:rFonts w:hint="eastAsia" w:ascii="Times New Roman" w:hAnsi="Times New Roman" w:eastAsia="宋体" w:cs="Times New Roman"/>
                      <w:szCs w:val="21"/>
                    </w:rPr>
                    <w:t>0.018</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/d（</w:t>
                  </w:r>
                  <w:r>
                    <w:rPr>
                      <w:rFonts w:hint="eastAsia" w:ascii="Times New Roman" w:hAnsi="Times New Roman" w:eastAsia="宋体" w:cs="Times New Roman"/>
                      <w:szCs w:val="21"/>
                    </w:rPr>
                    <w:t>5.4</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1537" w:type="dxa"/>
                  <w:vAlign w:val="center"/>
                </w:tcPr>
                <w:p w14:paraId="53420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bCs/>
                      <w:szCs w:val="21"/>
                    </w:rPr>
                  </w:pPr>
                  <w:r>
                    <w:rPr>
                      <w:rFonts w:hint="default" w:ascii="Times New Roman" w:cs="Times New Roman" w:hAnsiTheme="minorEastAsia"/>
                      <w:bCs/>
                      <w:szCs w:val="21"/>
                    </w:rPr>
                    <w:t>p</w:t>
                  </w:r>
                  <w:r>
                    <w:rPr>
                      <w:rFonts w:hint="eastAsia" w:ascii="Times New Roman" w:cs="Times New Roman" w:hAnsiTheme="minorEastAsia"/>
                      <w:bCs/>
                      <w:szCs w:val="21"/>
                    </w:rPr>
                    <w:t>H</w:t>
                  </w:r>
                </w:p>
              </w:tc>
              <w:tc>
                <w:tcPr>
                  <w:tcW w:w="1115" w:type="dxa"/>
                  <w:vAlign w:val="center"/>
                </w:tcPr>
                <w:p w14:paraId="33B1B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4～6</w:t>
                  </w:r>
                </w:p>
              </w:tc>
              <w:tc>
                <w:tcPr>
                  <w:tcW w:w="899" w:type="dxa"/>
                  <w:vAlign w:val="center"/>
                </w:tcPr>
                <w:p w14:paraId="0E377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eastAsia="宋体" w:cs="Times New Roman"/>
                      <w:szCs w:val="21"/>
                    </w:rPr>
                    <w:t>/</w:t>
                  </w:r>
                </w:p>
              </w:tc>
              <w:tc>
                <w:tcPr>
                  <w:tcW w:w="700" w:type="dxa"/>
                  <w:vMerge w:val="restart"/>
                  <w:vAlign w:val="center"/>
                </w:tcPr>
                <w:p w14:paraId="78AC6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r>
                    <w:rPr>
                      <w:rFonts w:hint="default" w:ascii="Times New Roman" w:hAnsi="Times New Roman" w:eastAsia="宋体" w:cs="Times New Roman"/>
                      <w:szCs w:val="21"/>
                    </w:rPr>
                    <w:t>p</w:t>
                  </w:r>
                  <w:r>
                    <w:rPr>
                      <w:rFonts w:hint="eastAsia" w:ascii="Times New Roman" w:hAnsi="Times New Roman" w:eastAsia="宋体" w:cs="Times New Roman"/>
                      <w:szCs w:val="21"/>
                    </w:rPr>
                    <w:t>H调节</w:t>
                  </w:r>
                </w:p>
              </w:tc>
              <w:tc>
                <w:tcPr>
                  <w:tcW w:w="1062" w:type="dxa"/>
                  <w:vMerge w:val="restart"/>
                  <w:vAlign w:val="center"/>
                </w:tcPr>
                <w:p w14:paraId="4289E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r>
                    <w:rPr>
                      <w:rFonts w:hint="default" w:ascii="Times New Roman" w:hAnsi="Times New Roman" w:eastAsia="宋体" w:cs="Times New Roman"/>
                      <w:szCs w:val="21"/>
                    </w:rPr>
                    <w:t>是</w:t>
                  </w:r>
                </w:p>
              </w:tc>
              <w:tc>
                <w:tcPr>
                  <w:tcW w:w="700" w:type="dxa"/>
                  <w:vMerge w:val="restart"/>
                  <w:vAlign w:val="center"/>
                </w:tcPr>
                <w:p w14:paraId="322B7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r>
                    <w:rPr>
                      <w:rFonts w:hint="eastAsia" w:ascii="Times New Roman" w:hAnsi="Times New Roman" w:eastAsia="宋体" w:cs="Times New Roman"/>
                      <w:szCs w:val="21"/>
                    </w:rPr>
                    <w:t>/</w:t>
                  </w:r>
                </w:p>
              </w:tc>
              <w:tc>
                <w:tcPr>
                  <w:tcW w:w="1550" w:type="dxa"/>
                  <w:vAlign w:val="center"/>
                </w:tcPr>
                <w:p w14:paraId="7D406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6～9</w:t>
                  </w:r>
                </w:p>
              </w:tc>
              <w:tc>
                <w:tcPr>
                  <w:tcW w:w="1196" w:type="dxa"/>
                  <w:vAlign w:val="center"/>
                </w:tcPr>
                <w:p w14:paraId="0B7B31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683" w:type="dxa"/>
                  <w:vMerge w:val="continue"/>
                  <w:vAlign w:val="center"/>
                </w:tcPr>
                <w:p w14:paraId="198942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restart"/>
                  <w:vAlign w:val="center"/>
                </w:tcPr>
                <w:p w14:paraId="6D36A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经pH调节后</w:t>
                  </w:r>
                  <w:r>
                    <w:rPr>
                      <w:rFonts w:hint="default" w:ascii="Times New Roman" w:hAnsi="Times New Roman" w:cs="Times New Roman"/>
                      <w:szCs w:val="21"/>
                    </w:rPr>
                    <w:t>排入</w:t>
                  </w:r>
                  <w:r>
                    <w:rPr>
                      <w:rFonts w:hint="eastAsia" w:ascii="Times New Roman" w:hAnsi="Times New Roman" w:cs="Times New Roman"/>
                      <w:szCs w:val="21"/>
                    </w:rPr>
                    <w:t>山南新区污水处理厂</w:t>
                  </w:r>
                </w:p>
              </w:tc>
            </w:tr>
            <w:tr w14:paraId="67287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continue"/>
                  <w:vAlign w:val="center"/>
                </w:tcPr>
                <w:p w14:paraId="34A77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p>
              </w:tc>
              <w:tc>
                <w:tcPr>
                  <w:tcW w:w="1537" w:type="dxa"/>
                  <w:vAlign w:val="center"/>
                </w:tcPr>
                <w:p w14:paraId="6A5E9F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bCs/>
                      <w:szCs w:val="21"/>
                    </w:rPr>
                  </w:pPr>
                  <w:r>
                    <w:rPr>
                      <w:rFonts w:hint="default" w:ascii="Times New Roman" w:cs="Times New Roman" w:hAnsiTheme="minorEastAsia"/>
                      <w:bCs/>
                      <w:szCs w:val="21"/>
                    </w:rPr>
                    <w:t>COD</w:t>
                  </w:r>
                  <w:r>
                    <w:rPr>
                      <w:rFonts w:hint="default" w:ascii="Times New Roman" w:cs="Times New Roman" w:hAnsiTheme="minorEastAsia"/>
                      <w:bCs/>
                      <w:szCs w:val="21"/>
                      <w:vertAlign w:val="subscript"/>
                    </w:rPr>
                    <w:t>Cr</w:t>
                  </w:r>
                </w:p>
              </w:tc>
              <w:tc>
                <w:tcPr>
                  <w:tcW w:w="1115" w:type="dxa"/>
                  <w:vAlign w:val="center"/>
                </w:tcPr>
                <w:p w14:paraId="4AF14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300</w:t>
                  </w:r>
                </w:p>
              </w:tc>
              <w:tc>
                <w:tcPr>
                  <w:tcW w:w="899" w:type="dxa"/>
                  <w:vAlign w:val="center"/>
                </w:tcPr>
                <w:p w14:paraId="316C1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0.0016</w:t>
                  </w:r>
                </w:p>
              </w:tc>
              <w:tc>
                <w:tcPr>
                  <w:tcW w:w="700" w:type="dxa"/>
                  <w:vMerge w:val="continue"/>
                  <w:vAlign w:val="center"/>
                </w:tcPr>
                <w:p w14:paraId="6A01A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4E881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01553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vAlign w:val="center"/>
                </w:tcPr>
                <w:p w14:paraId="012D8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300</w:t>
                  </w:r>
                </w:p>
              </w:tc>
              <w:tc>
                <w:tcPr>
                  <w:tcW w:w="1196" w:type="dxa"/>
                  <w:vAlign w:val="center"/>
                </w:tcPr>
                <w:p w14:paraId="282420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0.0016</w:t>
                  </w:r>
                </w:p>
              </w:tc>
              <w:tc>
                <w:tcPr>
                  <w:tcW w:w="683" w:type="dxa"/>
                  <w:vMerge w:val="continue"/>
                  <w:vAlign w:val="center"/>
                </w:tcPr>
                <w:p w14:paraId="10EFB8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2C20F4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p>
              </w:tc>
            </w:tr>
            <w:tr w14:paraId="169CD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continue"/>
                  <w:vAlign w:val="center"/>
                </w:tcPr>
                <w:p w14:paraId="308A1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p>
              </w:tc>
              <w:tc>
                <w:tcPr>
                  <w:tcW w:w="1537" w:type="dxa"/>
                  <w:vAlign w:val="center"/>
                </w:tcPr>
                <w:p w14:paraId="748E1A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bCs/>
                      <w:szCs w:val="21"/>
                    </w:rPr>
                  </w:pPr>
                  <w:r>
                    <w:rPr>
                      <w:rFonts w:hint="default" w:ascii="Times New Roman" w:cs="Times New Roman" w:hAnsiTheme="minorEastAsia"/>
                      <w:bCs/>
                      <w:szCs w:val="21"/>
                    </w:rPr>
                    <w:t>NH</w:t>
                  </w:r>
                  <w:r>
                    <w:rPr>
                      <w:rFonts w:hint="default" w:ascii="Times New Roman" w:cs="Times New Roman" w:hAnsiTheme="minorEastAsia"/>
                      <w:bCs/>
                      <w:szCs w:val="21"/>
                      <w:vertAlign w:val="subscript"/>
                    </w:rPr>
                    <w:t>3</w:t>
                  </w:r>
                  <w:r>
                    <w:rPr>
                      <w:rFonts w:hint="default" w:ascii="Times New Roman" w:cs="Times New Roman" w:hAnsiTheme="minorEastAsia"/>
                      <w:bCs/>
                      <w:szCs w:val="21"/>
                    </w:rPr>
                    <w:t>-N</w:t>
                  </w:r>
                </w:p>
              </w:tc>
              <w:tc>
                <w:tcPr>
                  <w:tcW w:w="1115" w:type="dxa"/>
                  <w:vAlign w:val="center"/>
                </w:tcPr>
                <w:p w14:paraId="42E1E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25</w:t>
                  </w:r>
                </w:p>
              </w:tc>
              <w:tc>
                <w:tcPr>
                  <w:tcW w:w="899" w:type="dxa"/>
                  <w:vAlign w:val="center"/>
                </w:tcPr>
                <w:p w14:paraId="235439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0.0001</w:t>
                  </w:r>
                </w:p>
              </w:tc>
              <w:tc>
                <w:tcPr>
                  <w:tcW w:w="700" w:type="dxa"/>
                  <w:vMerge w:val="continue"/>
                  <w:vAlign w:val="center"/>
                </w:tcPr>
                <w:p w14:paraId="18CED7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527E7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461A0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vAlign w:val="center"/>
                </w:tcPr>
                <w:p w14:paraId="762A4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25</w:t>
                  </w:r>
                </w:p>
              </w:tc>
              <w:tc>
                <w:tcPr>
                  <w:tcW w:w="1196" w:type="dxa"/>
                  <w:vAlign w:val="center"/>
                </w:tcPr>
                <w:p w14:paraId="28B0E9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0.0001</w:t>
                  </w:r>
                </w:p>
              </w:tc>
              <w:tc>
                <w:tcPr>
                  <w:tcW w:w="683" w:type="dxa"/>
                  <w:vMerge w:val="continue"/>
                  <w:vAlign w:val="center"/>
                </w:tcPr>
                <w:p w14:paraId="2248F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0679B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p>
              </w:tc>
            </w:tr>
            <w:tr w14:paraId="5A383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continue"/>
                  <w:vAlign w:val="center"/>
                </w:tcPr>
                <w:p w14:paraId="3A031E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p>
              </w:tc>
              <w:tc>
                <w:tcPr>
                  <w:tcW w:w="1537" w:type="dxa"/>
                  <w:shd w:val="clear" w:color="auto" w:fill="auto"/>
                  <w:vAlign w:val="center"/>
                </w:tcPr>
                <w:p w14:paraId="42958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cs="Times New Roman" w:hAnsiTheme="minorEastAsia" w:eastAsiaTheme="minorEastAsia"/>
                      <w:bCs/>
                      <w:kern w:val="2"/>
                      <w:sz w:val="21"/>
                      <w:szCs w:val="21"/>
                      <w:lang w:val="en-US" w:eastAsia="zh-CN" w:bidi="ar-SA"/>
                    </w:rPr>
                  </w:pPr>
                  <w:r>
                    <w:rPr>
                      <w:rFonts w:hint="eastAsia" w:ascii="Times New Roman" w:cs="Times New Roman" w:hAnsiTheme="minorEastAsia"/>
                      <w:bCs/>
                      <w:szCs w:val="21"/>
                    </w:rPr>
                    <w:t>SS</w:t>
                  </w:r>
                </w:p>
              </w:tc>
              <w:tc>
                <w:tcPr>
                  <w:tcW w:w="1115" w:type="dxa"/>
                  <w:shd w:val="clear" w:color="auto" w:fill="auto"/>
                  <w:vAlign w:val="center"/>
                </w:tcPr>
                <w:p w14:paraId="143ED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270</w:t>
                  </w:r>
                </w:p>
              </w:tc>
              <w:tc>
                <w:tcPr>
                  <w:tcW w:w="899" w:type="dxa"/>
                  <w:shd w:val="clear" w:color="auto" w:fill="auto"/>
                  <w:vAlign w:val="center"/>
                </w:tcPr>
                <w:p w14:paraId="22CD28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0.0015</w:t>
                  </w:r>
                </w:p>
              </w:tc>
              <w:tc>
                <w:tcPr>
                  <w:tcW w:w="700" w:type="dxa"/>
                  <w:vMerge w:val="continue"/>
                  <w:vAlign w:val="center"/>
                </w:tcPr>
                <w:p w14:paraId="3B332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0481C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6E743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shd w:val="clear" w:color="auto" w:fill="auto"/>
                  <w:vAlign w:val="center"/>
                </w:tcPr>
                <w:p w14:paraId="65023E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270</w:t>
                  </w:r>
                </w:p>
              </w:tc>
              <w:tc>
                <w:tcPr>
                  <w:tcW w:w="1196" w:type="dxa"/>
                  <w:shd w:val="clear" w:color="auto" w:fill="auto"/>
                  <w:vAlign w:val="center"/>
                </w:tcPr>
                <w:p w14:paraId="5E258C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0.0015</w:t>
                  </w:r>
                </w:p>
              </w:tc>
              <w:tc>
                <w:tcPr>
                  <w:tcW w:w="683" w:type="dxa"/>
                  <w:vMerge w:val="continue"/>
                  <w:vAlign w:val="center"/>
                </w:tcPr>
                <w:p w14:paraId="63CA4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3A3BD9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p>
              </w:tc>
            </w:tr>
            <w:tr w14:paraId="3D61F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continue"/>
                  <w:vAlign w:val="center"/>
                </w:tcPr>
                <w:p w14:paraId="1B5E46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p>
              </w:tc>
              <w:tc>
                <w:tcPr>
                  <w:tcW w:w="1537" w:type="dxa"/>
                  <w:vAlign w:val="center"/>
                </w:tcPr>
                <w:p w14:paraId="0E9BFD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eastAsiaTheme="minorEastAsia"/>
                      <w:bCs/>
                      <w:szCs w:val="21"/>
                      <w:lang w:val="en-US" w:eastAsia="zh-CN"/>
                    </w:rPr>
                  </w:pPr>
                  <w:r>
                    <w:rPr>
                      <w:rFonts w:hint="eastAsia" w:ascii="Times New Roman" w:cs="Times New Roman" w:hAnsiTheme="minorEastAsia"/>
                      <w:bCs/>
                      <w:szCs w:val="21"/>
                      <w:lang w:val="en-US" w:eastAsia="zh-CN"/>
                    </w:rPr>
                    <w:t>粪大肠菌群数</w:t>
                  </w:r>
                </w:p>
              </w:tc>
              <w:tc>
                <w:tcPr>
                  <w:tcW w:w="2014" w:type="dxa"/>
                  <w:gridSpan w:val="2"/>
                  <w:vAlign w:val="center"/>
                </w:tcPr>
                <w:p w14:paraId="0E7D0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1500个/L</w:t>
                  </w:r>
                </w:p>
              </w:tc>
              <w:tc>
                <w:tcPr>
                  <w:tcW w:w="700" w:type="dxa"/>
                  <w:vMerge w:val="continue"/>
                  <w:vAlign w:val="center"/>
                </w:tcPr>
                <w:p w14:paraId="21BE8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481C81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5BC38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2746" w:type="dxa"/>
                  <w:gridSpan w:val="2"/>
                  <w:vAlign w:val="center"/>
                </w:tcPr>
                <w:p w14:paraId="189C1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lang w:val="en-US" w:eastAsia="zh-CN"/>
                    </w:rPr>
                    <w:t>1500个/L</w:t>
                  </w:r>
                </w:p>
              </w:tc>
              <w:tc>
                <w:tcPr>
                  <w:tcW w:w="683" w:type="dxa"/>
                  <w:vMerge w:val="continue"/>
                  <w:vAlign w:val="center"/>
                </w:tcPr>
                <w:p w14:paraId="68D60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716319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p>
              </w:tc>
            </w:tr>
            <w:tr w14:paraId="466D3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9" w:hRule="atLeast"/>
                <w:jc w:val="center"/>
              </w:trPr>
              <w:tc>
                <w:tcPr>
                  <w:tcW w:w="1940" w:type="dxa"/>
                  <w:vMerge w:val="restart"/>
                  <w:vAlign w:val="center"/>
                </w:tcPr>
                <w:p w14:paraId="409DA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r>
                    <w:rPr>
                      <w:rFonts w:hint="eastAsia" w:ascii="Times New Roman" w:hAnsi="Times New Roman" w:cs="Times New Roman"/>
                      <w:bCs/>
                      <w:szCs w:val="21"/>
                    </w:rPr>
                    <w:t>保洁废水</w:t>
                  </w:r>
                  <w:r>
                    <w:rPr>
                      <w:rFonts w:hint="eastAsia" w:ascii="Times New Roman" w:hAnsi="Times New Roman" w:eastAsia="宋体" w:cs="Times New Roman"/>
                      <w:szCs w:val="21"/>
                    </w:rPr>
                    <w:t>0.24</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/d（</w:t>
                  </w:r>
                  <w:r>
                    <w:rPr>
                      <w:rFonts w:hint="eastAsia" w:ascii="Times New Roman" w:hAnsi="Times New Roman" w:eastAsia="宋体" w:cs="Times New Roman"/>
                      <w:szCs w:val="21"/>
                    </w:rPr>
                    <w:t>72</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1537" w:type="dxa"/>
                  <w:vAlign w:val="center"/>
                </w:tcPr>
                <w:p w14:paraId="6A8E64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bCs/>
                      <w:szCs w:val="21"/>
                    </w:rPr>
                  </w:pPr>
                  <w:r>
                    <w:rPr>
                      <w:rFonts w:hint="default" w:ascii="Times New Roman" w:cs="Times New Roman" w:hAnsiTheme="minorEastAsia"/>
                      <w:bCs/>
                      <w:szCs w:val="21"/>
                    </w:rPr>
                    <w:t>p</w:t>
                  </w:r>
                  <w:r>
                    <w:rPr>
                      <w:rFonts w:hint="eastAsia" w:ascii="Times New Roman" w:cs="Times New Roman" w:hAnsiTheme="minorEastAsia"/>
                      <w:bCs/>
                      <w:szCs w:val="21"/>
                    </w:rPr>
                    <w:t>H</w:t>
                  </w:r>
                </w:p>
              </w:tc>
              <w:tc>
                <w:tcPr>
                  <w:tcW w:w="1115" w:type="dxa"/>
                  <w:vAlign w:val="center"/>
                </w:tcPr>
                <w:p w14:paraId="325EC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4～6</w:t>
                  </w:r>
                </w:p>
              </w:tc>
              <w:tc>
                <w:tcPr>
                  <w:tcW w:w="899" w:type="dxa"/>
                  <w:vAlign w:val="center"/>
                </w:tcPr>
                <w:p w14:paraId="75ED5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eastAsia="宋体" w:cs="Times New Roman"/>
                      <w:szCs w:val="21"/>
                    </w:rPr>
                    <w:t>/</w:t>
                  </w:r>
                </w:p>
              </w:tc>
              <w:tc>
                <w:tcPr>
                  <w:tcW w:w="700" w:type="dxa"/>
                  <w:vMerge w:val="restart"/>
                  <w:vAlign w:val="center"/>
                </w:tcPr>
                <w:p w14:paraId="7A4A13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r>
                    <w:rPr>
                      <w:rFonts w:hint="default" w:ascii="Times New Roman" w:hAnsi="Times New Roman" w:eastAsia="宋体" w:cs="Times New Roman"/>
                      <w:szCs w:val="21"/>
                    </w:rPr>
                    <w:t>p</w:t>
                  </w:r>
                  <w:r>
                    <w:rPr>
                      <w:rFonts w:hint="eastAsia" w:ascii="Times New Roman" w:hAnsi="Times New Roman" w:eastAsia="宋体" w:cs="Times New Roman"/>
                      <w:szCs w:val="21"/>
                    </w:rPr>
                    <w:t>H调节</w:t>
                  </w:r>
                </w:p>
              </w:tc>
              <w:tc>
                <w:tcPr>
                  <w:tcW w:w="1062" w:type="dxa"/>
                  <w:vMerge w:val="restart"/>
                  <w:vAlign w:val="center"/>
                </w:tcPr>
                <w:p w14:paraId="7F6509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r>
                    <w:rPr>
                      <w:rFonts w:hint="default" w:ascii="Times New Roman" w:hAnsi="Times New Roman" w:eastAsia="宋体" w:cs="Times New Roman"/>
                      <w:szCs w:val="21"/>
                    </w:rPr>
                    <w:t>是</w:t>
                  </w:r>
                </w:p>
              </w:tc>
              <w:tc>
                <w:tcPr>
                  <w:tcW w:w="700" w:type="dxa"/>
                  <w:vMerge w:val="restart"/>
                  <w:vAlign w:val="center"/>
                </w:tcPr>
                <w:p w14:paraId="5FE9C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r>
                    <w:rPr>
                      <w:rFonts w:hint="eastAsia" w:ascii="Times New Roman" w:hAnsi="Times New Roman" w:eastAsia="宋体" w:cs="Times New Roman"/>
                      <w:szCs w:val="21"/>
                    </w:rPr>
                    <w:t>/</w:t>
                  </w:r>
                </w:p>
              </w:tc>
              <w:tc>
                <w:tcPr>
                  <w:tcW w:w="1550" w:type="dxa"/>
                  <w:vAlign w:val="center"/>
                </w:tcPr>
                <w:p w14:paraId="599F2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6～9</w:t>
                  </w:r>
                </w:p>
              </w:tc>
              <w:tc>
                <w:tcPr>
                  <w:tcW w:w="1196" w:type="dxa"/>
                  <w:vAlign w:val="center"/>
                </w:tcPr>
                <w:p w14:paraId="76291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eastAsia="宋体" w:cs="Times New Roman"/>
                      <w:szCs w:val="21"/>
                    </w:rPr>
                    <w:t>/</w:t>
                  </w:r>
                </w:p>
              </w:tc>
              <w:tc>
                <w:tcPr>
                  <w:tcW w:w="683" w:type="dxa"/>
                  <w:vMerge w:val="continue"/>
                  <w:vAlign w:val="center"/>
                </w:tcPr>
                <w:p w14:paraId="45222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restart"/>
                  <w:vAlign w:val="center"/>
                </w:tcPr>
                <w:p w14:paraId="1E413D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经pH调节后</w:t>
                  </w:r>
                  <w:r>
                    <w:rPr>
                      <w:rFonts w:hint="default" w:ascii="Times New Roman" w:hAnsi="Times New Roman" w:cs="Times New Roman"/>
                      <w:szCs w:val="21"/>
                    </w:rPr>
                    <w:t>排入</w:t>
                  </w:r>
                  <w:r>
                    <w:rPr>
                      <w:rFonts w:hint="eastAsia" w:ascii="Times New Roman" w:hAnsi="Times New Roman" w:cs="Times New Roman"/>
                      <w:szCs w:val="21"/>
                    </w:rPr>
                    <w:t>山南新区污水处理厂</w:t>
                  </w:r>
                </w:p>
              </w:tc>
            </w:tr>
            <w:tr w14:paraId="57B04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continue"/>
                  <w:vAlign w:val="center"/>
                </w:tcPr>
                <w:p w14:paraId="12559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p>
              </w:tc>
              <w:tc>
                <w:tcPr>
                  <w:tcW w:w="1537" w:type="dxa"/>
                  <w:vAlign w:val="center"/>
                </w:tcPr>
                <w:p w14:paraId="760A92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bCs/>
                      <w:szCs w:val="21"/>
                    </w:rPr>
                  </w:pPr>
                  <w:r>
                    <w:rPr>
                      <w:rFonts w:hint="default" w:ascii="Times New Roman" w:cs="Times New Roman" w:hAnsiTheme="minorEastAsia"/>
                      <w:bCs/>
                      <w:szCs w:val="21"/>
                    </w:rPr>
                    <w:t>COD</w:t>
                  </w:r>
                  <w:r>
                    <w:rPr>
                      <w:rFonts w:hint="default" w:ascii="Times New Roman" w:cs="Times New Roman" w:hAnsiTheme="minorEastAsia"/>
                      <w:bCs/>
                      <w:szCs w:val="21"/>
                      <w:vertAlign w:val="subscript"/>
                    </w:rPr>
                    <w:t>Cr</w:t>
                  </w:r>
                </w:p>
              </w:tc>
              <w:tc>
                <w:tcPr>
                  <w:tcW w:w="1115" w:type="dxa"/>
                  <w:vAlign w:val="center"/>
                </w:tcPr>
                <w:p w14:paraId="30024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250</w:t>
                  </w:r>
                </w:p>
              </w:tc>
              <w:tc>
                <w:tcPr>
                  <w:tcW w:w="899" w:type="dxa"/>
                  <w:vAlign w:val="center"/>
                </w:tcPr>
                <w:p w14:paraId="756FB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0.018</w:t>
                  </w:r>
                </w:p>
              </w:tc>
              <w:tc>
                <w:tcPr>
                  <w:tcW w:w="700" w:type="dxa"/>
                  <w:vMerge w:val="continue"/>
                  <w:vAlign w:val="center"/>
                </w:tcPr>
                <w:p w14:paraId="0F0BC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2585C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2D6C9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vAlign w:val="center"/>
                </w:tcPr>
                <w:p w14:paraId="3E8479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250</w:t>
                  </w:r>
                </w:p>
              </w:tc>
              <w:tc>
                <w:tcPr>
                  <w:tcW w:w="1196" w:type="dxa"/>
                  <w:vAlign w:val="center"/>
                </w:tcPr>
                <w:p w14:paraId="382DB9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0.018</w:t>
                  </w:r>
                </w:p>
              </w:tc>
              <w:tc>
                <w:tcPr>
                  <w:tcW w:w="683" w:type="dxa"/>
                  <w:vMerge w:val="continue"/>
                  <w:vAlign w:val="center"/>
                </w:tcPr>
                <w:p w14:paraId="0BC34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55170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r>
            <w:tr w14:paraId="35637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continue"/>
                  <w:vAlign w:val="center"/>
                </w:tcPr>
                <w:p w14:paraId="77B8E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p>
              </w:tc>
              <w:tc>
                <w:tcPr>
                  <w:tcW w:w="1537" w:type="dxa"/>
                  <w:vAlign w:val="center"/>
                </w:tcPr>
                <w:p w14:paraId="66B7E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bCs/>
                      <w:szCs w:val="21"/>
                    </w:rPr>
                  </w:pPr>
                  <w:r>
                    <w:rPr>
                      <w:rFonts w:hint="default" w:ascii="Times New Roman" w:cs="Times New Roman" w:hAnsiTheme="minorEastAsia"/>
                      <w:bCs/>
                      <w:szCs w:val="21"/>
                    </w:rPr>
                    <w:t>BOD</w:t>
                  </w:r>
                  <w:r>
                    <w:rPr>
                      <w:rFonts w:hint="default" w:ascii="Times New Roman" w:cs="Times New Roman" w:hAnsiTheme="minorEastAsia"/>
                      <w:bCs/>
                      <w:szCs w:val="21"/>
                      <w:vertAlign w:val="subscript"/>
                    </w:rPr>
                    <w:t>5</w:t>
                  </w:r>
                </w:p>
              </w:tc>
              <w:tc>
                <w:tcPr>
                  <w:tcW w:w="1115" w:type="dxa"/>
                  <w:vAlign w:val="center"/>
                </w:tcPr>
                <w:p w14:paraId="74741E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100</w:t>
                  </w:r>
                </w:p>
              </w:tc>
              <w:tc>
                <w:tcPr>
                  <w:tcW w:w="899" w:type="dxa"/>
                  <w:vAlign w:val="center"/>
                </w:tcPr>
                <w:p w14:paraId="37C4B2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0.0072</w:t>
                  </w:r>
                </w:p>
              </w:tc>
              <w:tc>
                <w:tcPr>
                  <w:tcW w:w="700" w:type="dxa"/>
                  <w:vMerge w:val="continue"/>
                  <w:vAlign w:val="center"/>
                </w:tcPr>
                <w:p w14:paraId="11DB6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6A96E0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7F17E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vAlign w:val="center"/>
                </w:tcPr>
                <w:p w14:paraId="126BA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100</w:t>
                  </w:r>
                </w:p>
              </w:tc>
              <w:tc>
                <w:tcPr>
                  <w:tcW w:w="1196" w:type="dxa"/>
                  <w:vAlign w:val="center"/>
                </w:tcPr>
                <w:p w14:paraId="1FD85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0.0072</w:t>
                  </w:r>
                </w:p>
              </w:tc>
              <w:tc>
                <w:tcPr>
                  <w:tcW w:w="683" w:type="dxa"/>
                  <w:vMerge w:val="continue"/>
                  <w:vAlign w:val="center"/>
                </w:tcPr>
                <w:p w14:paraId="11E00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7FF73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r>
            <w:tr w14:paraId="02965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continue"/>
                  <w:vAlign w:val="center"/>
                </w:tcPr>
                <w:p w14:paraId="7D178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p>
              </w:tc>
              <w:tc>
                <w:tcPr>
                  <w:tcW w:w="1537" w:type="dxa"/>
                  <w:vAlign w:val="center"/>
                </w:tcPr>
                <w:p w14:paraId="607EC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bCs/>
                      <w:szCs w:val="21"/>
                    </w:rPr>
                  </w:pPr>
                  <w:r>
                    <w:rPr>
                      <w:rFonts w:hint="default" w:ascii="Times New Roman" w:cs="Times New Roman" w:hAnsiTheme="minorEastAsia"/>
                      <w:bCs/>
                      <w:szCs w:val="21"/>
                    </w:rPr>
                    <w:t>SS</w:t>
                  </w:r>
                </w:p>
              </w:tc>
              <w:tc>
                <w:tcPr>
                  <w:tcW w:w="1115" w:type="dxa"/>
                  <w:vAlign w:val="center"/>
                </w:tcPr>
                <w:p w14:paraId="5FE70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280</w:t>
                  </w:r>
                </w:p>
              </w:tc>
              <w:tc>
                <w:tcPr>
                  <w:tcW w:w="899" w:type="dxa"/>
                  <w:vAlign w:val="center"/>
                </w:tcPr>
                <w:p w14:paraId="6CA348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0.0202</w:t>
                  </w:r>
                </w:p>
              </w:tc>
              <w:tc>
                <w:tcPr>
                  <w:tcW w:w="700" w:type="dxa"/>
                  <w:vMerge w:val="continue"/>
                  <w:vAlign w:val="center"/>
                </w:tcPr>
                <w:p w14:paraId="32FC5B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2D6DF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51D53C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vAlign w:val="center"/>
                </w:tcPr>
                <w:p w14:paraId="718F2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280</w:t>
                  </w:r>
                </w:p>
              </w:tc>
              <w:tc>
                <w:tcPr>
                  <w:tcW w:w="1196" w:type="dxa"/>
                  <w:vAlign w:val="center"/>
                </w:tcPr>
                <w:p w14:paraId="19FFCC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0.0202</w:t>
                  </w:r>
                </w:p>
              </w:tc>
              <w:tc>
                <w:tcPr>
                  <w:tcW w:w="683" w:type="dxa"/>
                  <w:vMerge w:val="continue"/>
                  <w:vAlign w:val="center"/>
                </w:tcPr>
                <w:p w14:paraId="37985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5D300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r>
            <w:tr w14:paraId="103E7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restart"/>
                  <w:vAlign w:val="center"/>
                </w:tcPr>
                <w:p w14:paraId="17C89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r>
                    <w:rPr>
                      <w:rFonts w:hint="default" w:ascii="Times New Roman" w:hAnsi="Times New Roman" w:cs="Times New Roman"/>
                      <w:bCs/>
                      <w:szCs w:val="21"/>
                    </w:rPr>
                    <w:t>综合废水</w:t>
                  </w:r>
                  <w:r>
                    <w:rPr>
                      <w:rFonts w:hint="eastAsia" w:ascii="Times New Roman" w:hAnsi="Times New Roman" w:eastAsia="宋体" w:cs="Times New Roman"/>
                      <w:szCs w:val="21"/>
                    </w:rPr>
                    <w:t>6.633</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/d（</w:t>
                  </w:r>
                  <w:r>
                    <w:rPr>
                      <w:rFonts w:hint="eastAsia" w:ascii="Times New Roman" w:hAnsi="Times New Roman" w:eastAsia="宋体" w:cs="Times New Roman"/>
                      <w:szCs w:val="21"/>
                    </w:rPr>
                    <w:t>1989.9</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1537" w:type="dxa"/>
                  <w:vAlign w:val="center"/>
                </w:tcPr>
                <w:p w14:paraId="70D733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bCs/>
                      <w:szCs w:val="21"/>
                    </w:rPr>
                  </w:pPr>
                  <w:r>
                    <w:rPr>
                      <w:rFonts w:hint="eastAsia" w:ascii="Times New Roman" w:hAnsi="Times New Roman" w:eastAsia="宋体" w:cs="Times New Roman"/>
                      <w:szCs w:val="21"/>
                    </w:rPr>
                    <w:t>pH</w:t>
                  </w:r>
                </w:p>
              </w:tc>
              <w:tc>
                <w:tcPr>
                  <w:tcW w:w="1115" w:type="dxa"/>
                  <w:vAlign w:val="center"/>
                </w:tcPr>
                <w:p w14:paraId="651CB4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eastAsia="宋体" w:cs="Times New Roman"/>
                      <w:szCs w:val="21"/>
                    </w:rPr>
                    <w:t>6</w:t>
                  </w:r>
                  <w:r>
                    <w:rPr>
                      <w:rFonts w:hint="eastAsia" w:ascii="Times New Roman" w:hAnsi="Times New Roman" w:cs="Times New Roman"/>
                      <w:szCs w:val="21"/>
                    </w:rPr>
                    <w:t>～</w:t>
                  </w:r>
                  <w:r>
                    <w:rPr>
                      <w:rFonts w:hint="eastAsia" w:ascii="Times New Roman" w:hAnsi="Times New Roman" w:eastAsia="宋体" w:cs="Times New Roman"/>
                      <w:szCs w:val="21"/>
                    </w:rPr>
                    <w:t>9</w:t>
                  </w:r>
                </w:p>
              </w:tc>
              <w:tc>
                <w:tcPr>
                  <w:tcW w:w="899" w:type="dxa"/>
                  <w:vAlign w:val="center"/>
                </w:tcPr>
                <w:p w14:paraId="5CD4C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eastAsia="宋体" w:cs="Times New Roman"/>
                      <w:szCs w:val="21"/>
                    </w:rPr>
                    <w:t>/</w:t>
                  </w:r>
                </w:p>
              </w:tc>
              <w:tc>
                <w:tcPr>
                  <w:tcW w:w="700" w:type="dxa"/>
                  <w:vMerge w:val="restart"/>
                  <w:vAlign w:val="center"/>
                </w:tcPr>
                <w:p w14:paraId="525C3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1062" w:type="dxa"/>
                  <w:vMerge w:val="restart"/>
                  <w:vAlign w:val="center"/>
                </w:tcPr>
                <w:p w14:paraId="1A2F4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700" w:type="dxa"/>
                  <w:vMerge w:val="restart"/>
                  <w:vAlign w:val="center"/>
                </w:tcPr>
                <w:p w14:paraId="65179B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1550" w:type="dxa"/>
                  <w:vAlign w:val="center"/>
                </w:tcPr>
                <w:p w14:paraId="3B087B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eastAsia="宋体" w:cs="Times New Roman"/>
                      <w:szCs w:val="21"/>
                    </w:rPr>
                    <w:t>6～9</w:t>
                  </w:r>
                </w:p>
              </w:tc>
              <w:tc>
                <w:tcPr>
                  <w:tcW w:w="1196" w:type="dxa"/>
                  <w:vAlign w:val="center"/>
                </w:tcPr>
                <w:p w14:paraId="43E9F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eastAsia="宋体" w:cs="Times New Roman"/>
                      <w:szCs w:val="21"/>
                    </w:rPr>
                    <w:t>/</w:t>
                  </w:r>
                </w:p>
              </w:tc>
              <w:tc>
                <w:tcPr>
                  <w:tcW w:w="683" w:type="dxa"/>
                  <w:vMerge w:val="continue"/>
                  <w:vAlign w:val="center"/>
                </w:tcPr>
                <w:p w14:paraId="7C1FAB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restart"/>
                  <w:vAlign w:val="center"/>
                </w:tcPr>
                <w:p w14:paraId="3022E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排入</w:t>
                  </w:r>
                  <w:r>
                    <w:rPr>
                      <w:rFonts w:hint="eastAsia" w:ascii="Times New Roman" w:hAnsi="Times New Roman" w:cs="Times New Roman"/>
                      <w:szCs w:val="21"/>
                    </w:rPr>
                    <w:t>山南新区污水处理厂</w:t>
                  </w:r>
                </w:p>
              </w:tc>
            </w:tr>
            <w:tr w14:paraId="2B0E8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continue"/>
                  <w:vAlign w:val="center"/>
                </w:tcPr>
                <w:p w14:paraId="7FA467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p>
              </w:tc>
              <w:tc>
                <w:tcPr>
                  <w:tcW w:w="1537" w:type="dxa"/>
                  <w:shd w:val="clear" w:color="auto" w:fill="auto"/>
                  <w:vAlign w:val="center"/>
                </w:tcPr>
                <w:p w14:paraId="6DA7B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eastAsiaTheme="minorEastAsia"/>
                      <w:bCs/>
                      <w:kern w:val="2"/>
                      <w:sz w:val="21"/>
                      <w:szCs w:val="21"/>
                      <w:lang w:val="en-US" w:eastAsia="zh-CN" w:bidi="ar-SA"/>
                    </w:rPr>
                  </w:pPr>
                  <w:r>
                    <w:rPr>
                      <w:rFonts w:hint="default" w:ascii="Times New Roman" w:cs="Times New Roman" w:hAnsiTheme="minorEastAsia"/>
                      <w:bCs/>
                      <w:szCs w:val="21"/>
                    </w:rPr>
                    <w:t>COD</w:t>
                  </w:r>
                  <w:r>
                    <w:rPr>
                      <w:rFonts w:hint="default" w:ascii="Times New Roman" w:cs="Times New Roman" w:hAnsiTheme="minorEastAsia"/>
                      <w:bCs/>
                      <w:szCs w:val="21"/>
                      <w:vertAlign w:val="subscript"/>
                    </w:rPr>
                    <w:t>Cr</w:t>
                  </w:r>
                </w:p>
              </w:tc>
              <w:tc>
                <w:tcPr>
                  <w:tcW w:w="1115" w:type="dxa"/>
                  <w:shd w:val="clear" w:color="auto" w:fill="auto"/>
                  <w:vAlign w:val="center"/>
                </w:tcPr>
                <w:p w14:paraId="3193A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298</w:t>
                  </w:r>
                </w:p>
              </w:tc>
              <w:tc>
                <w:tcPr>
                  <w:tcW w:w="899" w:type="dxa"/>
                  <w:shd w:val="clear" w:color="auto" w:fill="auto"/>
                  <w:vAlign w:val="center"/>
                </w:tcPr>
                <w:p w14:paraId="3E179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0.5934</w:t>
                  </w:r>
                </w:p>
              </w:tc>
              <w:tc>
                <w:tcPr>
                  <w:tcW w:w="700" w:type="dxa"/>
                  <w:vMerge w:val="continue"/>
                  <w:vAlign w:val="center"/>
                </w:tcPr>
                <w:p w14:paraId="5A538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zCs w:val="21"/>
                    </w:rPr>
                  </w:pPr>
                </w:p>
              </w:tc>
              <w:tc>
                <w:tcPr>
                  <w:tcW w:w="1062" w:type="dxa"/>
                  <w:vMerge w:val="continue"/>
                  <w:vAlign w:val="center"/>
                </w:tcPr>
                <w:p w14:paraId="39B5B3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zCs w:val="21"/>
                    </w:rPr>
                  </w:pPr>
                </w:p>
              </w:tc>
              <w:tc>
                <w:tcPr>
                  <w:tcW w:w="700" w:type="dxa"/>
                  <w:vMerge w:val="continue"/>
                  <w:vAlign w:val="center"/>
                </w:tcPr>
                <w:p w14:paraId="54DC8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zCs w:val="21"/>
                    </w:rPr>
                  </w:pPr>
                </w:p>
              </w:tc>
              <w:tc>
                <w:tcPr>
                  <w:tcW w:w="1550" w:type="dxa"/>
                  <w:shd w:val="clear" w:color="auto" w:fill="auto"/>
                  <w:vAlign w:val="center"/>
                </w:tcPr>
                <w:p w14:paraId="5E296D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298</w:t>
                  </w:r>
                </w:p>
              </w:tc>
              <w:tc>
                <w:tcPr>
                  <w:tcW w:w="1196" w:type="dxa"/>
                  <w:shd w:val="clear" w:color="auto" w:fill="auto"/>
                  <w:vAlign w:val="center"/>
                </w:tcPr>
                <w:p w14:paraId="4B252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0.5934</w:t>
                  </w:r>
                </w:p>
              </w:tc>
              <w:tc>
                <w:tcPr>
                  <w:tcW w:w="683" w:type="dxa"/>
                  <w:vMerge w:val="continue"/>
                  <w:vAlign w:val="center"/>
                </w:tcPr>
                <w:p w14:paraId="184D0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05CC15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r>
            <w:tr w14:paraId="08FA1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continue"/>
                  <w:vAlign w:val="center"/>
                </w:tcPr>
                <w:p w14:paraId="48A01B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p>
              </w:tc>
              <w:tc>
                <w:tcPr>
                  <w:tcW w:w="1537" w:type="dxa"/>
                  <w:vAlign w:val="center"/>
                </w:tcPr>
                <w:p w14:paraId="4E2AA0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bCs/>
                      <w:szCs w:val="21"/>
                    </w:rPr>
                  </w:pPr>
                  <w:r>
                    <w:rPr>
                      <w:rFonts w:hint="default" w:ascii="Times New Roman" w:cs="Times New Roman" w:hAnsiTheme="minorEastAsia"/>
                      <w:bCs/>
                      <w:szCs w:val="21"/>
                    </w:rPr>
                    <w:t>BOD</w:t>
                  </w:r>
                  <w:r>
                    <w:rPr>
                      <w:rFonts w:hint="default" w:ascii="Times New Roman" w:cs="Times New Roman" w:hAnsiTheme="minorEastAsia"/>
                      <w:bCs/>
                      <w:szCs w:val="21"/>
                      <w:vertAlign w:val="subscript"/>
                    </w:rPr>
                    <w:t>5</w:t>
                  </w:r>
                </w:p>
              </w:tc>
              <w:tc>
                <w:tcPr>
                  <w:tcW w:w="1115" w:type="dxa"/>
                  <w:vAlign w:val="center"/>
                </w:tcPr>
                <w:p w14:paraId="232F2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100</w:t>
                  </w:r>
                </w:p>
              </w:tc>
              <w:tc>
                <w:tcPr>
                  <w:tcW w:w="899" w:type="dxa"/>
                  <w:vAlign w:val="center"/>
                </w:tcPr>
                <w:p w14:paraId="68C157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0.1984</w:t>
                  </w:r>
                </w:p>
              </w:tc>
              <w:tc>
                <w:tcPr>
                  <w:tcW w:w="700" w:type="dxa"/>
                  <w:vMerge w:val="continue"/>
                  <w:vAlign w:val="center"/>
                </w:tcPr>
                <w:p w14:paraId="11810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0A978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1B54F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vAlign w:val="center"/>
                </w:tcPr>
                <w:p w14:paraId="0019F5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100</w:t>
                  </w:r>
                </w:p>
              </w:tc>
              <w:tc>
                <w:tcPr>
                  <w:tcW w:w="1196" w:type="dxa"/>
                  <w:vAlign w:val="center"/>
                </w:tcPr>
                <w:p w14:paraId="22548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0.1984</w:t>
                  </w:r>
                </w:p>
              </w:tc>
              <w:tc>
                <w:tcPr>
                  <w:tcW w:w="683" w:type="dxa"/>
                  <w:vMerge w:val="continue"/>
                  <w:vAlign w:val="center"/>
                </w:tcPr>
                <w:p w14:paraId="27FE64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003BA0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r>
            <w:tr w14:paraId="67F8D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continue"/>
                  <w:vAlign w:val="center"/>
                </w:tcPr>
                <w:p w14:paraId="6F7700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p>
              </w:tc>
              <w:tc>
                <w:tcPr>
                  <w:tcW w:w="1537" w:type="dxa"/>
                  <w:vAlign w:val="center"/>
                </w:tcPr>
                <w:p w14:paraId="1C3B5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bCs/>
                      <w:szCs w:val="21"/>
                    </w:rPr>
                  </w:pPr>
                  <w:r>
                    <w:rPr>
                      <w:rFonts w:hint="default" w:ascii="Times New Roman" w:cs="Times New Roman" w:hAnsiTheme="minorEastAsia"/>
                      <w:bCs/>
                      <w:szCs w:val="21"/>
                    </w:rPr>
                    <w:t>SS</w:t>
                  </w:r>
                </w:p>
              </w:tc>
              <w:tc>
                <w:tcPr>
                  <w:tcW w:w="1115" w:type="dxa"/>
                  <w:vAlign w:val="center"/>
                </w:tcPr>
                <w:p w14:paraId="3A94D3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155</w:t>
                  </w:r>
                </w:p>
              </w:tc>
              <w:tc>
                <w:tcPr>
                  <w:tcW w:w="899" w:type="dxa"/>
                  <w:vAlign w:val="center"/>
                </w:tcPr>
                <w:p w14:paraId="106C8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0.3086</w:t>
                  </w:r>
                </w:p>
              </w:tc>
              <w:tc>
                <w:tcPr>
                  <w:tcW w:w="700" w:type="dxa"/>
                  <w:vMerge w:val="continue"/>
                  <w:vAlign w:val="center"/>
                </w:tcPr>
                <w:p w14:paraId="0AD4C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6DC3B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3540DF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vAlign w:val="center"/>
                </w:tcPr>
                <w:p w14:paraId="64FF0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155</w:t>
                  </w:r>
                </w:p>
              </w:tc>
              <w:tc>
                <w:tcPr>
                  <w:tcW w:w="1196" w:type="dxa"/>
                  <w:vAlign w:val="center"/>
                </w:tcPr>
                <w:p w14:paraId="10934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0.3086</w:t>
                  </w:r>
                </w:p>
              </w:tc>
              <w:tc>
                <w:tcPr>
                  <w:tcW w:w="683" w:type="dxa"/>
                  <w:vMerge w:val="continue"/>
                  <w:vAlign w:val="center"/>
                </w:tcPr>
                <w:p w14:paraId="291FCF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03FE4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r>
            <w:tr w14:paraId="71DEF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40" w:type="dxa"/>
                  <w:vMerge w:val="continue"/>
                  <w:vAlign w:val="center"/>
                </w:tcPr>
                <w:p w14:paraId="609CC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Cs w:val="21"/>
                    </w:rPr>
                  </w:pPr>
                </w:p>
              </w:tc>
              <w:tc>
                <w:tcPr>
                  <w:tcW w:w="1537" w:type="dxa"/>
                  <w:vAlign w:val="center"/>
                </w:tcPr>
                <w:p w14:paraId="7A6E4F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s="Times New Roman" w:hAnsiTheme="minorEastAsia"/>
                      <w:bCs/>
                      <w:szCs w:val="21"/>
                    </w:rPr>
                  </w:pPr>
                  <w:r>
                    <w:rPr>
                      <w:rFonts w:hint="default" w:ascii="Times New Roman" w:cs="Times New Roman" w:hAnsiTheme="minorEastAsia"/>
                      <w:bCs/>
                      <w:szCs w:val="21"/>
                    </w:rPr>
                    <w:t>NH</w:t>
                  </w:r>
                  <w:r>
                    <w:rPr>
                      <w:rFonts w:hint="default" w:ascii="Times New Roman" w:cs="Times New Roman" w:hAnsiTheme="minorEastAsia"/>
                      <w:bCs/>
                      <w:szCs w:val="21"/>
                      <w:vertAlign w:val="subscript"/>
                    </w:rPr>
                    <w:t>3</w:t>
                  </w:r>
                  <w:r>
                    <w:rPr>
                      <w:rFonts w:hint="default" w:ascii="Times New Roman" w:cs="Times New Roman" w:hAnsiTheme="minorEastAsia"/>
                      <w:bCs/>
                      <w:szCs w:val="21"/>
                    </w:rPr>
                    <w:t>-N</w:t>
                  </w:r>
                </w:p>
              </w:tc>
              <w:tc>
                <w:tcPr>
                  <w:tcW w:w="1115" w:type="dxa"/>
                  <w:vAlign w:val="center"/>
                </w:tcPr>
                <w:p w14:paraId="1E97A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24</w:t>
                  </w:r>
                </w:p>
              </w:tc>
              <w:tc>
                <w:tcPr>
                  <w:tcW w:w="899" w:type="dxa"/>
                  <w:vAlign w:val="center"/>
                </w:tcPr>
                <w:p w14:paraId="7D7F4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0.0479</w:t>
                  </w:r>
                </w:p>
              </w:tc>
              <w:tc>
                <w:tcPr>
                  <w:tcW w:w="700" w:type="dxa"/>
                  <w:vMerge w:val="continue"/>
                  <w:vAlign w:val="center"/>
                </w:tcPr>
                <w:p w14:paraId="2B396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062" w:type="dxa"/>
                  <w:vMerge w:val="continue"/>
                  <w:vAlign w:val="center"/>
                </w:tcPr>
                <w:p w14:paraId="3DD9C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700" w:type="dxa"/>
                  <w:vMerge w:val="continue"/>
                  <w:vAlign w:val="center"/>
                </w:tcPr>
                <w:p w14:paraId="12276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highlight w:val="yellow"/>
                    </w:rPr>
                  </w:pPr>
                </w:p>
              </w:tc>
              <w:tc>
                <w:tcPr>
                  <w:tcW w:w="1550" w:type="dxa"/>
                  <w:vAlign w:val="center"/>
                </w:tcPr>
                <w:p w14:paraId="72B1E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24</w:t>
                  </w:r>
                </w:p>
              </w:tc>
              <w:tc>
                <w:tcPr>
                  <w:tcW w:w="1196" w:type="dxa"/>
                  <w:vAlign w:val="center"/>
                </w:tcPr>
                <w:p w14:paraId="210F0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Cs w:val="21"/>
                    </w:rPr>
                  </w:pPr>
                  <w:r>
                    <w:rPr>
                      <w:rFonts w:hint="eastAsia" w:ascii="Times New Roman" w:hAnsi="Times New Roman" w:cs="Times New Roman"/>
                      <w:szCs w:val="21"/>
                    </w:rPr>
                    <w:t>0.0479</w:t>
                  </w:r>
                </w:p>
              </w:tc>
              <w:tc>
                <w:tcPr>
                  <w:tcW w:w="683" w:type="dxa"/>
                  <w:vMerge w:val="continue"/>
                  <w:vAlign w:val="center"/>
                </w:tcPr>
                <w:p w14:paraId="680AB1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c>
                <w:tcPr>
                  <w:tcW w:w="1865" w:type="dxa"/>
                  <w:vMerge w:val="continue"/>
                  <w:vAlign w:val="center"/>
                </w:tcPr>
                <w:p w14:paraId="6B793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Cs w:val="21"/>
                    </w:rPr>
                  </w:pPr>
                </w:p>
              </w:tc>
            </w:tr>
          </w:tbl>
          <w:p w14:paraId="0CEA0A0A">
            <w:pPr>
              <w:keepNext w:val="0"/>
              <w:keepLines w:val="0"/>
              <w:suppressLineNumbers w:val="0"/>
              <w:spacing w:before="0" w:beforeAutospacing="0" w:after="0" w:afterAutospacing="0" w:line="360" w:lineRule="auto"/>
              <w:ind w:left="0" w:right="0"/>
              <w:jc w:val="left"/>
              <w:rPr>
                <w:rFonts w:hint="default" w:ascii="Times New Roman" w:hAnsi="Times New Roman" w:cs="Times New Roman"/>
                <w:snapToGrid w:val="0"/>
                <w:kern w:val="0"/>
                <w:sz w:val="24"/>
              </w:rPr>
            </w:pPr>
          </w:p>
        </w:tc>
      </w:tr>
    </w:tbl>
    <w:p w14:paraId="65ACA8B4">
      <w:pPr>
        <w:widowControl/>
        <w:spacing w:before="100" w:beforeAutospacing="1" w:after="100" w:afterAutospacing="1"/>
        <w:outlineLvl w:val="0"/>
        <w:rPr>
          <w:rFonts w:ascii="Times New Roman" w:hAnsi="Times New Roman" w:eastAsia="黑体" w:cs="Times New Roman"/>
          <w:snapToGrid w:val="0"/>
          <w:kern w:val="0"/>
          <w:sz w:val="30"/>
          <w:szCs w:val="30"/>
        </w:rPr>
        <w:sectPr>
          <w:pgSz w:w="16838" w:h="11906" w:orient="landscape"/>
          <w:pgMar w:top="1800" w:right="1440" w:bottom="1800" w:left="1440" w:header="851" w:footer="992" w:gutter="0"/>
          <w:cols w:space="425" w:num="1"/>
          <w:docGrid w:type="lines" w:linePitch="312" w:charSpace="0"/>
        </w:sectPr>
      </w:pPr>
    </w:p>
    <w:tbl>
      <w:tblPr>
        <w:tblStyle w:val="17"/>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8147"/>
      </w:tblGrid>
      <w:tr w14:paraId="4CE98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5" w:hRule="atLeast"/>
        </w:trPr>
        <w:tc>
          <w:tcPr>
            <w:tcW w:w="352" w:type="pct"/>
            <w:tcMar>
              <w:left w:w="28" w:type="dxa"/>
              <w:right w:w="28" w:type="dxa"/>
            </w:tcMar>
            <w:vAlign w:val="center"/>
          </w:tcPr>
          <w:p w14:paraId="4D95BB5C">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运营</w:t>
            </w:r>
          </w:p>
          <w:p w14:paraId="3E88E91F">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期环</w:t>
            </w:r>
          </w:p>
          <w:p w14:paraId="4E264F6C">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境影</w:t>
            </w:r>
          </w:p>
          <w:p w14:paraId="362CB66F">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响和</w:t>
            </w:r>
          </w:p>
          <w:p w14:paraId="28B660ED">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保护</w:t>
            </w:r>
          </w:p>
          <w:p w14:paraId="3EBA22E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措施</w:t>
            </w:r>
          </w:p>
        </w:tc>
        <w:tc>
          <w:tcPr>
            <w:tcW w:w="4648" w:type="pct"/>
          </w:tcPr>
          <w:p w14:paraId="380B763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2、运营期水环境保护措施</w:t>
            </w:r>
          </w:p>
          <w:p w14:paraId="3A36E4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根据《建设项目环境影响报告表编制技术指南（污染影响类）（试行）》要求，本项目</w:t>
            </w:r>
            <w:r>
              <w:rPr>
                <w:rFonts w:hint="eastAsia" w:ascii="Times New Roman" w:hAnsi="宋体" w:eastAsia="宋体" w:cs="Times New Roman"/>
                <w:bCs/>
                <w:sz w:val="24"/>
                <w:szCs w:val="24"/>
              </w:rPr>
              <w:t>生活污水、后段清洗废水和保洁废水</w:t>
            </w:r>
            <w:r>
              <w:rPr>
                <w:rFonts w:hint="eastAsia" w:ascii="Times New Roman" w:hAnsi="Times New Roman" w:eastAsia="宋体" w:cs="Times New Roman"/>
                <w:bCs/>
                <w:sz w:val="24"/>
              </w:rPr>
              <w:t>达到</w:t>
            </w:r>
            <w:r>
              <w:rPr>
                <w:rFonts w:hint="default" w:ascii="Times New Roman" w:hAnsi="Times New Roman" w:eastAsia="宋体" w:cs="Times New Roman"/>
                <w:sz w:val="24"/>
                <w:szCs w:val="24"/>
              </w:rPr>
              <w:t>山南新区污水处理厂</w:t>
            </w:r>
            <w:r>
              <w:rPr>
                <w:rFonts w:hint="eastAsia" w:ascii="Times New Roman" w:hAnsi="Times New Roman" w:eastAsia="宋体" w:cs="Times New Roman"/>
                <w:sz w:val="24"/>
              </w:rPr>
              <w:t>接管限值后，</w:t>
            </w:r>
            <w:r>
              <w:rPr>
                <w:rFonts w:hint="eastAsia" w:ascii="Times New Roman" w:hAnsi="Times New Roman" w:eastAsia="宋体" w:cs="Times New Roman"/>
                <w:bCs/>
                <w:sz w:val="24"/>
              </w:rPr>
              <w:t>排入</w:t>
            </w:r>
            <w:r>
              <w:rPr>
                <w:rFonts w:hint="default" w:ascii="Times New Roman" w:hAnsi="Times New Roman" w:eastAsia="宋体" w:cs="Times New Roman"/>
                <w:sz w:val="24"/>
                <w:szCs w:val="24"/>
              </w:rPr>
              <w:t>山南新区污水处理厂</w:t>
            </w:r>
            <w:r>
              <w:rPr>
                <w:rFonts w:hint="eastAsia" w:ascii="Times New Roman" w:hAnsi="Times New Roman" w:eastAsia="宋体" w:cs="Times New Roman"/>
                <w:bCs/>
                <w:sz w:val="24"/>
              </w:rPr>
              <w:t>处理</w:t>
            </w:r>
            <w:r>
              <w:rPr>
                <w:rFonts w:hint="eastAsia" w:ascii="Times New Roman" w:hAnsi="Times New Roman" w:eastAsia="宋体" w:cs="Times New Roman"/>
                <w:bCs/>
                <w:sz w:val="24"/>
                <w:szCs w:val="24"/>
              </w:rPr>
              <w:t>，属于间接排放，主要调查水污染控制和水环境影响减缓措施及对依托污水处理设施的环境可行性进行调查。</w:t>
            </w:r>
          </w:p>
          <w:p w14:paraId="22C1B909">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rPr>
              <w:t>（1）废水处理措施可行性分析</w:t>
            </w:r>
          </w:p>
          <w:p w14:paraId="064081C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bCs/>
                <w:sz w:val="24"/>
                <w:szCs w:val="24"/>
              </w:rPr>
              <w:t>项目废水主要为</w:t>
            </w:r>
            <w:r>
              <w:rPr>
                <w:rFonts w:hint="eastAsia" w:ascii="Times New Roman" w:hAnsi="Times New Roman" w:eastAsia="宋体" w:cs="Times New Roman"/>
                <w:sz w:val="24"/>
              </w:rPr>
              <w:t>生活污水、后段清洗废水和保洁废水</w:t>
            </w:r>
            <w:r>
              <w:rPr>
                <w:rFonts w:hint="eastAsia" w:ascii="Times New Roman" w:hAnsi="Times New Roman" w:eastAsia="宋体" w:cs="Times New Roman"/>
                <w:bCs/>
                <w:sz w:val="24"/>
                <w:szCs w:val="24"/>
              </w:rPr>
              <w:t>，废水产生量约为6.633</w:t>
            </w:r>
            <w:r>
              <w:rPr>
                <w:rFonts w:hint="eastAsia" w:ascii="Times New Roman" w:hAnsi="Times New Roman" w:eastAsia="宋体" w:cs="Times New Roman"/>
                <w:sz w:val="24"/>
                <w:szCs w:val="24"/>
              </w:rPr>
              <w:t>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/d（1989.9m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w:t>
            </w:r>
          </w:p>
          <w:p w14:paraId="3566C6A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rPr>
              <w:t>生活污水、后段清洗废水和保洁废水经处理后排入山南新区</w:t>
            </w:r>
            <w:r>
              <w:rPr>
                <w:rFonts w:hint="eastAsia" w:ascii="Times New Roman" w:hAnsi="Times New Roman" w:eastAsia="宋体" w:cs="Times New Roman"/>
                <w:sz w:val="24"/>
                <w:szCs w:val="24"/>
              </w:rPr>
              <w:t>污水处理厂处理达到《城镇污水处理厂污染物排放标准》（GB18918-2002）一级A排放标准后</w:t>
            </w:r>
            <w:r>
              <w:rPr>
                <w:rFonts w:hint="default" w:ascii="Times New Roman" w:hAnsi="Times New Roman" w:eastAsia="宋体" w:cs="Times New Roman"/>
                <w:sz w:val="24"/>
                <w:szCs w:val="24"/>
              </w:rPr>
              <w:t>经建湾渠排入高塘湖，最终汇入淮河</w:t>
            </w:r>
            <w:r>
              <w:rPr>
                <w:rFonts w:hint="eastAsia" w:ascii="Times New Roman" w:hAnsi="Times New Roman" w:eastAsia="宋体" w:cs="Times New Roman"/>
                <w:sz w:val="24"/>
                <w:szCs w:val="24"/>
              </w:rPr>
              <w:t>。</w:t>
            </w:r>
          </w:p>
          <w:p w14:paraId="288156BE">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b/>
                <w:sz w:val="24"/>
                <w:szCs w:val="24"/>
              </w:rPr>
            </w:pPr>
            <w:r>
              <w:rPr>
                <w:rFonts w:hint="eastAsia" w:ascii="Times New Roman" w:hAnsi="Times New Roman"/>
                <w:b/>
                <w:sz w:val="24"/>
                <w:szCs w:val="24"/>
              </w:rPr>
              <w:t>（2）污水依托山南新区</w:t>
            </w:r>
            <w:r>
              <w:rPr>
                <w:rFonts w:hint="default" w:ascii="Times New Roman" w:hAnsi="Times New Roman"/>
                <w:b/>
                <w:sz w:val="24"/>
                <w:szCs w:val="24"/>
              </w:rPr>
              <w:t>污水处理厂</w:t>
            </w:r>
            <w:r>
              <w:rPr>
                <w:rFonts w:hint="eastAsia" w:ascii="Times New Roman" w:hAnsi="Times New Roman"/>
                <w:b/>
                <w:sz w:val="24"/>
                <w:szCs w:val="24"/>
              </w:rPr>
              <w:t>处理可行性分析</w:t>
            </w:r>
          </w:p>
          <w:p w14:paraId="375483B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szCs w:val="24"/>
              </w:rPr>
            </w:pPr>
            <w:r>
              <w:rPr>
                <w:rFonts w:hint="eastAsia" w:ascii="Times New Roman" w:hAnsi="Times New Roman" w:eastAsia="宋体" w:cs="宋体"/>
                <w:bCs/>
                <w:sz w:val="24"/>
                <w:szCs w:val="24"/>
              </w:rPr>
              <w:t>①</w:t>
            </w:r>
            <w:r>
              <w:rPr>
                <w:rFonts w:hint="default" w:ascii="Times New Roman" w:hAnsi="Times New Roman" w:eastAsia="宋体" w:cs="Times New Roman"/>
                <w:bCs/>
                <w:sz w:val="24"/>
                <w:szCs w:val="24"/>
              </w:rPr>
              <w:t>污水接管可行性分析</w:t>
            </w:r>
          </w:p>
          <w:p w14:paraId="641FBF27">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山南新区污水处理厂位于淮南市山南新区孔店乡马厂村，南纬十路以南，南经十八路以东区域，占地面积约3.68公顷，配套污水管网51.53公里。服务范围包括：南经六路以东、南纬十路以北、南经十四路以西、南纬一路以南的范围，服务面积约十八平方千米，服务人口约18万人。污水处理采用预处理+A</w:t>
            </w:r>
            <w:r>
              <w:rPr>
                <w:rFonts w:hint="default" w:ascii="Times New Roman" w:hAnsi="Times New Roman" w:eastAsia="宋体" w:cs="Times New Roman"/>
                <w:kern w:val="0"/>
                <w:sz w:val="24"/>
                <w:vertAlign w:val="superscript"/>
              </w:rPr>
              <w:t>2</w:t>
            </w:r>
            <w:r>
              <w:rPr>
                <w:rFonts w:hint="default" w:ascii="Times New Roman" w:hAnsi="Times New Roman" w:eastAsia="宋体" w:cs="Times New Roman"/>
                <w:kern w:val="0"/>
                <w:sz w:val="24"/>
              </w:rPr>
              <w:t>/O氧化沟二级生化+深度处理+消毒处理工艺，污泥处理采用机械浓缩脱水处理工艺，处理后的尾水达到</w:t>
            </w:r>
            <w:r>
              <w:rPr>
                <w:rFonts w:hint="default" w:ascii="Times New Roman" w:hAnsi="Times New Roman" w:eastAsia="宋体" w:cs="Times New Roman"/>
                <w:bCs/>
                <w:sz w:val="24"/>
              </w:rPr>
              <w:t>《城镇污水处理厂污染物排放标准》（GB18918-2002）</w:t>
            </w:r>
            <w:r>
              <w:rPr>
                <w:rFonts w:hint="default" w:ascii="Times New Roman" w:hAnsi="Times New Roman" w:eastAsia="宋体" w:cs="Times New Roman"/>
                <w:kern w:val="0"/>
                <w:sz w:val="24"/>
              </w:rPr>
              <w:t>一级A排放标准。本项目位置在收水范围内</w:t>
            </w:r>
            <w:r>
              <w:rPr>
                <w:rFonts w:hint="eastAsia" w:ascii="Times New Roman" w:hAnsi="Times New Roman" w:cs="Times New Roman"/>
                <w:sz w:val="24"/>
                <w:szCs w:val="24"/>
              </w:rPr>
              <w:t>。</w:t>
            </w:r>
          </w:p>
          <w:p w14:paraId="7F63C27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4"/>
              </w:rPr>
            </w:pPr>
            <w:r>
              <w:rPr>
                <w:rFonts w:hint="eastAsia" w:ascii="Times New Roman" w:hAnsi="Times New Roman" w:eastAsia="宋体" w:cs="宋体"/>
                <w:sz w:val="24"/>
                <w:szCs w:val="24"/>
              </w:rPr>
              <w:t>②山南新区</w:t>
            </w:r>
            <w:r>
              <w:rPr>
                <w:rFonts w:hint="default" w:ascii="Times New Roman" w:hAnsi="Times New Roman" w:cs="Times New Roman"/>
                <w:sz w:val="24"/>
                <w:szCs w:val="24"/>
              </w:rPr>
              <w:t>污水处理</w:t>
            </w:r>
            <w:r>
              <w:rPr>
                <w:rFonts w:hint="eastAsia" w:ascii="Times New Roman" w:hAnsi="Times New Roman" w:cs="Times New Roman"/>
                <w:sz w:val="24"/>
                <w:szCs w:val="24"/>
              </w:rPr>
              <w:t>厂</w:t>
            </w:r>
            <w:r>
              <w:rPr>
                <w:rFonts w:hint="default" w:ascii="Times New Roman" w:hAnsi="Times New Roman" w:cs="Times New Roman"/>
                <w:sz w:val="24"/>
                <w:szCs w:val="24"/>
              </w:rPr>
              <w:t>污水处理能力可行性分析</w:t>
            </w:r>
          </w:p>
          <w:p w14:paraId="69F0CE53">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sz w:val="24"/>
                <w:szCs w:val="24"/>
              </w:rPr>
            </w:pPr>
            <w:r>
              <w:rPr>
                <w:rFonts w:hint="default" w:ascii="Times New Roman" w:hAnsi="Times New Roman" w:eastAsia="宋体" w:cs="Times New Roman"/>
                <w:kern w:val="0"/>
                <w:sz w:val="24"/>
              </w:rPr>
              <w:t>山南新区污水处理厂近期设计处理规模5万t/d，远期设计处理规模10万t/d，山南新区污水处理厂近期工程已于2016年建成运营。</w:t>
            </w:r>
            <w:r>
              <w:rPr>
                <w:rFonts w:hint="eastAsia" w:ascii="Times New Roman" w:hAnsi="Times New Roman" w:eastAsia="宋体" w:cs="Times New Roman"/>
                <w:kern w:val="0"/>
                <w:sz w:val="24"/>
              </w:rPr>
              <w:t>目前日均污水处理负荷为40000m</w:t>
            </w:r>
            <w:r>
              <w:rPr>
                <w:rFonts w:hint="eastAsia"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/d</w:t>
            </w:r>
            <w:r>
              <w:rPr>
                <w:rFonts w:hint="default" w:ascii="Times New Roman" w:hAnsi="Times New Roman" w:eastAsia="宋体" w:cs="Times New Roman"/>
                <w:kern w:val="0"/>
                <w:sz w:val="24"/>
              </w:rPr>
              <w:t>。项目废水项目运营期新增污水量为</w:t>
            </w:r>
            <w:r>
              <w:rPr>
                <w:rFonts w:hint="eastAsia" w:ascii="Times New Roman" w:hAnsi="Times New Roman" w:eastAsia="宋体" w:cs="Times New Roman"/>
                <w:kern w:val="0"/>
                <w:sz w:val="24"/>
              </w:rPr>
              <w:t>1989.9</w:t>
            </w:r>
            <w:r>
              <w:rPr>
                <w:rFonts w:hint="default" w:ascii="Times New Roman" w:hAnsi="Times New Roman" w:eastAsia="宋体" w:cs="Times New Roman"/>
                <w:kern w:val="0"/>
                <w:sz w:val="24"/>
              </w:rPr>
              <w:t>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/d，占山南新区污水处理厂剩余处理能力的</w:t>
            </w:r>
            <w:r>
              <w:rPr>
                <w:rFonts w:hint="eastAsia" w:ascii="Times New Roman" w:hAnsi="Times New Roman" w:eastAsia="宋体" w:cs="Times New Roman"/>
                <w:kern w:val="0"/>
                <w:sz w:val="24"/>
              </w:rPr>
              <w:t>19.90</w:t>
            </w:r>
            <w:r>
              <w:rPr>
                <w:rFonts w:hint="default" w:ascii="Times New Roman" w:hAnsi="Times New Roman" w:eastAsia="宋体" w:cs="Times New Roman"/>
                <w:kern w:val="0"/>
                <w:sz w:val="24"/>
              </w:rPr>
              <w:t>%，从水量上来讲，项目废水接管进入山南新区污水处理厂可行</w:t>
            </w:r>
            <w:r>
              <w:rPr>
                <w:rFonts w:hint="default" w:ascii="Times New Roman" w:hAnsi="Times New Roman" w:cs="Times New Roman"/>
                <w:sz w:val="24"/>
                <w:szCs w:val="24"/>
              </w:rPr>
              <w:t>。</w:t>
            </w:r>
          </w:p>
          <w:p w14:paraId="782AB0C0">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污水处理厂采用A</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O工艺，废水于厌氧段进行释磷反应和发酵反应，缺氧段进行反硝化反应，于好氧池进行硝化反应和磷吸附反应，在二沉池内进行泥水分离。针对污水的进水水质情况，按低负荷设计A</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O工艺，结合采用较佳池体型式，则可达到预期的出水指标。山南新区污水处理厂处理工艺流程见下图：</w:t>
            </w:r>
          </w:p>
          <w:p w14:paraId="38D9419A">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drawing>
                <wp:inline distT="0" distB="0" distL="0" distR="0">
                  <wp:extent cx="5033010" cy="1816735"/>
                  <wp:effectExtent l="0" t="0" r="15240" b="12065"/>
                  <wp:docPr id="21" name="图片 21" descr="C:\Users\Administrator\AppData\Local\Temp\ksohtml1292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Local\Temp\ksohtml12920\wp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51930" cy="1823557"/>
                          </a:xfrm>
                          <a:prstGeom prst="rect">
                            <a:avLst/>
                          </a:prstGeom>
                          <a:noFill/>
                          <a:ln>
                            <a:noFill/>
                          </a:ln>
                        </pic:spPr>
                      </pic:pic>
                    </a:graphicData>
                  </a:graphic>
                </wp:inline>
              </w:drawing>
            </w:r>
          </w:p>
          <w:p w14:paraId="2AB08F9D">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图4-</w:t>
            </w:r>
            <w:r>
              <w:rPr>
                <w:rFonts w:hint="eastAsia" w:ascii="Times New Roman" w:hAnsi="Times New Roman" w:eastAsia="黑体" w:cs="Times New Roman"/>
                <w:bCs/>
                <w:sz w:val="24"/>
                <w:szCs w:val="24"/>
              </w:rPr>
              <w:t>1  山南新区</w:t>
            </w:r>
            <w:r>
              <w:rPr>
                <w:rFonts w:hint="default" w:ascii="Times New Roman" w:hAnsi="Times New Roman" w:eastAsia="黑体" w:cs="Times New Roman"/>
                <w:bCs/>
                <w:sz w:val="24"/>
                <w:szCs w:val="24"/>
              </w:rPr>
              <w:t>污水处理</w:t>
            </w:r>
            <w:r>
              <w:rPr>
                <w:rFonts w:hint="eastAsia" w:ascii="Times New Roman" w:hAnsi="Times New Roman" w:eastAsia="黑体" w:cs="Times New Roman"/>
                <w:bCs/>
                <w:sz w:val="24"/>
                <w:szCs w:val="24"/>
              </w:rPr>
              <w:t>厂工艺</w:t>
            </w:r>
            <w:r>
              <w:rPr>
                <w:rFonts w:hint="default" w:ascii="Times New Roman" w:hAnsi="Times New Roman" w:eastAsia="黑体" w:cs="Times New Roman"/>
                <w:bCs/>
                <w:sz w:val="24"/>
                <w:szCs w:val="24"/>
              </w:rPr>
              <w:t>流程图</w:t>
            </w:r>
          </w:p>
          <w:p w14:paraId="470D08BE">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Times New Roman"/>
                <w:kern w:val="0"/>
                <w:sz w:val="24"/>
              </w:rPr>
              <w:t>本项目废水水质较为简单，排放浓度符合标准，不存在对污水处理厂水质产生影响的特征污染因子，因此预计本项目废水不会对污水处理厂的正常运行造成冲击和影响。污水处理厂出水水质可达到《城镇污水处理厂污染物排放标准》一级A标准，排入建湾渠，最终流入高塘湖，对地表水</w:t>
            </w:r>
            <w:bookmarkStart w:id="7" w:name="_GoBack"/>
            <w:r>
              <w:rPr>
                <w:rFonts w:hint="eastAsia" w:ascii="Times New Roman" w:hAnsi="Times New Roman" w:eastAsia="宋体" w:cs="Times New Roman"/>
                <w:kern w:val="0"/>
                <w:sz w:val="24"/>
              </w:rPr>
              <w:t>高塘湖</w:t>
            </w:r>
            <w:bookmarkEnd w:id="7"/>
            <w:r>
              <w:rPr>
                <w:rFonts w:hint="eastAsia" w:ascii="Times New Roman" w:hAnsi="Times New Roman" w:eastAsia="宋体" w:cs="Times New Roman"/>
                <w:kern w:val="0"/>
                <w:sz w:val="24"/>
              </w:rPr>
              <w:t>影响很小。不会降低项目所在区域水环境原有功能。</w:t>
            </w:r>
          </w:p>
          <w:p w14:paraId="549EFAFF">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Times New Roman"/>
                <w:kern w:val="0"/>
                <w:sz w:val="24"/>
              </w:rPr>
              <w:t>因此本项目外排废水接管山南新区污水处理厂可行。</w:t>
            </w:r>
          </w:p>
          <w:p w14:paraId="63E67666">
            <w:pPr>
              <w:keepNext w:val="0"/>
              <w:keepLines w:val="0"/>
              <w:suppressLineNumbers w:val="0"/>
              <w:spacing w:before="24" w:beforeAutospacing="0" w:after="0" w:afterAutospacing="0" w:line="360" w:lineRule="auto"/>
              <w:ind w:left="0" w:right="0" w:firstLine="482" w:firstLineChars="200"/>
              <w:rPr>
                <w:rFonts w:hint="default" w:ascii="Times New Roman" w:hAnsi="Times New Roman" w:cs="Times New Roman"/>
                <w:sz w:val="24"/>
              </w:rPr>
            </w:pPr>
            <w:r>
              <w:rPr>
                <w:rFonts w:hint="eastAsia" w:ascii="Times New Roman" w:hAnsi="Times New Roman"/>
                <w:b/>
                <w:sz w:val="24"/>
                <w:szCs w:val="24"/>
              </w:rPr>
              <w:t>3、监测要求</w:t>
            </w:r>
          </w:p>
          <w:p w14:paraId="696CDA6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根据《固定污染源排污许可分类管理名录》（2019年版）规定，企业属于</w:t>
            </w:r>
            <w:r>
              <w:rPr>
                <w:rFonts w:hint="eastAsia" w:ascii="Times New Roman" w:hAnsi="Times New Roman" w:cs="Times New Roman"/>
                <w:sz w:val="24"/>
              </w:rPr>
              <w:t>登记</w:t>
            </w:r>
            <w:r>
              <w:rPr>
                <w:rFonts w:hint="default" w:ascii="Times New Roman" w:hAnsi="Times New Roman" w:cs="Times New Roman"/>
                <w:sz w:val="24"/>
              </w:rPr>
              <w:t>管理，</w:t>
            </w:r>
            <w:r>
              <w:rPr>
                <w:rFonts w:hint="eastAsia" w:ascii="Times New Roman" w:hAnsi="Times New Roman" w:cs="Times New Roman"/>
                <w:sz w:val="24"/>
              </w:rPr>
              <w:t>无需进行监测。</w:t>
            </w:r>
          </w:p>
          <w:p w14:paraId="4ACB8D6C">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宋体"/>
                <w:b/>
                <w:bCs/>
                <w:sz w:val="24"/>
                <w:szCs w:val="24"/>
              </w:rPr>
            </w:pPr>
            <w:r>
              <w:rPr>
                <w:rFonts w:hint="eastAsia" w:ascii="Times New Roman" w:hAnsi="Times New Roman" w:eastAsia="宋体" w:cs="宋体"/>
                <w:b/>
                <w:bCs/>
                <w:sz w:val="24"/>
                <w:szCs w:val="24"/>
              </w:rPr>
              <w:t>二、运营期大气污染物环境影响和保护措施</w:t>
            </w:r>
          </w:p>
          <w:p w14:paraId="40B49CE7">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hint="default" w:ascii="Times New Roman" w:hAnsi="Times New Roman" w:eastAsia="宋体" w:cs="Times New Roman"/>
                <w:b/>
                <w:bCs/>
                <w:sz w:val="24"/>
                <w:szCs w:val="24"/>
              </w:rPr>
              <w:t>、</w:t>
            </w:r>
            <w:r>
              <w:rPr>
                <w:rFonts w:hint="eastAsia" w:ascii="Times New Roman" w:hAnsi="Times New Roman" w:eastAsia="宋体" w:cs="Times New Roman"/>
                <w:b/>
                <w:bCs/>
                <w:sz w:val="24"/>
                <w:szCs w:val="24"/>
              </w:rPr>
              <w:t>运营期大气污染物环境影响分析</w:t>
            </w:r>
          </w:p>
          <w:p w14:paraId="7CBE57E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根据工程分析可知，本项目产生的废气为擦拭废气（G</w:t>
            </w:r>
            <w:r>
              <w:rPr>
                <w:rFonts w:hint="eastAsia" w:ascii="Times New Roman" w:hAnsi="Times New Roman" w:eastAsia="宋体" w:cs="Times New Roman"/>
                <w:bCs/>
                <w:sz w:val="24"/>
                <w:szCs w:val="24"/>
                <w:vertAlign w:val="subscript"/>
              </w:rPr>
              <w:t>1</w:t>
            </w:r>
            <w:r>
              <w:rPr>
                <w:rFonts w:hint="eastAsia" w:ascii="Times New Roman" w:hAnsi="Times New Roman" w:eastAsia="宋体" w:cs="Times New Roman"/>
                <w:bCs/>
                <w:sz w:val="24"/>
                <w:szCs w:val="24"/>
              </w:rPr>
              <w:t>）</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拆包</w:t>
            </w:r>
            <w:r>
              <w:rPr>
                <w:rFonts w:hint="eastAsia" w:ascii="Times New Roman" w:hAnsi="Times New Roman" w:eastAsia="宋体" w:cs="Times New Roman"/>
                <w:bCs/>
                <w:sz w:val="24"/>
                <w:szCs w:val="24"/>
              </w:rPr>
              <w:t>废气（G</w:t>
            </w:r>
            <w:r>
              <w:rPr>
                <w:rFonts w:hint="eastAsia" w:ascii="Times New Roman" w:hAnsi="Times New Roman" w:eastAsia="宋体" w:cs="Times New Roman"/>
                <w:bCs/>
                <w:sz w:val="24"/>
                <w:szCs w:val="24"/>
                <w:vertAlign w:val="subscript"/>
                <w:lang w:val="en-US" w:eastAsia="zh-CN"/>
              </w:rPr>
              <w:t>2</w:t>
            </w:r>
            <w:r>
              <w:rPr>
                <w:rFonts w:hint="eastAsia" w:ascii="Times New Roman" w:hAnsi="Times New Roman" w:eastAsia="宋体" w:cs="Times New Roman"/>
                <w:bCs/>
                <w:sz w:val="24"/>
                <w:szCs w:val="24"/>
              </w:rPr>
              <w:t>）</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包装</w:t>
            </w:r>
            <w:r>
              <w:rPr>
                <w:rFonts w:hint="eastAsia" w:ascii="Times New Roman" w:hAnsi="Times New Roman" w:eastAsia="宋体" w:cs="Times New Roman"/>
                <w:bCs/>
                <w:sz w:val="24"/>
                <w:szCs w:val="24"/>
              </w:rPr>
              <w:t>废气（G</w:t>
            </w:r>
            <w:r>
              <w:rPr>
                <w:rFonts w:hint="eastAsia" w:ascii="Times New Roman" w:hAnsi="Times New Roman" w:eastAsia="宋体" w:cs="Times New Roman"/>
                <w:bCs/>
                <w:sz w:val="24"/>
                <w:szCs w:val="24"/>
                <w:vertAlign w:val="subscript"/>
                <w:lang w:val="en-US" w:eastAsia="zh-CN"/>
              </w:rPr>
              <w:t>3</w:t>
            </w:r>
            <w:r>
              <w:rPr>
                <w:rFonts w:hint="eastAsia" w:ascii="Times New Roman" w:hAnsi="Times New Roman" w:eastAsia="宋体" w:cs="Times New Roman"/>
                <w:bCs/>
                <w:sz w:val="24"/>
                <w:szCs w:val="24"/>
              </w:rPr>
              <w:t>）。</w:t>
            </w:r>
          </w:p>
          <w:p w14:paraId="45F2FBD6">
            <w:pPr>
              <w:keepNext w:val="0"/>
              <w:keepLines w:val="0"/>
              <w:suppressLineNumbers w:val="0"/>
              <w:spacing w:before="0" w:beforeAutospacing="0" w:after="0" w:afterAutospacing="0" w:line="358" w:lineRule="auto"/>
              <w:ind w:left="0" w:right="0" w:firstLine="482" w:firstLineChars="200"/>
              <w:rPr>
                <w:rFonts w:hint="default" w:ascii="Times New Roman" w:hAnsi="Times New Roman" w:cs="Times New Roman"/>
                <w:b/>
                <w:bCs/>
                <w:kern w:val="0"/>
                <w:sz w:val="24"/>
                <w:szCs w:val="24"/>
              </w:rPr>
            </w:pPr>
            <w:r>
              <w:rPr>
                <w:rFonts w:hint="eastAsia" w:ascii="Times New Roman" w:hAnsi="Times New Roman" w:cs="Times New Roman"/>
                <w:b/>
                <w:bCs/>
                <w:kern w:val="0"/>
                <w:sz w:val="24"/>
                <w:szCs w:val="24"/>
              </w:rPr>
              <w:t>源强分析</w:t>
            </w:r>
          </w:p>
          <w:p w14:paraId="7A66184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a、擦拭废气</w:t>
            </w:r>
            <w:r>
              <w:rPr>
                <w:rFonts w:hint="eastAsia" w:ascii="Times New Roman" w:hAnsi="Times New Roman" w:eastAsia="宋体" w:cs="Times New Roman"/>
                <w:bCs/>
                <w:sz w:val="24"/>
                <w:szCs w:val="24"/>
              </w:rPr>
              <w:t>（G</w:t>
            </w:r>
            <w:r>
              <w:rPr>
                <w:rFonts w:hint="eastAsia" w:ascii="Times New Roman" w:hAnsi="Times New Roman" w:eastAsia="宋体" w:cs="Times New Roman"/>
                <w:bCs/>
                <w:sz w:val="24"/>
                <w:szCs w:val="24"/>
                <w:vertAlign w:val="subscript"/>
              </w:rPr>
              <w:t>1</w:t>
            </w:r>
            <w:r>
              <w:rPr>
                <w:rFonts w:hint="eastAsia" w:ascii="Times New Roman" w:hAnsi="Times New Roman" w:eastAsia="宋体" w:cs="Times New Roman"/>
                <w:bCs/>
                <w:sz w:val="24"/>
                <w:szCs w:val="24"/>
              </w:rPr>
              <w:t>）</w:t>
            </w:r>
          </w:p>
          <w:p w14:paraId="759CBD2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项目装配前，部分仪器设备需使用无尘布蘸乙醇擦拭，项目产生擦拭过程中乙醇年使用量为</w:t>
            </w:r>
            <w:r>
              <w:rPr>
                <w:rFonts w:hint="eastAsia" w:ascii="Times New Roman" w:hAnsi="Times New Roman" w:eastAsia="宋体" w:cs="Times New Roman"/>
                <w:bCs/>
                <w:sz w:val="24"/>
                <w:szCs w:val="24"/>
                <w:lang w:val="en-US" w:eastAsia="zh-CN"/>
              </w:rPr>
              <w:t>0.5</w:t>
            </w:r>
            <w:r>
              <w:rPr>
                <w:rFonts w:hint="default" w:ascii="Times New Roman" w:hAnsi="Times New Roman" w:eastAsia="宋体" w:cs="Times New Roman"/>
                <w:bCs/>
                <w:sz w:val="24"/>
                <w:szCs w:val="24"/>
              </w:rPr>
              <w:t>t，本次评价考虑乙醇全部挥发，则擦拭过程非甲烷产生量为</w:t>
            </w:r>
            <w:r>
              <w:rPr>
                <w:rFonts w:hint="eastAsia" w:ascii="Times New Roman" w:hAnsi="Times New Roman" w:eastAsia="宋体" w:cs="Times New Roman"/>
                <w:bCs/>
                <w:sz w:val="24"/>
                <w:szCs w:val="24"/>
                <w:lang w:val="en-US" w:eastAsia="zh-CN"/>
              </w:rPr>
              <w:t>0.5</w:t>
            </w:r>
            <w:r>
              <w:rPr>
                <w:rFonts w:hint="default" w:ascii="Times New Roman" w:hAnsi="Times New Roman" w:eastAsia="宋体" w:cs="Times New Roman"/>
                <w:bCs/>
                <w:sz w:val="24"/>
                <w:szCs w:val="24"/>
              </w:rPr>
              <w:t>t/a，擦拭时间为600h。根据《挥发性有机物无组织排放控制标准》（</w:t>
            </w:r>
            <w:r>
              <w:rPr>
                <w:rFonts w:hint="eastAsia" w:ascii="Times New Roman" w:hAnsi="Times New Roman" w:eastAsia="宋体" w:cs="Times New Roman"/>
                <w:bCs/>
                <w:sz w:val="24"/>
                <w:szCs w:val="24"/>
              </w:rPr>
              <w:t>G</w:t>
            </w:r>
            <w:r>
              <w:rPr>
                <w:rFonts w:hint="default" w:ascii="Times New Roman" w:hAnsi="Times New Roman" w:eastAsia="宋体" w:cs="Times New Roman"/>
                <w:bCs/>
                <w:sz w:val="24"/>
                <w:szCs w:val="24"/>
              </w:rPr>
              <w:t>B37822-2019）中收集的非甲烷总烃排放速率≥2kg/h时，应配置VOCs处理装置，本项目产生速率为</w:t>
            </w:r>
            <w:r>
              <w:rPr>
                <w:rFonts w:hint="eastAsia" w:ascii="Times New Roman" w:hAnsi="Times New Roman" w:eastAsia="宋体" w:cs="Times New Roman"/>
                <w:bCs/>
                <w:sz w:val="24"/>
                <w:szCs w:val="24"/>
                <w:lang w:val="en-US" w:eastAsia="zh-CN"/>
              </w:rPr>
              <w:t>0.83</w:t>
            </w:r>
            <w:r>
              <w:rPr>
                <w:rFonts w:hint="default" w:ascii="Times New Roman" w:hAnsi="Times New Roman" w:eastAsia="宋体" w:cs="Times New Roman"/>
                <w:bCs/>
                <w:sz w:val="24"/>
                <w:szCs w:val="24"/>
              </w:rPr>
              <w:t>kg/h，擦拭废气（G</w:t>
            </w:r>
            <w:r>
              <w:rPr>
                <w:rFonts w:hint="default" w:ascii="Times New Roman" w:hAnsi="Times New Roman" w:eastAsia="宋体" w:cs="Times New Roman"/>
                <w:bCs/>
                <w:sz w:val="24"/>
                <w:szCs w:val="24"/>
                <w:vertAlign w:val="subscript"/>
              </w:rPr>
              <w:t>1</w:t>
            </w:r>
            <w:r>
              <w:rPr>
                <w:rFonts w:hint="default" w:ascii="Times New Roman" w:hAnsi="Times New Roman" w:eastAsia="宋体" w:cs="Times New Roman"/>
                <w:bCs/>
                <w:sz w:val="24"/>
                <w:szCs w:val="24"/>
              </w:rPr>
              <w:t>）无组织排放。</w:t>
            </w:r>
          </w:p>
          <w:p w14:paraId="5C6089C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bCs/>
                <w:sz w:val="24"/>
                <w:szCs w:val="28"/>
                <w:lang w:val="en-US" w:eastAsia="zh-CN"/>
              </w:rPr>
            </w:pPr>
            <w:r>
              <w:rPr>
                <w:rFonts w:hint="eastAsia" w:ascii="Times New Roman" w:hAnsi="Times New Roman" w:cs="Times New Roman"/>
                <w:bCs/>
                <w:sz w:val="24"/>
                <w:szCs w:val="28"/>
                <w:lang w:val="en-US" w:eastAsia="zh-CN"/>
              </w:rPr>
              <w:t>b、拆包废气（</w:t>
            </w:r>
            <w:r>
              <w:rPr>
                <w:rFonts w:hint="eastAsia" w:ascii="Times New Roman" w:hAnsi="Times New Roman" w:eastAsia="宋体" w:cs="Times New Roman"/>
                <w:bCs/>
                <w:sz w:val="24"/>
                <w:szCs w:val="24"/>
              </w:rPr>
              <w:t>G</w:t>
            </w:r>
            <w:r>
              <w:rPr>
                <w:rFonts w:hint="eastAsia" w:ascii="Times New Roman" w:hAnsi="Times New Roman" w:eastAsia="宋体" w:cs="Times New Roman"/>
                <w:bCs/>
                <w:sz w:val="24"/>
                <w:szCs w:val="24"/>
                <w:vertAlign w:val="subscript"/>
                <w:lang w:val="en-US" w:eastAsia="zh-CN"/>
              </w:rPr>
              <w:t>2</w:t>
            </w:r>
            <w:r>
              <w:rPr>
                <w:rFonts w:hint="eastAsia" w:ascii="Times New Roman" w:hAnsi="Times New Roman" w:cs="Times New Roman"/>
                <w:bCs/>
                <w:sz w:val="24"/>
                <w:szCs w:val="28"/>
                <w:lang w:val="en-US" w:eastAsia="zh-CN"/>
              </w:rPr>
              <w:t>）</w:t>
            </w:r>
          </w:p>
          <w:p w14:paraId="78CBEC34">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Calibri" w:cs="Times New Roman"/>
                <w:sz w:val="24"/>
                <w:szCs w:val="24"/>
                <w:lang w:val="en-US"/>
              </w:rPr>
            </w:pPr>
            <w:r>
              <w:rPr>
                <w:rFonts w:hint="eastAsia" w:ascii="Times New Roman" w:hAnsi="Times New Roman" w:eastAsia="宋体" w:cs="宋体"/>
                <w:kern w:val="0"/>
                <w:sz w:val="24"/>
                <w:szCs w:val="24"/>
                <w:lang w:val="en-US" w:eastAsia="zh-CN" w:bidi="ar"/>
              </w:rPr>
              <w:t>产品生产时需先进行准备、称重环节，在脱包间进行拆包后运输至各自生产车间，拆包过程中活性炭会产生</w:t>
            </w:r>
            <w:r>
              <w:rPr>
                <w:rFonts w:hint="eastAsia" w:ascii="Times New Roman" w:hAnsi="Calibri" w:eastAsia="宋体" w:cs="宋体"/>
                <w:kern w:val="0"/>
                <w:sz w:val="24"/>
                <w:szCs w:val="24"/>
                <w:lang w:val="en-US" w:eastAsia="zh-CN" w:bidi="ar"/>
              </w:rPr>
              <w:t>拆包废气（</w:t>
            </w:r>
            <w:r>
              <w:rPr>
                <w:rFonts w:hint="default" w:ascii="Times New Roman" w:hAnsi="Calibri" w:eastAsia="宋体" w:cs="Times New Roman"/>
                <w:kern w:val="0"/>
                <w:sz w:val="24"/>
                <w:szCs w:val="24"/>
                <w:lang w:val="en-US" w:eastAsia="zh-CN" w:bidi="ar"/>
              </w:rPr>
              <w:t>G</w:t>
            </w:r>
            <w:r>
              <w:rPr>
                <w:rFonts w:hint="default" w:ascii="Times New Roman" w:hAnsi="Calibri" w:eastAsia="宋体" w:cs="Times New Roman"/>
                <w:kern w:val="0"/>
                <w:sz w:val="24"/>
                <w:szCs w:val="24"/>
                <w:vertAlign w:val="subscript"/>
                <w:lang w:val="en-US" w:eastAsia="zh-CN" w:bidi="ar"/>
              </w:rPr>
              <w:t>2</w:t>
            </w:r>
            <w:r>
              <w:rPr>
                <w:rFonts w:hint="eastAsia" w:ascii="Times New Roman" w:hAnsi="Calibri" w:eastAsia="宋体" w:cs="宋体"/>
                <w:kern w:val="0"/>
                <w:sz w:val="24"/>
                <w:szCs w:val="24"/>
                <w:lang w:val="en-US" w:eastAsia="zh-CN" w:bidi="ar"/>
              </w:rPr>
              <w:t>），参考《逸散性工业粉尘控制技术》中物料上料过程中逸散尘排放因子</w:t>
            </w:r>
            <w:r>
              <w:rPr>
                <w:rFonts w:hint="default" w:ascii="Times New Roman" w:hAnsi="Calibri" w:eastAsia="宋体" w:cs="Times New Roman"/>
                <w:kern w:val="0"/>
                <w:sz w:val="24"/>
                <w:szCs w:val="24"/>
                <w:lang w:val="en-US" w:eastAsia="zh-CN" w:bidi="ar"/>
              </w:rPr>
              <w:t>0.02kg/t</w:t>
            </w:r>
            <w:r>
              <w:rPr>
                <w:rFonts w:hint="eastAsia" w:ascii="Times New Roman" w:hAnsi="Calibri" w:eastAsia="宋体" w:cs="宋体"/>
                <w:kern w:val="0"/>
                <w:sz w:val="24"/>
                <w:szCs w:val="24"/>
                <w:lang w:val="en-US" w:eastAsia="zh-CN" w:bidi="ar"/>
              </w:rPr>
              <w:t>，项目活性炭使用量</w:t>
            </w:r>
            <w:r>
              <w:rPr>
                <w:rFonts w:hint="eastAsia" w:ascii="Times New Roman" w:hAnsi="宋体" w:eastAsia="黑体" w:cs="Times New Roman"/>
                <w:kern w:val="0"/>
                <w:sz w:val="24"/>
                <w:szCs w:val="24"/>
                <w:lang w:val="en-US" w:eastAsia="zh-CN" w:bidi="ar"/>
              </w:rPr>
              <w:t>100</w:t>
            </w:r>
            <w:r>
              <w:rPr>
                <w:rFonts w:hint="default" w:ascii="Times New Roman" w:hAnsi="Calibri" w:eastAsia="宋体" w:cs="Times New Roman"/>
                <w:kern w:val="2"/>
                <w:sz w:val="24"/>
                <w:szCs w:val="24"/>
                <w:lang w:val="en-US" w:eastAsia="zh-CN" w:bidi="ar"/>
              </w:rPr>
              <w:t>t</w:t>
            </w:r>
            <w:r>
              <w:rPr>
                <w:rFonts w:hint="default" w:ascii="Times New Roman" w:hAnsi="Times New Roman" w:eastAsia="宋体" w:cs="Times New Roman"/>
                <w:bCs/>
                <w:kern w:val="0"/>
                <w:sz w:val="24"/>
                <w:szCs w:val="24"/>
                <w:lang w:val="en-US" w:eastAsia="zh-CN" w:bidi="ar"/>
              </w:rPr>
              <w:t>/a</w:t>
            </w:r>
            <w:r>
              <w:rPr>
                <w:rFonts w:hint="eastAsia" w:ascii="Times New Roman" w:hAnsi="Calibri" w:eastAsia="宋体" w:cs="宋体"/>
                <w:kern w:val="0"/>
                <w:sz w:val="24"/>
                <w:szCs w:val="24"/>
                <w:lang w:val="en-US" w:eastAsia="zh-CN" w:bidi="ar"/>
              </w:rPr>
              <w:t>。</w:t>
            </w:r>
            <w:r>
              <w:rPr>
                <w:rFonts w:hint="eastAsia" w:ascii="Times New Roman" w:hAnsi="Times New Roman" w:eastAsia="宋体" w:cs="宋体"/>
                <w:kern w:val="0"/>
                <w:sz w:val="24"/>
                <w:szCs w:val="24"/>
                <w:lang w:val="en-US" w:eastAsia="zh-CN" w:bidi="ar"/>
              </w:rPr>
              <w:t>因此。拆包废气产生量为</w:t>
            </w:r>
            <w:r>
              <w:rPr>
                <w:rFonts w:hint="eastAsia" w:ascii="Times New Roman" w:hAnsi="Times New Roman" w:eastAsia="宋体" w:cs="Times New Roman"/>
                <w:kern w:val="0"/>
                <w:sz w:val="24"/>
                <w:szCs w:val="24"/>
                <w:lang w:val="en-US" w:eastAsia="zh-CN" w:bidi="ar"/>
              </w:rPr>
              <w:t>0.002</w:t>
            </w:r>
            <w:r>
              <w:rPr>
                <w:rFonts w:hint="default" w:ascii="Times New Roman" w:hAnsi="Times New Roman" w:eastAsia="宋体" w:cs="Times New Roman"/>
                <w:kern w:val="0"/>
                <w:sz w:val="24"/>
                <w:szCs w:val="24"/>
                <w:lang w:val="en-US" w:eastAsia="zh-CN" w:bidi="ar"/>
              </w:rPr>
              <w:t>t/a</w:t>
            </w:r>
            <w:r>
              <w:rPr>
                <w:rFonts w:hint="eastAsia" w:ascii="Times New Roman" w:hAnsi="Times New Roman" w:eastAsia="宋体" w:cs="宋体"/>
                <w:kern w:val="0"/>
                <w:sz w:val="24"/>
                <w:szCs w:val="24"/>
                <w:lang w:val="en-US" w:eastAsia="zh-CN" w:bidi="ar"/>
              </w:rPr>
              <w:t>。</w:t>
            </w:r>
            <w:r>
              <w:rPr>
                <w:rFonts w:hint="eastAsia" w:ascii="Times New Roman" w:hAnsi="Calibri" w:eastAsia="宋体" w:cs="宋体"/>
                <w:kern w:val="2"/>
                <w:sz w:val="24"/>
                <w:szCs w:val="24"/>
                <w:lang w:val="en-US" w:eastAsia="zh-CN" w:bidi="ar"/>
              </w:rPr>
              <w:t>产生量小，脱包间做到日常通风，拆包废气无组织排放。</w:t>
            </w:r>
          </w:p>
          <w:p w14:paraId="5C46CA9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bCs/>
                <w:sz w:val="24"/>
                <w:szCs w:val="28"/>
                <w:lang w:val="en-US" w:eastAsia="zh-CN"/>
              </w:rPr>
            </w:pPr>
            <w:r>
              <w:rPr>
                <w:rFonts w:hint="eastAsia" w:ascii="Times New Roman" w:hAnsi="Times New Roman" w:cs="Times New Roman"/>
                <w:bCs/>
                <w:sz w:val="24"/>
                <w:szCs w:val="28"/>
                <w:lang w:val="en-US" w:eastAsia="zh-CN"/>
              </w:rPr>
              <w:t>c、</w:t>
            </w:r>
            <w:r>
              <w:rPr>
                <w:rFonts w:hint="eastAsia" w:ascii="Times New Roman" w:hAnsi="Times New Roman" w:eastAsia="宋体" w:cs="Times New Roman"/>
                <w:bCs/>
                <w:sz w:val="24"/>
                <w:szCs w:val="24"/>
                <w:lang w:val="en-US" w:eastAsia="zh-CN"/>
              </w:rPr>
              <w:t>包装</w:t>
            </w:r>
            <w:r>
              <w:rPr>
                <w:rFonts w:hint="eastAsia" w:ascii="Times New Roman" w:hAnsi="Times New Roman" w:eastAsia="宋体" w:cs="Times New Roman"/>
                <w:bCs/>
                <w:sz w:val="24"/>
                <w:szCs w:val="24"/>
              </w:rPr>
              <w:t>废气（G</w:t>
            </w:r>
            <w:r>
              <w:rPr>
                <w:rFonts w:hint="eastAsia" w:ascii="Times New Roman" w:hAnsi="Times New Roman" w:eastAsia="宋体" w:cs="Times New Roman"/>
                <w:bCs/>
                <w:sz w:val="24"/>
                <w:szCs w:val="24"/>
                <w:vertAlign w:val="subscript"/>
                <w:lang w:val="en-US" w:eastAsia="zh-CN"/>
              </w:rPr>
              <w:t>3</w:t>
            </w:r>
            <w:r>
              <w:rPr>
                <w:rFonts w:hint="eastAsia" w:ascii="Times New Roman" w:hAnsi="Times New Roman" w:eastAsia="宋体" w:cs="Times New Roman"/>
                <w:bCs/>
                <w:sz w:val="24"/>
                <w:szCs w:val="24"/>
              </w:rPr>
              <w:t>）</w:t>
            </w:r>
          </w:p>
          <w:p w14:paraId="57A9BA9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宋体"/>
                <w:kern w:val="0"/>
                <w:sz w:val="24"/>
                <w:szCs w:val="24"/>
                <w:lang w:val="en-US" w:eastAsia="zh-CN" w:bidi="ar"/>
              </w:rPr>
            </w:pPr>
            <w:r>
              <w:rPr>
                <w:rFonts w:hint="eastAsia" w:ascii="Times New Roman" w:hAnsi="Calibri" w:eastAsia="宋体" w:cs="宋体"/>
                <w:kern w:val="0"/>
                <w:sz w:val="24"/>
                <w:szCs w:val="24"/>
                <w:lang w:val="en-US" w:eastAsia="zh-CN" w:bidi="ar"/>
              </w:rPr>
              <w:t>项目活性炭直接经包装机包装，根据《逸散性工业粉尘控制技术》中的经验估算值，包装过程粉尘产系数为</w:t>
            </w:r>
            <w:r>
              <w:rPr>
                <w:rFonts w:hint="default" w:ascii="Times New Roman" w:hAnsi="Times New Roman" w:eastAsia="宋体" w:cs="Times New Roman"/>
                <w:kern w:val="0"/>
                <w:sz w:val="24"/>
                <w:szCs w:val="24"/>
                <w:lang w:val="en-US" w:eastAsia="zh-CN" w:bidi="ar"/>
              </w:rPr>
              <w:t>0.125kg/t-</w:t>
            </w:r>
            <w:r>
              <w:rPr>
                <w:rFonts w:hint="eastAsia" w:ascii="Times New Roman" w:hAnsi="Calibri" w:eastAsia="宋体" w:cs="宋体"/>
                <w:kern w:val="0"/>
                <w:sz w:val="24"/>
                <w:szCs w:val="24"/>
                <w:lang w:val="en-US" w:eastAsia="zh-CN" w:bidi="ar"/>
              </w:rPr>
              <w:t>产品。</w:t>
            </w:r>
            <w:r>
              <w:rPr>
                <w:rFonts w:hint="eastAsia" w:ascii="Times New Roman" w:hAnsi="Times New Roman" w:eastAsia="宋体" w:cs="宋体"/>
                <w:kern w:val="2"/>
                <w:sz w:val="24"/>
                <w:szCs w:val="24"/>
                <w:lang w:val="en-US" w:eastAsia="zh-CN" w:bidi="ar"/>
              </w:rPr>
              <w:t>本项目年生产活性炭干燥剂100吨，包装废气产生量为0.0125t/a。</w:t>
            </w:r>
          </w:p>
          <w:p w14:paraId="793D03F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sz w:val="24"/>
                <w:szCs w:val="28"/>
              </w:rPr>
            </w:pPr>
            <w:r>
              <w:rPr>
                <w:rFonts w:hint="default" w:ascii="Times New Roman" w:hAnsi="Times New Roman" w:cs="Times New Roman"/>
                <w:bCs/>
                <w:sz w:val="24"/>
                <w:szCs w:val="28"/>
              </w:rPr>
              <w:t>本项目无组织废气排放情况见下表：</w:t>
            </w:r>
          </w:p>
          <w:p w14:paraId="664A830A">
            <w:pPr>
              <w:keepNext w:val="0"/>
              <w:keepLines w:val="0"/>
              <w:suppressLineNumbers w:val="0"/>
              <w:spacing w:before="0" w:beforeAutospacing="0" w:after="0" w:afterAutospacing="0" w:line="360" w:lineRule="auto"/>
              <w:ind w:left="0" w:right="0"/>
              <w:jc w:val="center"/>
              <w:rPr>
                <w:rFonts w:hint="default" w:ascii="Times New Roman" w:hAnsi="Times New Roman" w:eastAsia="黑体"/>
                <w:bCs/>
                <w:sz w:val="24"/>
                <w:szCs w:val="24"/>
              </w:rPr>
            </w:pPr>
            <w:r>
              <w:rPr>
                <w:rFonts w:hint="eastAsia" w:ascii="Times New Roman" w:hAnsi="Times New Roman" w:eastAsia="黑体"/>
                <w:bCs/>
                <w:sz w:val="24"/>
                <w:szCs w:val="24"/>
              </w:rPr>
              <w:t>表4-2</w:t>
            </w:r>
            <w:r>
              <w:rPr>
                <w:rFonts w:hint="default" w:ascii="Times New Roman" w:hAnsi="Times New Roman" w:eastAsia="黑体"/>
                <w:bCs/>
                <w:sz w:val="24"/>
                <w:szCs w:val="24"/>
              </w:rPr>
              <w:t xml:space="preserve">  </w:t>
            </w:r>
            <w:r>
              <w:rPr>
                <w:rFonts w:hint="eastAsia" w:ascii="Times New Roman" w:hAnsi="Times New Roman" w:eastAsia="黑体"/>
                <w:bCs/>
                <w:sz w:val="24"/>
                <w:szCs w:val="24"/>
              </w:rPr>
              <w:t>项目无组织废气产生和排放情况表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450"/>
              <w:gridCol w:w="1144"/>
              <w:gridCol w:w="1206"/>
              <w:gridCol w:w="1236"/>
              <w:gridCol w:w="1691"/>
            </w:tblGrid>
            <w:tr w14:paraId="52E0A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vAlign w:val="center"/>
                </w:tcPr>
                <w:p w14:paraId="1FBC22E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eastAsia" w:ascii="Times New Roman" w:hAnsi="Times New Roman" w:cs="Times New Roman"/>
                      <w:b/>
                      <w:szCs w:val="21"/>
                    </w:rPr>
                    <w:t>污染源</w:t>
                  </w:r>
                </w:p>
              </w:tc>
              <w:tc>
                <w:tcPr>
                  <w:tcW w:w="914" w:type="pct"/>
                  <w:vAlign w:val="center"/>
                </w:tcPr>
                <w:p w14:paraId="3EB8B96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eastAsia" w:ascii="Times New Roman" w:hAnsi="Times New Roman" w:cs="Times New Roman"/>
                      <w:b/>
                      <w:szCs w:val="21"/>
                    </w:rPr>
                    <w:t>污染物种类</w:t>
                  </w:r>
                </w:p>
              </w:tc>
              <w:tc>
                <w:tcPr>
                  <w:tcW w:w="721" w:type="pct"/>
                  <w:vAlign w:val="center"/>
                </w:tcPr>
                <w:p w14:paraId="7F560F5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eastAsia" w:ascii="Times New Roman" w:hAnsi="Times New Roman" w:cs="Times New Roman"/>
                      <w:b/>
                      <w:szCs w:val="21"/>
                    </w:rPr>
                    <w:t>产生量</w:t>
                  </w:r>
                </w:p>
              </w:tc>
              <w:tc>
                <w:tcPr>
                  <w:tcW w:w="760" w:type="pct"/>
                  <w:vAlign w:val="center"/>
                </w:tcPr>
                <w:p w14:paraId="58198D6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eastAsia" w:ascii="Times New Roman" w:hAnsi="Times New Roman" w:cs="Times New Roman"/>
                      <w:b/>
                      <w:szCs w:val="21"/>
                    </w:rPr>
                    <w:t>治理措施</w:t>
                  </w:r>
                </w:p>
              </w:tc>
              <w:tc>
                <w:tcPr>
                  <w:tcW w:w="779" w:type="pct"/>
                  <w:vAlign w:val="center"/>
                </w:tcPr>
                <w:p w14:paraId="1D32911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eastAsia" w:ascii="Times New Roman" w:hAnsi="Times New Roman" w:cs="Times New Roman"/>
                      <w:b/>
                      <w:szCs w:val="21"/>
                    </w:rPr>
                    <w:t>面源面积</w:t>
                  </w:r>
                </w:p>
              </w:tc>
              <w:tc>
                <w:tcPr>
                  <w:tcW w:w="1065" w:type="pct"/>
                  <w:vAlign w:val="center"/>
                </w:tcPr>
                <w:p w14:paraId="4ED91D6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eastAsia" w:ascii="Times New Roman" w:hAnsi="Times New Roman" w:cs="Times New Roman"/>
                      <w:b/>
                      <w:szCs w:val="21"/>
                    </w:rPr>
                    <w:t>污染物排放量</w:t>
                  </w:r>
                </w:p>
              </w:tc>
            </w:tr>
            <w:tr w14:paraId="0AF6E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vMerge w:val="restart"/>
                  <w:vAlign w:val="center"/>
                </w:tcPr>
                <w:p w14:paraId="4AA4E366">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rPr>
                    <w:t>生产</w:t>
                  </w:r>
                  <w:r>
                    <w:rPr>
                      <w:rFonts w:hint="eastAsia" w:ascii="Times New Roman" w:hAnsi="Times New Roman" w:cs="Times New Roman"/>
                      <w:szCs w:val="21"/>
                      <w:lang w:val="en-US" w:eastAsia="zh-CN"/>
                    </w:rPr>
                    <w:t>车间</w:t>
                  </w:r>
                </w:p>
              </w:tc>
              <w:tc>
                <w:tcPr>
                  <w:tcW w:w="914" w:type="pct"/>
                  <w:vAlign w:val="center"/>
                </w:tcPr>
                <w:p w14:paraId="7C2A7C4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cs="Times New Roman"/>
                      <w:bCs/>
                      <w:szCs w:val="21"/>
                    </w:rPr>
                    <w:t>非甲烷总烃</w:t>
                  </w:r>
                </w:p>
              </w:tc>
              <w:tc>
                <w:tcPr>
                  <w:tcW w:w="721" w:type="pct"/>
                  <w:vAlign w:val="center"/>
                </w:tcPr>
                <w:p w14:paraId="357279C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cs="Times New Roman"/>
                      <w:bCs/>
                      <w:szCs w:val="21"/>
                      <w:lang w:val="en-US" w:eastAsia="zh-CN"/>
                    </w:rPr>
                    <w:t>0.5</w:t>
                  </w:r>
                  <w:r>
                    <w:rPr>
                      <w:rFonts w:hint="default" w:ascii="Times New Roman" w:hAnsi="Times New Roman" w:cs="Times New Roman"/>
                      <w:bCs/>
                      <w:szCs w:val="21"/>
                    </w:rPr>
                    <w:t>t</w:t>
                  </w:r>
                  <w:r>
                    <w:rPr>
                      <w:rFonts w:hint="default" w:ascii="Times New Roman" w:hAnsi="Times New Roman" w:cs="Times New Roman"/>
                      <w:szCs w:val="21"/>
                    </w:rPr>
                    <w:t>/a</w:t>
                  </w:r>
                </w:p>
              </w:tc>
              <w:tc>
                <w:tcPr>
                  <w:tcW w:w="760" w:type="pct"/>
                  <w:vAlign w:val="center"/>
                </w:tcPr>
                <w:p w14:paraId="210A120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779" w:type="pct"/>
                  <w:vAlign w:val="center"/>
                </w:tcPr>
                <w:p w14:paraId="675EF03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eastAsia" w:ascii="Times New Roman" w:hAnsi="Times New Roman" w:cs="Times New Roman"/>
                      <w:szCs w:val="21"/>
                    </w:rPr>
                    <w:t>20330.21</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1065" w:type="pct"/>
                  <w:vAlign w:val="center"/>
                </w:tcPr>
                <w:p w14:paraId="2F54741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szCs w:val="21"/>
                    </w:rPr>
                  </w:pPr>
                  <w:r>
                    <w:rPr>
                      <w:rFonts w:hint="eastAsia" w:ascii="Times New Roman" w:hAnsi="Times New Roman" w:cs="Times New Roman"/>
                      <w:szCs w:val="21"/>
                      <w:lang w:val="en-US" w:eastAsia="zh-CN"/>
                    </w:rPr>
                    <w:t>0.5</w:t>
                  </w:r>
                  <w:r>
                    <w:rPr>
                      <w:rFonts w:hint="default" w:ascii="Times New Roman" w:hAnsi="Times New Roman" w:cs="Times New Roman"/>
                      <w:szCs w:val="21"/>
                    </w:rPr>
                    <w:t>t/a</w:t>
                  </w:r>
                </w:p>
              </w:tc>
            </w:tr>
            <w:tr w14:paraId="665B8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vMerge w:val="continue"/>
                  <w:vAlign w:val="center"/>
                </w:tcPr>
                <w:p w14:paraId="30FA2241">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szCs w:val="21"/>
                    </w:rPr>
                  </w:pPr>
                </w:p>
              </w:tc>
              <w:tc>
                <w:tcPr>
                  <w:tcW w:w="914" w:type="pct"/>
                  <w:vAlign w:val="center"/>
                </w:tcPr>
                <w:p w14:paraId="0A027A54">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颗粒物</w:t>
                  </w:r>
                </w:p>
              </w:tc>
              <w:tc>
                <w:tcPr>
                  <w:tcW w:w="721" w:type="pct"/>
                  <w:vAlign w:val="center"/>
                </w:tcPr>
                <w:p w14:paraId="0BC220E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0.0145t/a</w:t>
                  </w:r>
                </w:p>
              </w:tc>
              <w:tc>
                <w:tcPr>
                  <w:tcW w:w="1206" w:type="dxa"/>
                  <w:vAlign w:val="center"/>
                </w:tcPr>
                <w:p w14:paraId="47D8FEF1">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1236" w:type="dxa"/>
                  <w:vAlign w:val="center"/>
                </w:tcPr>
                <w:p w14:paraId="1CBF7451">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szCs w:val="21"/>
                    </w:rPr>
                  </w:pPr>
                  <w:r>
                    <w:rPr>
                      <w:rFonts w:hint="eastAsia" w:ascii="Times New Roman" w:hAnsi="Times New Roman" w:cs="Times New Roman"/>
                      <w:szCs w:val="21"/>
                    </w:rPr>
                    <w:t>20330.21</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1065" w:type="pct"/>
                  <w:vAlign w:val="center"/>
                </w:tcPr>
                <w:p w14:paraId="204D9F8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0.0145t/a</w:t>
                  </w:r>
                </w:p>
              </w:tc>
            </w:tr>
          </w:tbl>
          <w:p w14:paraId="4A49EDBA">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sz w:val="24"/>
              </w:rPr>
            </w:pPr>
            <w:r>
              <w:rPr>
                <w:rFonts w:hint="eastAsia" w:ascii="Times New Roman" w:hAnsi="Times New Roman" w:cs="Times New Roman"/>
                <w:b/>
                <w:sz w:val="24"/>
              </w:rPr>
              <w:t>3、</w:t>
            </w:r>
            <w:r>
              <w:rPr>
                <w:rFonts w:hint="default" w:ascii="Times New Roman" w:hAnsi="Times New Roman" w:cs="Times New Roman"/>
                <w:b/>
                <w:sz w:val="24"/>
              </w:rPr>
              <w:t>监测计划</w:t>
            </w:r>
          </w:p>
          <w:p w14:paraId="036DC4B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根据《固定污染源排污许可分类管理名录》（2019年版）规定，企业属于登记管理，无需申领排污许可证，故亦无需开展自行监测；鉴于企业运营期有污染物排放，根据《排污单位自行监测技术指南</w:t>
            </w:r>
            <w:r>
              <w:rPr>
                <w:rFonts w:hint="eastAsia" w:ascii="Times New Roman" w:hAnsi="Times New Roman" w:cs="Times New Roman"/>
                <w:sz w:val="24"/>
              </w:rPr>
              <w:t xml:space="preserve"> </w:t>
            </w:r>
            <w:r>
              <w:rPr>
                <w:rFonts w:hint="default" w:ascii="Times New Roman" w:hAnsi="Times New Roman" w:cs="Times New Roman"/>
                <w:sz w:val="24"/>
              </w:rPr>
              <w:t>总则》（HJ 819-2017）</w:t>
            </w:r>
            <w:r>
              <w:rPr>
                <w:rFonts w:hint="eastAsia" w:ascii="Times New Roman" w:hAnsi="Times New Roman" w:cs="Times New Roman"/>
                <w:sz w:val="24"/>
              </w:rPr>
              <w:t>要求</w:t>
            </w:r>
            <w:r>
              <w:rPr>
                <w:rFonts w:hint="default" w:ascii="Times New Roman" w:hAnsi="Times New Roman" w:cs="Times New Roman"/>
                <w:sz w:val="24"/>
              </w:rPr>
              <w:t>，本项目运行后，</w:t>
            </w:r>
            <w:r>
              <w:rPr>
                <w:rFonts w:hint="eastAsia" w:ascii="Times New Roman" w:hAnsi="Times New Roman" w:cs="Times New Roman"/>
                <w:sz w:val="24"/>
              </w:rPr>
              <w:t>建设单位</w:t>
            </w:r>
            <w:r>
              <w:rPr>
                <w:rFonts w:hint="default" w:ascii="Times New Roman" w:hAnsi="Times New Roman" w:cs="Times New Roman"/>
                <w:sz w:val="24"/>
              </w:rPr>
              <w:t>污染物废气监测计划</w:t>
            </w:r>
            <w:r>
              <w:rPr>
                <w:rFonts w:hint="eastAsia" w:ascii="Times New Roman" w:hAnsi="Times New Roman" w:cs="Times New Roman"/>
                <w:sz w:val="24"/>
              </w:rPr>
              <w:t>可参照</w:t>
            </w:r>
            <w:r>
              <w:rPr>
                <w:rFonts w:hint="default" w:ascii="Times New Roman" w:hAnsi="Times New Roman" w:cs="Times New Roman"/>
                <w:sz w:val="24"/>
              </w:rPr>
              <w:t>下表所示</w:t>
            </w:r>
            <w:r>
              <w:rPr>
                <w:rFonts w:hint="eastAsia" w:ascii="Times New Roman" w:hAnsi="Times New Roman" w:cs="Times New Roman"/>
                <w:sz w:val="24"/>
              </w:rPr>
              <w:t>。</w:t>
            </w:r>
          </w:p>
          <w:p w14:paraId="49543894">
            <w:pPr>
              <w:keepNext w:val="0"/>
              <w:keepLines w:val="0"/>
              <w:suppressLineNumbers w:val="0"/>
              <w:spacing w:before="0" w:beforeAutospacing="0" w:after="0" w:afterAutospacing="0" w:line="360" w:lineRule="auto"/>
              <w:ind w:left="0" w:right="0"/>
              <w:jc w:val="center"/>
              <w:rPr>
                <w:rFonts w:hint="default" w:ascii="Times New Roman" w:hAnsi="Times New Roman" w:eastAsia="黑体"/>
                <w:bCs/>
              </w:rPr>
            </w:pPr>
            <w:r>
              <w:rPr>
                <w:rFonts w:hint="default" w:ascii="Times New Roman" w:hAnsi="Times New Roman" w:eastAsia="黑体"/>
                <w:bCs/>
                <w:sz w:val="24"/>
                <w:szCs w:val="24"/>
              </w:rPr>
              <w:t>表</w:t>
            </w:r>
            <w:r>
              <w:rPr>
                <w:rFonts w:hint="eastAsia" w:ascii="Times New Roman" w:hAnsi="Times New Roman" w:eastAsia="黑体" w:cs="Times New Roman"/>
                <w:bCs/>
                <w:sz w:val="24"/>
                <w:szCs w:val="24"/>
              </w:rPr>
              <w:t xml:space="preserve">4-3  </w:t>
            </w:r>
            <w:r>
              <w:rPr>
                <w:rFonts w:hint="default" w:ascii="Times New Roman" w:hAnsi="Times New Roman" w:eastAsia="黑体"/>
                <w:bCs/>
                <w:sz w:val="24"/>
                <w:szCs w:val="24"/>
              </w:rPr>
              <w:t>废气监测计划一览表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285"/>
              <w:gridCol w:w="1412"/>
              <w:gridCol w:w="1114"/>
              <w:gridCol w:w="3391"/>
            </w:tblGrid>
            <w:tr w14:paraId="050BE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14:paraId="36D7D1A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default" w:ascii="Times New Roman" w:cs="Times New Roman"/>
                      <w:b/>
                      <w:szCs w:val="21"/>
                    </w:rPr>
                    <w:t>类别</w:t>
                  </w:r>
                </w:p>
              </w:tc>
              <w:tc>
                <w:tcPr>
                  <w:tcW w:w="810" w:type="pct"/>
                  <w:vAlign w:val="center"/>
                </w:tcPr>
                <w:p w14:paraId="4B88851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default" w:ascii="Times New Roman" w:cs="Times New Roman"/>
                      <w:b/>
                      <w:szCs w:val="21"/>
                    </w:rPr>
                    <w:t>监测点位</w:t>
                  </w:r>
                </w:p>
              </w:tc>
              <w:tc>
                <w:tcPr>
                  <w:tcW w:w="890" w:type="pct"/>
                  <w:vAlign w:val="center"/>
                </w:tcPr>
                <w:p w14:paraId="5968BF4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default" w:ascii="Times New Roman" w:cs="Times New Roman"/>
                      <w:b/>
                      <w:szCs w:val="21"/>
                    </w:rPr>
                    <w:t>监测因子</w:t>
                  </w:r>
                </w:p>
              </w:tc>
              <w:tc>
                <w:tcPr>
                  <w:tcW w:w="702" w:type="pct"/>
                  <w:vAlign w:val="center"/>
                </w:tcPr>
                <w:p w14:paraId="28B6134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default" w:ascii="Times New Roman" w:cs="Times New Roman"/>
                      <w:b/>
                      <w:szCs w:val="21"/>
                    </w:rPr>
                    <w:t>监测频次</w:t>
                  </w:r>
                </w:p>
              </w:tc>
              <w:tc>
                <w:tcPr>
                  <w:tcW w:w="2138" w:type="pct"/>
                  <w:vAlign w:val="center"/>
                </w:tcPr>
                <w:p w14:paraId="6659FC1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Cs w:val="21"/>
                    </w:rPr>
                  </w:pPr>
                  <w:r>
                    <w:rPr>
                      <w:rFonts w:hint="default" w:ascii="Times New Roman" w:cs="Times New Roman"/>
                      <w:b/>
                      <w:szCs w:val="21"/>
                    </w:rPr>
                    <w:t>执行排放标准</w:t>
                  </w:r>
                </w:p>
              </w:tc>
            </w:tr>
            <w:tr w14:paraId="25F28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restart"/>
                  <w:tcBorders>
                    <w:top w:val="single" w:color="auto" w:sz="4" w:space="0"/>
                  </w:tcBorders>
                  <w:vAlign w:val="center"/>
                </w:tcPr>
                <w:p w14:paraId="31ED73EB">
                  <w:pPr>
                    <w:keepNext w:val="0"/>
                    <w:keepLines w:val="0"/>
                    <w:suppressLineNumbers w:val="0"/>
                    <w:spacing w:before="0" w:beforeAutospacing="0" w:after="0" w:afterAutospacing="0" w:line="276" w:lineRule="auto"/>
                    <w:ind w:left="0" w:right="0"/>
                    <w:jc w:val="center"/>
                    <w:rPr>
                      <w:rFonts w:hint="default" w:ascii="Times New Roman" w:cs="Times New Roman"/>
                      <w:szCs w:val="21"/>
                    </w:rPr>
                  </w:pPr>
                  <w:r>
                    <w:rPr>
                      <w:rFonts w:hint="default" w:ascii="Times New Roman" w:cs="Times New Roman"/>
                      <w:szCs w:val="21"/>
                    </w:rPr>
                    <w:t>无组织</w:t>
                  </w:r>
                </w:p>
              </w:tc>
              <w:tc>
                <w:tcPr>
                  <w:tcW w:w="810" w:type="pct"/>
                  <w:tcBorders>
                    <w:top w:val="single" w:color="auto" w:sz="4" w:space="0"/>
                    <w:bottom w:val="single" w:color="auto" w:sz="4" w:space="0"/>
                  </w:tcBorders>
                  <w:vAlign w:val="center"/>
                </w:tcPr>
                <w:p w14:paraId="3FA8C7F1">
                  <w:pPr>
                    <w:keepNext w:val="0"/>
                    <w:keepLines w:val="0"/>
                    <w:widowControl/>
                    <w:suppressLineNumbers w:val="0"/>
                    <w:spacing w:before="0" w:beforeAutospacing="0" w:after="0" w:afterAutospacing="0" w:line="276" w:lineRule="auto"/>
                    <w:ind w:left="0" w:right="0"/>
                    <w:jc w:val="center"/>
                    <w:rPr>
                      <w:rFonts w:hint="default" w:ascii="Times New Roman" w:cs="Times New Roman"/>
                      <w:szCs w:val="21"/>
                    </w:rPr>
                  </w:pPr>
                  <w:r>
                    <w:rPr>
                      <w:rFonts w:hint="default" w:ascii="Times New Roman" w:cs="Times New Roman"/>
                      <w:szCs w:val="21"/>
                    </w:rPr>
                    <w:t>厂界</w:t>
                  </w:r>
                </w:p>
              </w:tc>
              <w:tc>
                <w:tcPr>
                  <w:tcW w:w="890" w:type="pct"/>
                  <w:tcBorders>
                    <w:top w:val="single" w:color="auto" w:sz="4" w:space="0"/>
                    <w:bottom w:val="single" w:color="auto" w:sz="4" w:space="0"/>
                  </w:tcBorders>
                  <w:vAlign w:val="center"/>
                </w:tcPr>
                <w:p w14:paraId="458F467A">
                  <w:pPr>
                    <w:keepNext w:val="0"/>
                    <w:keepLines w:val="0"/>
                    <w:suppressLineNumbers w:val="0"/>
                    <w:spacing w:before="0" w:beforeAutospacing="0" w:after="0" w:afterAutospacing="0" w:line="276" w:lineRule="auto"/>
                    <w:ind w:left="0" w:right="0"/>
                    <w:jc w:val="center"/>
                    <w:rPr>
                      <w:rFonts w:hint="default" w:ascii="Times New Roman" w:cs="Times New Roman"/>
                      <w:szCs w:val="21"/>
                    </w:rPr>
                  </w:pPr>
                  <w:r>
                    <w:rPr>
                      <w:rFonts w:hint="eastAsia" w:ascii="Times New Roman" w:cs="Times New Roman"/>
                      <w:szCs w:val="21"/>
                      <w:lang w:val="en-US" w:eastAsia="zh-CN"/>
                    </w:rPr>
                    <w:t>TSP、</w:t>
                  </w:r>
                  <w:r>
                    <w:rPr>
                      <w:rFonts w:hint="default" w:ascii="Times New Roman" w:cs="Times New Roman"/>
                      <w:szCs w:val="21"/>
                    </w:rPr>
                    <w:t>非甲烷总烃</w:t>
                  </w:r>
                </w:p>
              </w:tc>
              <w:tc>
                <w:tcPr>
                  <w:tcW w:w="702" w:type="pct"/>
                  <w:vAlign w:val="center"/>
                </w:tcPr>
                <w:p w14:paraId="42002A17">
                  <w:pPr>
                    <w:keepNext w:val="0"/>
                    <w:keepLines w:val="0"/>
                    <w:suppressLineNumbers w:val="0"/>
                    <w:spacing w:before="0" w:beforeAutospacing="0" w:after="0" w:afterAutospacing="0"/>
                    <w:ind w:left="0" w:right="0"/>
                    <w:jc w:val="center"/>
                    <w:rPr>
                      <w:rFonts w:hint="default"/>
                    </w:rPr>
                  </w:pPr>
                  <w:r>
                    <w:rPr>
                      <w:rFonts w:hint="eastAsia" w:ascii="Times New Roman" w:cs="Times New Roman"/>
                      <w:szCs w:val="21"/>
                    </w:rPr>
                    <w:t>1次/</w:t>
                  </w:r>
                  <w:r>
                    <w:rPr>
                      <w:rFonts w:hint="default" w:ascii="Times New Roman" w:cs="Times New Roman"/>
                      <w:szCs w:val="21"/>
                    </w:rPr>
                    <w:t>年</w:t>
                  </w:r>
                </w:p>
              </w:tc>
              <w:tc>
                <w:tcPr>
                  <w:tcW w:w="2138" w:type="pct"/>
                  <w:vAlign w:val="center"/>
                </w:tcPr>
                <w:p w14:paraId="11AFC7DD">
                  <w:pPr>
                    <w:keepNext w:val="0"/>
                    <w:keepLines w:val="0"/>
                    <w:widowControl/>
                    <w:suppressLineNumbers w:val="0"/>
                    <w:spacing w:before="0" w:beforeAutospacing="0" w:after="0" w:afterAutospacing="0" w:line="276" w:lineRule="auto"/>
                    <w:ind w:left="0" w:right="0"/>
                    <w:jc w:val="center"/>
                    <w:rPr>
                      <w:rFonts w:hint="default" w:ascii="Times New Roman" w:cs="Times New Roman"/>
                      <w:szCs w:val="21"/>
                    </w:rPr>
                  </w:pPr>
                  <w:r>
                    <w:rPr>
                      <w:rFonts w:hint="eastAsia" w:ascii="Times New Roman" w:cs="Times New Roman"/>
                      <w:szCs w:val="21"/>
                    </w:rPr>
                    <w:t>《大气污染物综合排放标准》（GB16297-1996）表2中厂界监控点浓度限值</w:t>
                  </w:r>
                </w:p>
              </w:tc>
            </w:tr>
            <w:tr w14:paraId="701C9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vAlign w:val="center"/>
                </w:tcPr>
                <w:p w14:paraId="1C274AFC">
                  <w:pPr>
                    <w:keepNext w:val="0"/>
                    <w:keepLines w:val="0"/>
                    <w:suppressLineNumbers w:val="0"/>
                    <w:spacing w:before="0" w:beforeAutospacing="0" w:after="0" w:afterAutospacing="0" w:line="276" w:lineRule="auto"/>
                    <w:ind w:left="0" w:right="0"/>
                    <w:jc w:val="center"/>
                    <w:rPr>
                      <w:rFonts w:hint="default" w:ascii="Times New Roman" w:cs="Times New Roman"/>
                      <w:szCs w:val="21"/>
                    </w:rPr>
                  </w:pPr>
                </w:p>
              </w:tc>
              <w:tc>
                <w:tcPr>
                  <w:tcW w:w="810" w:type="pct"/>
                  <w:tcBorders>
                    <w:top w:val="single" w:color="auto" w:sz="4" w:space="0"/>
                  </w:tcBorders>
                  <w:vAlign w:val="center"/>
                </w:tcPr>
                <w:p w14:paraId="0EA1D6CB">
                  <w:pPr>
                    <w:keepNext w:val="0"/>
                    <w:keepLines w:val="0"/>
                    <w:widowControl/>
                    <w:suppressLineNumbers w:val="0"/>
                    <w:spacing w:before="0" w:beforeAutospacing="0" w:after="0" w:afterAutospacing="0" w:line="276" w:lineRule="auto"/>
                    <w:ind w:left="0" w:right="0"/>
                    <w:jc w:val="center"/>
                    <w:rPr>
                      <w:rFonts w:hint="default" w:ascii="Times New Roman" w:cs="Times New Roman"/>
                      <w:szCs w:val="21"/>
                    </w:rPr>
                  </w:pPr>
                  <w:r>
                    <w:rPr>
                      <w:rFonts w:hint="default" w:ascii="Times New Roman" w:cs="Times New Roman"/>
                      <w:szCs w:val="21"/>
                    </w:rPr>
                    <w:t>厂区内</w:t>
                  </w:r>
                </w:p>
              </w:tc>
              <w:tc>
                <w:tcPr>
                  <w:tcW w:w="890" w:type="pct"/>
                  <w:tcBorders>
                    <w:top w:val="single" w:color="auto" w:sz="4" w:space="0"/>
                  </w:tcBorders>
                  <w:vAlign w:val="center"/>
                </w:tcPr>
                <w:p w14:paraId="5F5B7878">
                  <w:pPr>
                    <w:keepNext w:val="0"/>
                    <w:keepLines w:val="0"/>
                    <w:suppressLineNumbers w:val="0"/>
                    <w:spacing w:before="0" w:beforeAutospacing="0" w:after="0" w:afterAutospacing="0" w:line="276" w:lineRule="auto"/>
                    <w:ind w:left="0" w:right="0"/>
                    <w:jc w:val="center"/>
                    <w:rPr>
                      <w:rFonts w:hint="default" w:ascii="Times New Roman" w:cs="Times New Roman"/>
                      <w:szCs w:val="21"/>
                    </w:rPr>
                  </w:pPr>
                  <w:r>
                    <w:rPr>
                      <w:rFonts w:hint="default" w:ascii="Times New Roman" w:cs="Times New Roman"/>
                      <w:szCs w:val="21"/>
                    </w:rPr>
                    <w:t>非甲烷总烃</w:t>
                  </w:r>
                </w:p>
              </w:tc>
              <w:tc>
                <w:tcPr>
                  <w:tcW w:w="702" w:type="pct"/>
                  <w:vAlign w:val="center"/>
                </w:tcPr>
                <w:p w14:paraId="34E0CC6A">
                  <w:pPr>
                    <w:keepNext w:val="0"/>
                    <w:keepLines w:val="0"/>
                    <w:suppressLineNumbers w:val="0"/>
                    <w:spacing w:before="0" w:beforeAutospacing="0" w:after="0" w:afterAutospacing="0"/>
                    <w:ind w:left="0" w:right="0"/>
                    <w:jc w:val="center"/>
                    <w:rPr>
                      <w:rFonts w:hint="default"/>
                    </w:rPr>
                  </w:pPr>
                  <w:r>
                    <w:rPr>
                      <w:rFonts w:hint="eastAsia" w:ascii="Times New Roman" w:cs="Times New Roman"/>
                      <w:szCs w:val="21"/>
                    </w:rPr>
                    <w:t>1次/</w:t>
                  </w:r>
                  <w:r>
                    <w:rPr>
                      <w:rFonts w:hint="default" w:ascii="Times New Roman" w:cs="Times New Roman"/>
                      <w:szCs w:val="21"/>
                    </w:rPr>
                    <w:t>年</w:t>
                  </w:r>
                </w:p>
              </w:tc>
              <w:tc>
                <w:tcPr>
                  <w:tcW w:w="2138" w:type="pct"/>
                  <w:vAlign w:val="center"/>
                </w:tcPr>
                <w:p w14:paraId="2BDA16F5">
                  <w:pPr>
                    <w:keepNext w:val="0"/>
                    <w:keepLines w:val="0"/>
                    <w:widowControl/>
                    <w:suppressLineNumbers w:val="0"/>
                    <w:spacing w:before="0" w:beforeAutospacing="0" w:after="0" w:afterAutospacing="0" w:line="276" w:lineRule="auto"/>
                    <w:ind w:left="0" w:right="0"/>
                    <w:jc w:val="center"/>
                    <w:rPr>
                      <w:rFonts w:hint="default" w:ascii="Times New Roman" w:cs="Times New Roman"/>
                      <w:szCs w:val="21"/>
                    </w:rPr>
                  </w:pPr>
                  <w:r>
                    <w:rPr>
                      <w:rFonts w:hint="eastAsia" w:ascii="Times New Roman" w:hAnsi="Times New Roman" w:cs="Times New Roman"/>
                      <w:szCs w:val="21"/>
                    </w:rPr>
                    <w:t>《固定源挥发性有机物综合排放标准第6部分：其他行业》（DB34/4812.6-2024）</w:t>
                  </w:r>
                </w:p>
              </w:tc>
            </w:tr>
          </w:tbl>
          <w:p w14:paraId="070DAC9F">
            <w:pPr>
              <w:keepNext w:val="0"/>
              <w:keepLines w:val="0"/>
              <w:suppressLineNumbers w:val="0"/>
              <w:spacing w:before="0" w:beforeAutospacing="0" w:after="0" w:afterAutospacing="0" w:line="360" w:lineRule="auto"/>
              <w:ind w:left="0" w:right="0" w:firstLine="472" w:firstLineChars="196"/>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rPr>
              <w:t>三、噪声</w:t>
            </w:r>
            <w:r>
              <w:rPr>
                <w:rFonts w:hint="eastAsia" w:ascii="Times New Roman" w:hAnsi="Times New Roman" w:eastAsia="宋体" w:cs="宋体"/>
                <w:b/>
                <w:bCs/>
                <w:sz w:val="24"/>
                <w:szCs w:val="24"/>
              </w:rPr>
              <w:t>环境保护措施</w:t>
            </w:r>
          </w:p>
          <w:p w14:paraId="6521CF59">
            <w:pPr>
              <w:pStyle w:val="48"/>
              <w:keepNext w:val="0"/>
              <w:keepLines w:val="0"/>
              <w:suppressLineNumbers w:val="0"/>
              <w:adjustRightInd/>
              <w:spacing w:before="0" w:beforeAutospacing="0" w:after="0" w:afterAutospacing="0" w:line="360" w:lineRule="auto"/>
              <w:ind w:left="0" w:right="0" w:firstLine="480" w:firstLineChars="200"/>
              <w:jc w:val="both"/>
              <w:rPr>
                <w:rFonts w:hint="default" w:ascii="Times New Roman"/>
                <w:color w:val="auto"/>
                <w:kern w:val="2"/>
              </w:rPr>
            </w:pPr>
            <w:r>
              <w:rPr>
                <w:rFonts w:hint="default" w:ascii="Times New Roman"/>
                <w:color w:val="auto"/>
                <w:kern w:val="2"/>
              </w:rPr>
              <w:t>1、运营期声环境影响分析</w:t>
            </w:r>
          </w:p>
          <w:p w14:paraId="03D28850">
            <w:pPr>
              <w:keepNext w:val="0"/>
              <w:keepLines w:val="0"/>
              <w:suppressLineNumbers w:val="0"/>
              <w:spacing w:before="0" w:beforeAutospacing="0" w:after="0" w:afterAutospacing="0" w:line="360" w:lineRule="auto"/>
              <w:ind w:left="0" w:right="0" w:firstLine="540" w:firstLineChars="225"/>
              <w:rPr>
                <w:rFonts w:hint="default" w:ascii="Times New Roman" w:hAnsi="Times New Roman" w:eastAsia="宋体" w:cs="Times New Roman"/>
                <w:bCs/>
                <w:sz w:val="24"/>
              </w:rPr>
            </w:pPr>
            <w:r>
              <w:rPr>
                <w:rFonts w:hint="default" w:ascii="Times New Roman" w:hAnsi="Times New Roman" w:eastAsia="宋体" w:cs="Times New Roman"/>
                <w:sz w:val="24"/>
                <w:szCs w:val="24"/>
              </w:rPr>
              <w:t>本项目噪声污染源主要为各类设备运行噪声，项目采用减振、隔声措施后，能有效</w:t>
            </w:r>
            <w:r>
              <w:rPr>
                <w:rFonts w:hint="eastAsia" w:ascii="Times New Roman" w:hAnsi="Times New Roman" w:eastAsia="宋体" w:cs="Times New Roman"/>
                <w:sz w:val="24"/>
                <w:szCs w:val="24"/>
                <w:lang w:val="en-US" w:eastAsia="zh-CN"/>
              </w:rPr>
              <w:t>降低</w:t>
            </w:r>
            <w:r>
              <w:rPr>
                <w:rFonts w:hint="default" w:ascii="Times New Roman" w:hAnsi="Times New Roman" w:eastAsia="宋体" w:cs="Times New Roman"/>
                <w:sz w:val="24"/>
                <w:szCs w:val="24"/>
              </w:rPr>
              <w:t>噪声环境影响。具体设备噪声源强见下表：</w:t>
            </w:r>
          </w:p>
          <w:p w14:paraId="17BF2CFB">
            <w:pPr>
              <w:pStyle w:val="48"/>
              <w:keepNext w:val="0"/>
              <w:keepLines w:val="0"/>
              <w:suppressLineNumbers w:val="0"/>
              <w:spacing w:before="0" w:beforeAutospacing="0" w:after="0" w:afterAutospacing="0" w:line="360" w:lineRule="auto"/>
              <w:ind w:left="0" w:right="0" w:firstLine="480" w:firstLineChars="200"/>
              <w:jc w:val="both"/>
              <w:rPr>
                <w:rFonts w:hint="default" w:ascii="Times New Roman" w:cs="Times New Roman"/>
                <w:color w:val="auto"/>
                <w:kern w:val="2"/>
              </w:rPr>
            </w:pPr>
          </w:p>
        </w:tc>
      </w:tr>
    </w:tbl>
    <w:p w14:paraId="0094800B">
      <w:pPr>
        <w:rPr>
          <w:rFonts w:ascii="Times New Roman" w:hAnsi="Times New Roman"/>
        </w:rPr>
        <w:sectPr>
          <w:pgSz w:w="11906" w:h="16838"/>
          <w:pgMar w:top="1440" w:right="1800" w:bottom="1440" w:left="1800" w:header="851" w:footer="992" w:gutter="0"/>
          <w:cols w:space="425" w:num="1"/>
          <w:docGrid w:type="lines" w:linePitch="312" w:charSpace="0"/>
        </w:sectPr>
      </w:pPr>
    </w:p>
    <w:tbl>
      <w:tblPr>
        <w:tblStyle w:val="18"/>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174"/>
      </w:tblGrid>
      <w:tr w14:paraId="3DE185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74" w:type="dxa"/>
          </w:tcPr>
          <w:p w14:paraId="27744081">
            <w:pPr>
              <w:keepNext w:val="0"/>
              <w:keepLines w:val="0"/>
              <w:suppressLineNumbers w:val="0"/>
              <w:spacing w:before="0" w:beforeAutospacing="0" w:after="0" w:afterAutospacing="0" w:line="360" w:lineRule="auto"/>
              <w:ind w:left="0" w:right="0"/>
              <w:jc w:val="center"/>
              <w:rPr>
                <w:rFonts w:hint="default" w:ascii="Times New Roman" w:hAnsi="Times New Roman" w:eastAsia="黑体"/>
                <w:sz w:val="24"/>
                <w:szCs w:val="24"/>
              </w:rPr>
            </w:pPr>
            <w:r>
              <w:rPr>
                <w:rFonts w:hint="default" w:ascii="Times New Roman" w:hAnsi="Times New Roman" w:eastAsia="黑体"/>
                <w:sz w:val="24"/>
                <w:szCs w:val="24"/>
              </w:rPr>
              <w:t>表4</w:t>
            </w:r>
            <w:r>
              <w:rPr>
                <w:rFonts w:hint="eastAsia" w:ascii="Times New Roman" w:hAnsi="Times New Roman" w:eastAsia="黑体"/>
                <w:sz w:val="24"/>
                <w:szCs w:val="24"/>
              </w:rPr>
              <w:t xml:space="preserve">-4  </w:t>
            </w:r>
            <w:bookmarkStart w:id="5" w:name="OLE_LINK8"/>
            <w:r>
              <w:rPr>
                <w:rFonts w:hint="default" w:ascii="Times New Roman" w:hAnsi="Times New Roman" w:eastAsia="黑体"/>
                <w:sz w:val="24"/>
                <w:szCs w:val="24"/>
              </w:rPr>
              <w:t>工业企业噪声源强调查清单（室内声源）</w:t>
            </w:r>
            <w:bookmarkEnd w:id="5"/>
          </w:p>
        </w:tc>
      </w:tr>
      <w:tr w14:paraId="0A61B3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74" w:type="dxa"/>
          </w:tcPr>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97"/>
              <w:gridCol w:w="429"/>
              <w:gridCol w:w="581"/>
              <w:gridCol w:w="708"/>
              <w:gridCol w:w="631"/>
              <w:gridCol w:w="578"/>
              <w:gridCol w:w="584"/>
              <w:gridCol w:w="450"/>
              <w:gridCol w:w="606"/>
              <w:gridCol w:w="587"/>
              <w:gridCol w:w="601"/>
              <w:gridCol w:w="634"/>
              <w:gridCol w:w="576"/>
              <w:gridCol w:w="576"/>
              <w:gridCol w:w="576"/>
              <w:gridCol w:w="609"/>
              <w:gridCol w:w="1062"/>
              <w:gridCol w:w="708"/>
              <w:gridCol w:w="581"/>
              <w:gridCol w:w="581"/>
              <w:gridCol w:w="581"/>
              <w:gridCol w:w="581"/>
              <w:gridCol w:w="741"/>
            </w:tblGrid>
            <w:tr w14:paraId="461290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2" w:type="pct"/>
                  <w:vMerge w:val="restart"/>
                  <w:vAlign w:val="center"/>
                </w:tcPr>
                <w:p w14:paraId="5F6640D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序号</w:t>
                  </w:r>
                </w:p>
              </w:tc>
              <w:tc>
                <w:tcPr>
                  <w:tcW w:w="154" w:type="pct"/>
                  <w:vMerge w:val="restart"/>
                  <w:vAlign w:val="center"/>
                </w:tcPr>
                <w:p w14:paraId="780EFE6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建筑物名称</w:t>
                  </w:r>
                </w:p>
              </w:tc>
              <w:tc>
                <w:tcPr>
                  <w:tcW w:w="208" w:type="pct"/>
                  <w:vMerge w:val="restart"/>
                  <w:vAlign w:val="center"/>
                </w:tcPr>
                <w:p w14:paraId="1D4B0DB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声源名称</w:t>
                  </w:r>
                </w:p>
              </w:tc>
              <w:tc>
                <w:tcPr>
                  <w:tcW w:w="253" w:type="pct"/>
                  <w:vMerge w:val="restart"/>
                  <w:vAlign w:val="center"/>
                </w:tcPr>
                <w:p w14:paraId="61D250A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声源源强</w:t>
                  </w:r>
                </w:p>
                <w:p w14:paraId="1C69573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/dB（A）</w:t>
                  </w:r>
                </w:p>
              </w:tc>
              <w:tc>
                <w:tcPr>
                  <w:tcW w:w="226" w:type="pct"/>
                  <w:vMerge w:val="restart"/>
                  <w:vAlign w:val="center"/>
                </w:tcPr>
                <w:p w14:paraId="47BF0A22">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声源控制措施</w:t>
                  </w:r>
                </w:p>
              </w:tc>
              <w:tc>
                <w:tcPr>
                  <w:tcW w:w="577" w:type="pct"/>
                  <w:gridSpan w:val="3"/>
                  <w:vAlign w:val="center"/>
                </w:tcPr>
                <w:p w14:paraId="4D74D9AE">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空间相对位置（m）</w:t>
                  </w:r>
                </w:p>
              </w:tc>
              <w:tc>
                <w:tcPr>
                  <w:tcW w:w="869" w:type="pct"/>
                  <w:gridSpan w:val="4"/>
                  <w:vAlign w:val="center"/>
                </w:tcPr>
                <w:p w14:paraId="60E564B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距室内边界距离/m</w:t>
                  </w:r>
                </w:p>
              </w:tc>
              <w:tc>
                <w:tcPr>
                  <w:tcW w:w="836" w:type="pct"/>
                  <w:gridSpan w:val="4"/>
                  <w:vAlign w:val="center"/>
                </w:tcPr>
                <w:p w14:paraId="7DD8B20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室内边界声级/dB（A）</w:t>
                  </w:r>
                </w:p>
              </w:tc>
              <w:tc>
                <w:tcPr>
                  <w:tcW w:w="380" w:type="pct"/>
                  <w:vMerge w:val="restart"/>
                  <w:vAlign w:val="center"/>
                </w:tcPr>
                <w:p w14:paraId="1B0E928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运行时段</w:t>
                  </w:r>
                </w:p>
              </w:tc>
              <w:tc>
                <w:tcPr>
                  <w:tcW w:w="253" w:type="pct"/>
                  <w:vMerge w:val="restart"/>
                  <w:vAlign w:val="center"/>
                </w:tcPr>
                <w:p w14:paraId="73FD1AB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建筑物插入损失/dB（A）</w:t>
                  </w:r>
                </w:p>
              </w:tc>
              <w:tc>
                <w:tcPr>
                  <w:tcW w:w="1097" w:type="pct"/>
                  <w:gridSpan w:val="5"/>
                  <w:vAlign w:val="center"/>
                </w:tcPr>
                <w:p w14:paraId="190ABEB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建筑物外噪声声压级/dB（A）</w:t>
                  </w:r>
                </w:p>
              </w:tc>
            </w:tr>
            <w:tr w14:paraId="56957D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2" w:type="pct"/>
                  <w:vMerge w:val="continue"/>
                  <w:vAlign w:val="center"/>
                </w:tcPr>
                <w:p w14:paraId="3E6C9E1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p>
              </w:tc>
              <w:tc>
                <w:tcPr>
                  <w:tcW w:w="154" w:type="pct"/>
                  <w:vMerge w:val="continue"/>
                  <w:vAlign w:val="center"/>
                </w:tcPr>
                <w:p w14:paraId="1AC44D52">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p>
              </w:tc>
              <w:tc>
                <w:tcPr>
                  <w:tcW w:w="208" w:type="pct"/>
                  <w:vMerge w:val="continue"/>
                  <w:vAlign w:val="center"/>
                </w:tcPr>
                <w:p w14:paraId="75AB72D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p>
              </w:tc>
              <w:tc>
                <w:tcPr>
                  <w:tcW w:w="253" w:type="pct"/>
                  <w:vMerge w:val="continue"/>
                  <w:vAlign w:val="center"/>
                </w:tcPr>
                <w:p w14:paraId="37CADCA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p>
              </w:tc>
              <w:tc>
                <w:tcPr>
                  <w:tcW w:w="226" w:type="pct"/>
                  <w:vMerge w:val="continue"/>
                  <w:vAlign w:val="center"/>
                </w:tcPr>
                <w:p w14:paraId="6D251E80">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b/>
                      <w:sz w:val="18"/>
                      <w:szCs w:val="18"/>
                    </w:rPr>
                  </w:pPr>
                </w:p>
              </w:tc>
              <w:tc>
                <w:tcPr>
                  <w:tcW w:w="207" w:type="pct"/>
                  <w:vAlign w:val="center"/>
                </w:tcPr>
                <w:p w14:paraId="051BFE2C">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X</w:t>
                  </w:r>
                </w:p>
              </w:tc>
              <w:tc>
                <w:tcPr>
                  <w:tcW w:w="209" w:type="pct"/>
                  <w:vAlign w:val="center"/>
                </w:tcPr>
                <w:p w14:paraId="5EE373E1">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Y</w:t>
                  </w:r>
                </w:p>
              </w:tc>
              <w:tc>
                <w:tcPr>
                  <w:tcW w:w="161" w:type="pct"/>
                  <w:vAlign w:val="center"/>
                </w:tcPr>
                <w:p w14:paraId="6EF74FE2">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Z</w:t>
                  </w:r>
                </w:p>
              </w:tc>
              <w:tc>
                <w:tcPr>
                  <w:tcW w:w="217" w:type="pct"/>
                  <w:vAlign w:val="center"/>
                </w:tcPr>
                <w:p w14:paraId="3AEAFE3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东</w:t>
                  </w:r>
                </w:p>
              </w:tc>
              <w:tc>
                <w:tcPr>
                  <w:tcW w:w="210" w:type="pct"/>
                  <w:vAlign w:val="center"/>
                </w:tcPr>
                <w:p w14:paraId="669F3E0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南</w:t>
                  </w:r>
                </w:p>
              </w:tc>
              <w:tc>
                <w:tcPr>
                  <w:tcW w:w="215" w:type="pct"/>
                  <w:vAlign w:val="center"/>
                </w:tcPr>
                <w:p w14:paraId="6F0DB26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西</w:t>
                  </w:r>
                </w:p>
              </w:tc>
              <w:tc>
                <w:tcPr>
                  <w:tcW w:w="227" w:type="pct"/>
                  <w:vAlign w:val="center"/>
                </w:tcPr>
                <w:p w14:paraId="5C1B61E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北</w:t>
                  </w:r>
                </w:p>
              </w:tc>
              <w:tc>
                <w:tcPr>
                  <w:tcW w:w="206" w:type="pct"/>
                  <w:vAlign w:val="center"/>
                </w:tcPr>
                <w:p w14:paraId="0D4297E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东</w:t>
                  </w:r>
                </w:p>
              </w:tc>
              <w:tc>
                <w:tcPr>
                  <w:tcW w:w="206" w:type="pct"/>
                  <w:vAlign w:val="center"/>
                </w:tcPr>
                <w:p w14:paraId="3DA9829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南</w:t>
                  </w:r>
                </w:p>
              </w:tc>
              <w:tc>
                <w:tcPr>
                  <w:tcW w:w="206" w:type="pct"/>
                  <w:vAlign w:val="center"/>
                </w:tcPr>
                <w:p w14:paraId="6A0A216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西</w:t>
                  </w:r>
                </w:p>
              </w:tc>
              <w:tc>
                <w:tcPr>
                  <w:tcW w:w="217" w:type="pct"/>
                  <w:vAlign w:val="center"/>
                </w:tcPr>
                <w:p w14:paraId="62262A5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北</w:t>
                  </w:r>
                </w:p>
              </w:tc>
              <w:tc>
                <w:tcPr>
                  <w:tcW w:w="380" w:type="pct"/>
                  <w:vMerge w:val="continue"/>
                  <w:vAlign w:val="center"/>
                </w:tcPr>
                <w:p w14:paraId="33C86592">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p>
              </w:tc>
              <w:tc>
                <w:tcPr>
                  <w:tcW w:w="253" w:type="pct"/>
                  <w:vMerge w:val="continue"/>
                  <w:vAlign w:val="center"/>
                </w:tcPr>
                <w:p w14:paraId="19E0B05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p>
              </w:tc>
              <w:tc>
                <w:tcPr>
                  <w:tcW w:w="208" w:type="pct"/>
                  <w:vAlign w:val="center"/>
                </w:tcPr>
                <w:p w14:paraId="4225D53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东</w:t>
                  </w:r>
                </w:p>
              </w:tc>
              <w:tc>
                <w:tcPr>
                  <w:tcW w:w="208" w:type="pct"/>
                  <w:vAlign w:val="center"/>
                </w:tcPr>
                <w:p w14:paraId="3A20C34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南</w:t>
                  </w:r>
                </w:p>
              </w:tc>
              <w:tc>
                <w:tcPr>
                  <w:tcW w:w="208" w:type="pct"/>
                  <w:vAlign w:val="center"/>
                </w:tcPr>
                <w:p w14:paraId="31FA767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西</w:t>
                  </w:r>
                </w:p>
              </w:tc>
              <w:tc>
                <w:tcPr>
                  <w:tcW w:w="208" w:type="pct"/>
                  <w:vAlign w:val="center"/>
                </w:tcPr>
                <w:p w14:paraId="5FE3DE1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北</w:t>
                  </w:r>
                </w:p>
              </w:tc>
              <w:tc>
                <w:tcPr>
                  <w:tcW w:w="265" w:type="pct"/>
                  <w:vAlign w:val="center"/>
                </w:tcPr>
                <w:p w14:paraId="5A688AF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z w:val="18"/>
                      <w:szCs w:val="18"/>
                    </w:rPr>
                  </w:pPr>
                  <w:r>
                    <w:rPr>
                      <w:rFonts w:hint="default" w:ascii="Times New Roman" w:hAnsi="Times New Roman" w:cs="Times New Roman"/>
                      <w:b/>
                      <w:sz w:val="18"/>
                      <w:szCs w:val="18"/>
                    </w:rPr>
                    <w:t>建筑物外距离/m</w:t>
                  </w:r>
                </w:p>
              </w:tc>
            </w:tr>
            <w:tr w14:paraId="7E29CD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2" w:type="pct"/>
                  <w:vAlign w:val="center"/>
                </w:tcPr>
                <w:p w14:paraId="46ED81F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54" w:type="pct"/>
                  <w:vMerge w:val="restart"/>
                  <w:vAlign w:val="center"/>
                </w:tcPr>
                <w:p w14:paraId="48A2D58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厂区</w:t>
                  </w:r>
                </w:p>
              </w:tc>
              <w:tc>
                <w:tcPr>
                  <w:tcW w:w="208" w:type="pct"/>
                  <w:vAlign w:val="center"/>
                </w:tcPr>
                <w:p w14:paraId="72B8E215">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连续式全自动包装机×</w:t>
                  </w:r>
                  <w:r>
                    <w:rPr>
                      <w:rFonts w:hint="eastAsia" w:ascii="Times New Roman" w:hAnsi="Times New Roman" w:cs="Times New Roman"/>
                      <w:sz w:val="18"/>
                      <w:szCs w:val="18"/>
                    </w:rPr>
                    <w:t>110</w:t>
                  </w:r>
                </w:p>
              </w:tc>
              <w:tc>
                <w:tcPr>
                  <w:tcW w:w="253" w:type="pct"/>
                  <w:vAlign w:val="center"/>
                </w:tcPr>
                <w:p w14:paraId="0DA88120">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单台70</w:t>
                  </w:r>
                </w:p>
              </w:tc>
              <w:tc>
                <w:tcPr>
                  <w:tcW w:w="226" w:type="pct"/>
                  <w:vMerge w:val="restart"/>
                  <w:vAlign w:val="center"/>
                </w:tcPr>
                <w:p w14:paraId="6C7FFE4E">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基础减振、隔声</w:t>
                  </w:r>
                </w:p>
              </w:tc>
              <w:tc>
                <w:tcPr>
                  <w:tcW w:w="207" w:type="pct"/>
                  <w:vAlign w:val="center"/>
                </w:tcPr>
                <w:p w14:paraId="48916807">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13</w:t>
                  </w:r>
                </w:p>
              </w:tc>
              <w:tc>
                <w:tcPr>
                  <w:tcW w:w="209" w:type="pct"/>
                  <w:vAlign w:val="center"/>
                </w:tcPr>
                <w:p w14:paraId="492C558C">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11</w:t>
                  </w:r>
                </w:p>
              </w:tc>
              <w:tc>
                <w:tcPr>
                  <w:tcW w:w="161" w:type="pct"/>
                  <w:vAlign w:val="center"/>
                </w:tcPr>
                <w:p w14:paraId="1DF564D3">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9.0</w:t>
                  </w:r>
                </w:p>
              </w:tc>
              <w:tc>
                <w:tcPr>
                  <w:tcW w:w="217" w:type="pct"/>
                  <w:vAlign w:val="center"/>
                </w:tcPr>
                <w:p w14:paraId="24B9932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14.3</w:t>
                  </w:r>
                </w:p>
              </w:tc>
              <w:tc>
                <w:tcPr>
                  <w:tcW w:w="210" w:type="pct"/>
                  <w:vAlign w:val="center"/>
                </w:tcPr>
                <w:p w14:paraId="5250547D">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30.2</w:t>
                  </w:r>
                </w:p>
              </w:tc>
              <w:tc>
                <w:tcPr>
                  <w:tcW w:w="215" w:type="pct"/>
                  <w:vAlign w:val="center"/>
                </w:tcPr>
                <w:p w14:paraId="48F951B8">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47.8</w:t>
                  </w:r>
                </w:p>
              </w:tc>
              <w:tc>
                <w:tcPr>
                  <w:tcW w:w="227" w:type="pct"/>
                  <w:vAlign w:val="center"/>
                </w:tcPr>
                <w:p w14:paraId="0425EA2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16.2</w:t>
                  </w:r>
                </w:p>
              </w:tc>
              <w:tc>
                <w:tcPr>
                  <w:tcW w:w="206" w:type="pct"/>
                  <w:vAlign w:val="center"/>
                </w:tcPr>
                <w:p w14:paraId="7CBC404B">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61.9</w:t>
                  </w:r>
                </w:p>
              </w:tc>
              <w:tc>
                <w:tcPr>
                  <w:tcW w:w="206" w:type="pct"/>
                  <w:vAlign w:val="center"/>
                </w:tcPr>
                <w:p w14:paraId="2A831966">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55.4</w:t>
                  </w:r>
                </w:p>
              </w:tc>
              <w:tc>
                <w:tcPr>
                  <w:tcW w:w="206" w:type="pct"/>
                  <w:vAlign w:val="center"/>
                </w:tcPr>
                <w:p w14:paraId="2524F367">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51.4</w:t>
                  </w:r>
                </w:p>
              </w:tc>
              <w:tc>
                <w:tcPr>
                  <w:tcW w:w="217" w:type="pct"/>
                  <w:vAlign w:val="center"/>
                </w:tcPr>
                <w:p w14:paraId="07E2ED21">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60.8</w:t>
                  </w:r>
                </w:p>
              </w:tc>
              <w:tc>
                <w:tcPr>
                  <w:tcW w:w="380" w:type="pct"/>
                  <w:vMerge w:val="restart"/>
                  <w:vAlign w:val="center"/>
                </w:tcPr>
                <w:p w14:paraId="0D926925">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昼间</w:t>
                  </w:r>
                </w:p>
              </w:tc>
              <w:tc>
                <w:tcPr>
                  <w:tcW w:w="253" w:type="pct"/>
                  <w:vAlign w:val="center"/>
                </w:tcPr>
                <w:p w14:paraId="1E7BDEF4">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15</w:t>
                  </w:r>
                </w:p>
              </w:tc>
              <w:tc>
                <w:tcPr>
                  <w:tcW w:w="208" w:type="pct"/>
                  <w:vAlign w:val="center"/>
                </w:tcPr>
                <w:p w14:paraId="3031B116">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42.9</w:t>
                  </w:r>
                </w:p>
              </w:tc>
              <w:tc>
                <w:tcPr>
                  <w:tcW w:w="208" w:type="pct"/>
                  <w:vAlign w:val="center"/>
                </w:tcPr>
                <w:p w14:paraId="2565E691">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36.4</w:t>
                  </w:r>
                </w:p>
              </w:tc>
              <w:tc>
                <w:tcPr>
                  <w:tcW w:w="208" w:type="pct"/>
                  <w:vAlign w:val="center"/>
                </w:tcPr>
                <w:p w14:paraId="050351E8">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32.4</w:t>
                  </w:r>
                </w:p>
              </w:tc>
              <w:tc>
                <w:tcPr>
                  <w:tcW w:w="208" w:type="pct"/>
                  <w:vAlign w:val="center"/>
                </w:tcPr>
                <w:p w14:paraId="287F897B">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41.8</w:t>
                  </w:r>
                </w:p>
              </w:tc>
              <w:tc>
                <w:tcPr>
                  <w:tcW w:w="265" w:type="pct"/>
                  <w:vAlign w:val="center"/>
                </w:tcPr>
                <w:p w14:paraId="604389A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r>
            <w:tr w14:paraId="5BD904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2" w:type="pct"/>
                  <w:vAlign w:val="center"/>
                </w:tcPr>
                <w:p w14:paraId="6F2F2D8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2</w:t>
                  </w:r>
                </w:p>
              </w:tc>
              <w:tc>
                <w:tcPr>
                  <w:tcW w:w="154" w:type="pct"/>
                  <w:vMerge w:val="continue"/>
                  <w:vAlign w:val="center"/>
                </w:tcPr>
                <w:p w14:paraId="609FA33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p>
              </w:tc>
              <w:tc>
                <w:tcPr>
                  <w:tcW w:w="208" w:type="pct"/>
                  <w:vAlign w:val="center"/>
                </w:tcPr>
                <w:p w14:paraId="12ABDC8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伺服夹拉式包装机×</w:t>
                  </w:r>
                  <w:r>
                    <w:rPr>
                      <w:rFonts w:hint="eastAsia" w:ascii="Times New Roman" w:hAnsi="Times New Roman" w:cs="Times New Roman"/>
                      <w:sz w:val="18"/>
                      <w:szCs w:val="18"/>
                    </w:rPr>
                    <w:t>18</w:t>
                  </w:r>
                </w:p>
              </w:tc>
              <w:tc>
                <w:tcPr>
                  <w:tcW w:w="253" w:type="pct"/>
                  <w:vAlign w:val="center"/>
                </w:tcPr>
                <w:p w14:paraId="20E828F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单台70</w:t>
                  </w:r>
                </w:p>
              </w:tc>
              <w:tc>
                <w:tcPr>
                  <w:tcW w:w="226" w:type="pct"/>
                  <w:vMerge w:val="continue"/>
                  <w:vAlign w:val="center"/>
                </w:tcPr>
                <w:p w14:paraId="5072644D">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p>
              </w:tc>
              <w:tc>
                <w:tcPr>
                  <w:tcW w:w="207" w:type="pct"/>
                  <w:vAlign w:val="center"/>
                </w:tcPr>
                <w:p w14:paraId="09BB6E9B">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15</w:t>
                  </w:r>
                </w:p>
              </w:tc>
              <w:tc>
                <w:tcPr>
                  <w:tcW w:w="209" w:type="pct"/>
                  <w:vAlign w:val="center"/>
                </w:tcPr>
                <w:p w14:paraId="30E20B8D">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13</w:t>
                  </w:r>
                </w:p>
              </w:tc>
              <w:tc>
                <w:tcPr>
                  <w:tcW w:w="161" w:type="pct"/>
                  <w:vAlign w:val="center"/>
                </w:tcPr>
                <w:p w14:paraId="6C47B0A9">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9.0</w:t>
                  </w:r>
                </w:p>
              </w:tc>
              <w:tc>
                <w:tcPr>
                  <w:tcW w:w="217" w:type="pct"/>
                  <w:vAlign w:val="center"/>
                </w:tcPr>
                <w:p w14:paraId="54EEF1C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19.5</w:t>
                  </w:r>
                </w:p>
              </w:tc>
              <w:tc>
                <w:tcPr>
                  <w:tcW w:w="210" w:type="pct"/>
                  <w:vAlign w:val="center"/>
                </w:tcPr>
                <w:p w14:paraId="6D5B9757">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38.1</w:t>
                  </w:r>
                </w:p>
              </w:tc>
              <w:tc>
                <w:tcPr>
                  <w:tcW w:w="215" w:type="pct"/>
                  <w:vAlign w:val="center"/>
                </w:tcPr>
                <w:p w14:paraId="77BE5988">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28.6</w:t>
                  </w:r>
                </w:p>
              </w:tc>
              <w:tc>
                <w:tcPr>
                  <w:tcW w:w="227" w:type="pct"/>
                  <w:vAlign w:val="center"/>
                </w:tcPr>
                <w:p w14:paraId="23CAE93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17.1</w:t>
                  </w:r>
                </w:p>
              </w:tc>
              <w:tc>
                <w:tcPr>
                  <w:tcW w:w="206" w:type="pct"/>
                  <w:vAlign w:val="center"/>
                </w:tcPr>
                <w:p w14:paraId="10441ED0">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59.2</w:t>
                  </w:r>
                </w:p>
              </w:tc>
              <w:tc>
                <w:tcPr>
                  <w:tcW w:w="206" w:type="pct"/>
                  <w:vAlign w:val="center"/>
                </w:tcPr>
                <w:p w14:paraId="26714BAC">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53.4</w:t>
                  </w:r>
                </w:p>
              </w:tc>
              <w:tc>
                <w:tcPr>
                  <w:tcW w:w="206" w:type="pct"/>
                  <w:vAlign w:val="center"/>
                </w:tcPr>
                <w:p w14:paraId="63ED369B">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55.9</w:t>
                  </w:r>
                </w:p>
              </w:tc>
              <w:tc>
                <w:tcPr>
                  <w:tcW w:w="217" w:type="pct"/>
                  <w:vAlign w:val="center"/>
                </w:tcPr>
                <w:p w14:paraId="0EE93CBA">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60.3</w:t>
                  </w:r>
                </w:p>
              </w:tc>
              <w:tc>
                <w:tcPr>
                  <w:tcW w:w="380" w:type="pct"/>
                  <w:vMerge w:val="continue"/>
                  <w:vAlign w:val="center"/>
                </w:tcPr>
                <w:p w14:paraId="12CDDD8D">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p>
              </w:tc>
              <w:tc>
                <w:tcPr>
                  <w:tcW w:w="253" w:type="pct"/>
                  <w:vAlign w:val="center"/>
                </w:tcPr>
                <w:p w14:paraId="2C7F2B7B">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15</w:t>
                  </w:r>
                </w:p>
              </w:tc>
              <w:tc>
                <w:tcPr>
                  <w:tcW w:w="208" w:type="pct"/>
                  <w:vAlign w:val="center"/>
                </w:tcPr>
                <w:p w14:paraId="44884563">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40.2</w:t>
                  </w:r>
                </w:p>
              </w:tc>
              <w:tc>
                <w:tcPr>
                  <w:tcW w:w="208" w:type="pct"/>
                  <w:vAlign w:val="center"/>
                </w:tcPr>
                <w:p w14:paraId="035B6548">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34.4</w:t>
                  </w:r>
                </w:p>
              </w:tc>
              <w:tc>
                <w:tcPr>
                  <w:tcW w:w="208" w:type="pct"/>
                  <w:vAlign w:val="center"/>
                </w:tcPr>
                <w:p w14:paraId="132132DD">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36.9</w:t>
                  </w:r>
                </w:p>
              </w:tc>
              <w:tc>
                <w:tcPr>
                  <w:tcW w:w="208" w:type="pct"/>
                  <w:vAlign w:val="center"/>
                </w:tcPr>
                <w:p w14:paraId="65B7874C">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41.3</w:t>
                  </w:r>
                </w:p>
              </w:tc>
              <w:tc>
                <w:tcPr>
                  <w:tcW w:w="265" w:type="pct"/>
                  <w:vAlign w:val="center"/>
                </w:tcPr>
                <w:p w14:paraId="1058A9D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r>
            <w:tr w14:paraId="376ACD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2" w:type="pct"/>
                  <w:vAlign w:val="center"/>
                </w:tcPr>
                <w:p w14:paraId="712E2AC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3</w:t>
                  </w:r>
                </w:p>
              </w:tc>
              <w:tc>
                <w:tcPr>
                  <w:tcW w:w="154" w:type="pct"/>
                  <w:vMerge w:val="continue"/>
                  <w:vAlign w:val="center"/>
                </w:tcPr>
                <w:p w14:paraId="56CB1EE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p>
              </w:tc>
              <w:tc>
                <w:tcPr>
                  <w:tcW w:w="208" w:type="pct"/>
                  <w:vAlign w:val="center"/>
                </w:tcPr>
                <w:p w14:paraId="2F04BFB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脱氧剂包装机</w:t>
                  </w:r>
                  <w:r>
                    <w:rPr>
                      <w:rFonts w:hint="default" w:ascii="Times New Roman" w:hAnsi="Times New Roman" w:cs="Times New Roman"/>
                      <w:sz w:val="18"/>
                      <w:szCs w:val="18"/>
                    </w:rPr>
                    <w:t>×</w:t>
                  </w:r>
                  <w:r>
                    <w:rPr>
                      <w:rFonts w:hint="eastAsia" w:ascii="Times New Roman" w:hAnsi="Times New Roman" w:cs="Times New Roman"/>
                      <w:sz w:val="18"/>
                      <w:szCs w:val="18"/>
                    </w:rPr>
                    <w:t>3</w:t>
                  </w:r>
                </w:p>
              </w:tc>
              <w:tc>
                <w:tcPr>
                  <w:tcW w:w="253" w:type="pct"/>
                  <w:vAlign w:val="center"/>
                </w:tcPr>
                <w:p w14:paraId="4F69D112">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单台</w:t>
                  </w:r>
                  <w:r>
                    <w:rPr>
                      <w:rFonts w:hint="eastAsia" w:ascii="Times New Roman" w:hAnsi="Times New Roman" w:cs="Times New Roman"/>
                      <w:sz w:val="18"/>
                      <w:szCs w:val="18"/>
                    </w:rPr>
                    <w:t>80</w:t>
                  </w:r>
                </w:p>
              </w:tc>
              <w:tc>
                <w:tcPr>
                  <w:tcW w:w="226" w:type="pct"/>
                  <w:vMerge w:val="continue"/>
                  <w:vAlign w:val="center"/>
                </w:tcPr>
                <w:p w14:paraId="0ACBF1DF">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p>
              </w:tc>
              <w:tc>
                <w:tcPr>
                  <w:tcW w:w="207" w:type="pct"/>
                  <w:vAlign w:val="center"/>
                </w:tcPr>
                <w:p w14:paraId="38E33945">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10</w:t>
                  </w:r>
                </w:p>
              </w:tc>
              <w:tc>
                <w:tcPr>
                  <w:tcW w:w="209" w:type="pct"/>
                  <w:vAlign w:val="center"/>
                </w:tcPr>
                <w:p w14:paraId="3252EB66">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-30</w:t>
                  </w:r>
                </w:p>
              </w:tc>
              <w:tc>
                <w:tcPr>
                  <w:tcW w:w="161" w:type="pct"/>
                  <w:vAlign w:val="center"/>
                </w:tcPr>
                <w:p w14:paraId="2FA3C890">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9.0</w:t>
                  </w:r>
                </w:p>
              </w:tc>
              <w:tc>
                <w:tcPr>
                  <w:tcW w:w="217" w:type="pct"/>
                  <w:vAlign w:val="center"/>
                </w:tcPr>
                <w:p w14:paraId="76E7D6F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37.7</w:t>
                  </w:r>
                </w:p>
              </w:tc>
              <w:tc>
                <w:tcPr>
                  <w:tcW w:w="210" w:type="pct"/>
                  <w:vAlign w:val="center"/>
                </w:tcPr>
                <w:p w14:paraId="5AEBFBCC">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11.3</w:t>
                  </w:r>
                </w:p>
              </w:tc>
              <w:tc>
                <w:tcPr>
                  <w:tcW w:w="215" w:type="pct"/>
                  <w:vAlign w:val="center"/>
                </w:tcPr>
                <w:p w14:paraId="43756847">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12.2</w:t>
                  </w:r>
                </w:p>
              </w:tc>
              <w:tc>
                <w:tcPr>
                  <w:tcW w:w="227" w:type="pct"/>
                  <w:vAlign w:val="center"/>
                </w:tcPr>
                <w:p w14:paraId="5CD9469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44.8</w:t>
                  </w:r>
                </w:p>
              </w:tc>
              <w:tc>
                <w:tcPr>
                  <w:tcW w:w="206" w:type="pct"/>
                  <w:vAlign w:val="center"/>
                </w:tcPr>
                <w:p w14:paraId="7755610E">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53.5</w:t>
                  </w:r>
                </w:p>
              </w:tc>
              <w:tc>
                <w:tcPr>
                  <w:tcW w:w="206" w:type="pct"/>
                  <w:vAlign w:val="center"/>
                </w:tcPr>
                <w:p w14:paraId="12956ADE">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63.9</w:t>
                  </w:r>
                </w:p>
              </w:tc>
              <w:tc>
                <w:tcPr>
                  <w:tcW w:w="206" w:type="pct"/>
                  <w:vAlign w:val="center"/>
                </w:tcPr>
                <w:p w14:paraId="16DDAA33">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63.3</w:t>
                  </w:r>
                </w:p>
              </w:tc>
              <w:tc>
                <w:tcPr>
                  <w:tcW w:w="217" w:type="pct"/>
                  <w:vAlign w:val="center"/>
                </w:tcPr>
                <w:p w14:paraId="3501D31D">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52.0</w:t>
                  </w:r>
                </w:p>
              </w:tc>
              <w:tc>
                <w:tcPr>
                  <w:tcW w:w="380" w:type="pct"/>
                  <w:vMerge w:val="continue"/>
                  <w:vAlign w:val="center"/>
                </w:tcPr>
                <w:p w14:paraId="0E6EA84B">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p>
              </w:tc>
              <w:tc>
                <w:tcPr>
                  <w:tcW w:w="253" w:type="pct"/>
                  <w:vAlign w:val="center"/>
                </w:tcPr>
                <w:p w14:paraId="5C5BAC2E">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15</w:t>
                  </w:r>
                </w:p>
              </w:tc>
              <w:tc>
                <w:tcPr>
                  <w:tcW w:w="208" w:type="pct"/>
                  <w:vAlign w:val="center"/>
                </w:tcPr>
                <w:p w14:paraId="7FCCB8F9">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34.5</w:t>
                  </w:r>
                </w:p>
              </w:tc>
              <w:tc>
                <w:tcPr>
                  <w:tcW w:w="208" w:type="pct"/>
                  <w:vAlign w:val="center"/>
                </w:tcPr>
                <w:p w14:paraId="7BCE86E0">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44.9</w:t>
                  </w:r>
                </w:p>
              </w:tc>
              <w:tc>
                <w:tcPr>
                  <w:tcW w:w="208" w:type="pct"/>
                  <w:vAlign w:val="center"/>
                </w:tcPr>
                <w:p w14:paraId="10F28983">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44.3</w:t>
                  </w:r>
                </w:p>
              </w:tc>
              <w:tc>
                <w:tcPr>
                  <w:tcW w:w="208" w:type="pct"/>
                  <w:vAlign w:val="center"/>
                </w:tcPr>
                <w:p w14:paraId="596089CD">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33.0</w:t>
                  </w:r>
                </w:p>
              </w:tc>
              <w:tc>
                <w:tcPr>
                  <w:tcW w:w="265" w:type="pct"/>
                  <w:vAlign w:val="center"/>
                </w:tcPr>
                <w:p w14:paraId="39651FD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r>
            <w:tr w14:paraId="5DB3C1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2" w:type="pct"/>
                  <w:vAlign w:val="center"/>
                </w:tcPr>
                <w:p w14:paraId="74738EC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4</w:t>
                  </w:r>
                </w:p>
              </w:tc>
              <w:tc>
                <w:tcPr>
                  <w:tcW w:w="154" w:type="pct"/>
                  <w:vMerge w:val="continue"/>
                  <w:vAlign w:val="center"/>
                </w:tcPr>
                <w:p w14:paraId="760B15B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p>
              </w:tc>
              <w:tc>
                <w:tcPr>
                  <w:tcW w:w="208" w:type="pct"/>
                  <w:vAlign w:val="center"/>
                </w:tcPr>
                <w:p w14:paraId="0F8E1C39">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sz w:val="18"/>
                      <w:szCs w:val="18"/>
                      <w:lang w:val="en-US" w:eastAsia="zh-CN"/>
                    </w:rPr>
                  </w:pPr>
                  <w:r>
                    <w:rPr>
                      <w:rFonts w:hint="default" w:ascii="Times New Roman" w:hAnsi="宋体" w:eastAsia="宋体" w:cs="Times New Roman"/>
                      <w:sz w:val="18"/>
                      <w:szCs w:val="18"/>
                    </w:rPr>
                    <w:t>自动颗粒包装机</w:t>
                  </w:r>
                  <w:r>
                    <w:rPr>
                      <w:rFonts w:hint="default" w:ascii="Times New Roman" w:hAnsi="Times New Roman" w:cs="Times New Roman"/>
                      <w:sz w:val="18"/>
                      <w:szCs w:val="18"/>
                    </w:rPr>
                    <w:t>×</w:t>
                  </w:r>
                  <w:r>
                    <w:rPr>
                      <w:rFonts w:hint="eastAsia" w:ascii="Times New Roman" w:hAnsi="Times New Roman" w:cs="Times New Roman"/>
                      <w:sz w:val="18"/>
                      <w:szCs w:val="18"/>
                      <w:lang w:val="en-US" w:eastAsia="zh-CN"/>
                    </w:rPr>
                    <w:t>5</w:t>
                  </w:r>
                </w:p>
              </w:tc>
              <w:tc>
                <w:tcPr>
                  <w:tcW w:w="253" w:type="pct"/>
                  <w:vAlign w:val="center"/>
                </w:tcPr>
                <w:p w14:paraId="412B4B47">
                  <w:pPr>
                    <w:keepNext w:val="0"/>
                    <w:keepLines w:val="0"/>
                    <w:suppressLineNumbers w:val="0"/>
                    <w:spacing w:before="100" w:beforeAutospacing="1" w:after="100" w:afterAutospacing="1" w:line="276" w:lineRule="auto"/>
                    <w:ind w:left="0" w:leftChars="0" w:right="0" w:rightChars="0"/>
                    <w:jc w:val="center"/>
                    <w:rPr>
                      <w:rFonts w:hint="default" w:ascii="Times New Roman" w:hAnsi="Times New Roman" w:cs="Times New Roman"/>
                      <w:sz w:val="18"/>
                      <w:szCs w:val="18"/>
                    </w:rPr>
                  </w:pPr>
                  <w:r>
                    <w:rPr>
                      <w:rFonts w:hint="eastAsia" w:ascii="Times New Roman" w:hAnsi="Times New Roman" w:cs="Times New Roman"/>
                      <w:sz w:val="18"/>
                      <w:szCs w:val="18"/>
                    </w:rPr>
                    <w:t>单台70</w:t>
                  </w:r>
                </w:p>
              </w:tc>
              <w:tc>
                <w:tcPr>
                  <w:tcW w:w="226" w:type="pct"/>
                  <w:vMerge w:val="continue"/>
                  <w:vAlign w:val="center"/>
                </w:tcPr>
                <w:p w14:paraId="0071459D">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p>
              </w:tc>
              <w:tc>
                <w:tcPr>
                  <w:tcW w:w="578" w:type="dxa"/>
                  <w:vAlign w:val="center"/>
                </w:tcPr>
                <w:p w14:paraId="748C587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30</w:t>
                  </w:r>
                </w:p>
              </w:tc>
              <w:tc>
                <w:tcPr>
                  <w:tcW w:w="584" w:type="dxa"/>
                  <w:vAlign w:val="center"/>
                </w:tcPr>
                <w:p w14:paraId="2DE9F3B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18</w:t>
                  </w:r>
                </w:p>
              </w:tc>
              <w:tc>
                <w:tcPr>
                  <w:tcW w:w="450" w:type="dxa"/>
                  <w:vAlign w:val="center"/>
                </w:tcPr>
                <w:p w14:paraId="17EECD8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9.0</w:t>
                  </w:r>
                </w:p>
              </w:tc>
              <w:tc>
                <w:tcPr>
                  <w:tcW w:w="606" w:type="dxa"/>
                  <w:vAlign w:val="center"/>
                </w:tcPr>
                <w:p w14:paraId="1797D70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32</w:t>
                  </w:r>
                </w:p>
              </w:tc>
              <w:tc>
                <w:tcPr>
                  <w:tcW w:w="587" w:type="dxa"/>
                  <w:vAlign w:val="center"/>
                </w:tcPr>
                <w:p w14:paraId="573F7AB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13</w:t>
                  </w:r>
                </w:p>
              </w:tc>
              <w:tc>
                <w:tcPr>
                  <w:tcW w:w="601" w:type="dxa"/>
                  <w:vAlign w:val="center"/>
                </w:tcPr>
                <w:p w14:paraId="7B3FAF3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11</w:t>
                  </w:r>
                </w:p>
              </w:tc>
              <w:tc>
                <w:tcPr>
                  <w:tcW w:w="634" w:type="dxa"/>
                  <w:vAlign w:val="center"/>
                </w:tcPr>
                <w:p w14:paraId="7A927AC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37</w:t>
                  </w:r>
                </w:p>
              </w:tc>
              <w:tc>
                <w:tcPr>
                  <w:tcW w:w="576" w:type="dxa"/>
                  <w:vAlign w:val="center"/>
                </w:tcPr>
                <w:p w14:paraId="40549A9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54.9</w:t>
                  </w:r>
                </w:p>
              </w:tc>
              <w:tc>
                <w:tcPr>
                  <w:tcW w:w="576" w:type="dxa"/>
                  <w:vAlign w:val="center"/>
                </w:tcPr>
                <w:p w14:paraId="7472BCC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62.7</w:t>
                  </w:r>
                </w:p>
              </w:tc>
              <w:tc>
                <w:tcPr>
                  <w:tcW w:w="576" w:type="dxa"/>
                  <w:vAlign w:val="center"/>
                </w:tcPr>
                <w:p w14:paraId="01FD0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64.2</w:t>
                  </w:r>
                </w:p>
              </w:tc>
              <w:tc>
                <w:tcPr>
                  <w:tcW w:w="609" w:type="dxa"/>
                  <w:vAlign w:val="center"/>
                </w:tcPr>
                <w:p w14:paraId="11F8971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53.6</w:t>
                  </w:r>
                </w:p>
              </w:tc>
              <w:tc>
                <w:tcPr>
                  <w:tcW w:w="380" w:type="pct"/>
                  <w:vMerge w:val="continue"/>
                  <w:vAlign w:val="center"/>
                </w:tcPr>
                <w:p w14:paraId="77D4E91E">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p>
              </w:tc>
              <w:tc>
                <w:tcPr>
                  <w:tcW w:w="253" w:type="pct"/>
                  <w:vAlign w:val="center"/>
                </w:tcPr>
                <w:p w14:paraId="2BEA0F5F">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15</w:t>
                  </w:r>
                </w:p>
              </w:tc>
              <w:tc>
                <w:tcPr>
                  <w:tcW w:w="581" w:type="dxa"/>
                  <w:vAlign w:val="center"/>
                </w:tcPr>
                <w:p w14:paraId="17BFE6D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9.0</w:t>
                  </w:r>
                </w:p>
              </w:tc>
              <w:tc>
                <w:tcPr>
                  <w:tcW w:w="581" w:type="dxa"/>
                  <w:vAlign w:val="center"/>
                </w:tcPr>
                <w:p w14:paraId="2DCCB9D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32.5</w:t>
                  </w:r>
                </w:p>
              </w:tc>
              <w:tc>
                <w:tcPr>
                  <w:tcW w:w="581" w:type="dxa"/>
                  <w:vAlign w:val="center"/>
                </w:tcPr>
                <w:p w14:paraId="2037313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27.5</w:t>
                  </w:r>
                </w:p>
              </w:tc>
              <w:tc>
                <w:tcPr>
                  <w:tcW w:w="581" w:type="dxa"/>
                  <w:vAlign w:val="center"/>
                </w:tcPr>
                <w:p w14:paraId="5AF3142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14.5</w:t>
                  </w:r>
                </w:p>
              </w:tc>
              <w:tc>
                <w:tcPr>
                  <w:tcW w:w="265" w:type="pct"/>
                  <w:vAlign w:val="center"/>
                </w:tcPr>
                <w:p w14:paraId="527269EA">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w:t>
                  </w:r>
                </w:p>
              </w:tc>
            </w:tr>
            <w:tr w14:paraId="4C9DC3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2" w:type="pct"/>
                  <w:vAlign w:val="center"/>
                </w:tcPr>
                <w:p w14:paraId="1AE3B02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5</w:t>
                  </w:r>
                </w:p>
              </w:tc>
              <w:tc>
                <w:tcPr>
                  <w:tcW w:w="154" w:type="pct"/>
                  <w:vMerge w:val="continue"/>
                  <w:vAlign w:val="center"/>
                </w:tcPr>
                <w:p w14:paraId="4CBE6A2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rPr>
                  </w:pPr>
                </w:p>
              </w:tc>
              <w:tc>
                <w:tcPr>
                  <w:tcW w:w="208" w:type="pct"/>
                  <w:vAlign w:val="center"/>
                </w:tcPr>
                <w:p w14:paraId="7C84A448">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sz w:val="18"/>
                      <w:szCs w:val="18"/>
                      <w:lang w:val="en-US" w:eastAsia="zh-CN"/>
                    </w:rPr>
                  </w:pPr>
                  <w:r>
                    <w:rPr>
                      <w:rFonts w:hint="default" w:ascii="Times New Roman" w:hAnsi="宋体" w:eastAsia="宋体" w:cs="Times New Roman"/>
                      <w:sz w:val="18"/>
                      <w:szCs w:val="18"/>
                    </w:rPr>
                    <w:t>高速立式包装机</w:t>
                  </w:r>
                  <w:r>
                    <w:rPr>
                      <w:rFonts w:hint="default" w:ascii="Times New Roman" w:hAnsi="Times New Roman" w:cs="Times New Roman"/>
                      <w:sz w:val="18"/>
                      <w:szCs w:val="18"/>
                    </w:rPr>
                    <w:t>×</w:t>
                  </w:r>
                  <w:r>
                    <w:rPr>
                      <w:rFonts w:hint="eastAsia" w:ascii="Times New Roman" w:hAnsi="Times New Roman" w:cs="Times New Roman"/>
                      <w:sz w:val="18"/>
                      <w:szCs w:val="18"/>
                    </w:rPr>
                    <w:t>3</w:t>
                  </w:r>
                  <w:r>
                    <w:rPr>
                      <w:rFonts w:hint="eastAsia" w:ascii="Times New Roman" w:hAnsi="Times New Roman" w:cs="Times New Roman"/>
                      <w:sz w:val="18"/>
                      <w:szCs w:val="18"/>
                      <w:lang w:val="en-US" w:eastAsia="zh-CN"/>
                    </w:rPr>
                    <w:t>0</w:t>
                  </w:r>
                </w:p>
              </w:tc>
              <w:tc>
                <w:tcPr>
                  <w:tcW w:w="253" w:type="pct"/>
                  <w:vAlign w:val="center"/>
                </w:tcPr>
                <w:p w14:paraId="1D9D0EC6">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sz w:val="18"/>
                      <w:szCs w:val="18"/>
                    </w:rPr>
                  </w:pPr>
                  <w:r>
                    <w:rPr>
                      <w:rFonts w:hint="eastAsia" w:ascii="Times New Roman" w:hAnsi="Times New Roman" w:cs="Times New Roman"/>
                      <w:sz w:val="18"/>
                      <w:szCs w:val="18"/>
                    </w:rPr>
                    <w:t>单台70</w:t>
                  </w:r>
                </w:p>
              </w:tc>
              <w:tc>
                <w:tcPr>
                  <w:tcW w:w="226" w:type="pct"/>
                  <w:vMerge w:val="continue"/>
                  <w:vAlign w:val="center"/>
                </w:tcPr>
                <w:p w14:paraId="410CE03B">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p>
              </w:tc>
              <w:tc>
                <w:tcPr>
                  <w:tcW w:w="578" w:type="dxa"/>
                  <w:vAlign w:val="center"/>
                </w:tcPr>
                <w:p w14:paraId="0FBEDE0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25</w:t>
                  </w:r>
                </w:p>
              </w:tc>
              <w:tc>
                <w:tcPr>
                  <w:tcW w:w="584" w:type="dxa"/>
                  <w:vAlign w:val="center"/>
                </w:tcPr>
                <w:p w14:paraId="6176479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25</w:t>
                  </w:r>
                </w:p>
              </w:tc>
              <w:tc>
                <w:tcPr>
                  <w:tcW w:w="450" w:type="dxa"/>
                  <w:vAlign w:val="center"/>
                </w:tcPr>
                <w:p w14:paraId="1135D39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606" w:type="dxa"/>
                  <w:vAlign w:val="center"/>
                </w:tcPr>
                <w:p w14:paraId="4E8AB80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37</w:t>
                  </w:r>
                </w:p>
              </w:tc>
              <w:tc>
                <w:tcPr>
                  <w:tcW w:w="587" w:type="dxa"/>
                  <w:vAlign w:val="center"/>
                </w:tcPr>
                <w:p w14:paraId="0FE65EB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20</w:t>
                  </w:r>
                </w:p>
              </w:tc>
              <w:tc>
                <w:tcPr>
                  <w:tcW w:w="601" w:type="dxa"/>
                  <w:vAlign w:val="center"/>
                </w:tcPr>
                <w:p w14:paraId="2E3C9B6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6</w:t>
                  </w:r>
                </w:p>
              </w:tc>
              <w:tc>
                <w:tcPr>
                  <w:tcW w:w="634" w:type="dxa"/>
                  <w:vAlign w:val="center"/>
                </w:tcPr>
                <w:p w14:paraId="14AF166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30</w:t>
                  </w:r>
                </w:p>
              </w:tc>
              <w:tc>
                <w:tcPr>
                  <w:tcW w:w="576" w:type="dxa"/>
                  <w:vAlign w:val="center"/>
                </w:tcPr>
                <w:p w14:paraId="1251530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48.6</w:t>
                  </w:r>
                </w:p>
              </w:tc>
              <w:tc>
                <w:tcPr>
                  <w:tcW w:w="576" w:type="dxa"/>
                  <w:vAlign w:val="center"/>
                </w:tcPr>
                <w:p w14:paraId="5228005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54.0</w:t>
                  </w:r>
                </w:p>
              </w:tc>
              <w:tc>
                <w:tcPr>
                  <w:tcW w:w="576" w:type="dxa"/>
                  <w:vAlign w:val="center"/>
                </w:tcPr>
                <w:p w14:paraId="7E02692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64.4</w:t>
                  </w:r>
                </w:p>
              </w:tc>
              <w:tc>
                <w:tcPr>
                  <w:tcW w:w="609" w:type="dxa"/>
                  <w:vAlign w:val="center"/>
                </w:tcPr>
                <w:p w14:paraId="36BCCE4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50.5</w:t>
                  </w:r>
                </w:p>
              </w:tc>
              <w:tc>
                <w:tcPr>
                  <w:tcW w:w="380" w:type="pct"/>
                  <w:vMerge w:val="continue"/>
                  <w:vAlign w:val="center"/>
                </w:tcPr>
                <w:p w14:paraId="78C234F5">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rPr>
                  </w:pPr>
                </w:p>
              </w:tc>
              <w:tc>
                <w:tcPr>
                  <w:tcW w:w="253" w:type="pct"/>
                  <w:vAlign w:val="center"/>
                </w:tcPr>
                <w:p w14:paraId="18663E19">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15</w:t>
                  </w:r>
                </w:p>
              </w:tc>
              <w:tc>
                <w:tcPr>
                  <w:tcW w:w="581" w:type="dxa"/>
                  <w:vAlign w:val="center"/>
                </w:tcPr>
                <w:p w14:paraId="0CA01B5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3.8</w:t>
                  </w:r>
                </w:p>
              </w:tc>
              <w:tc>
                <w:tcPr>
                  <w:tcW w:w="581" w:type="dxa"/>
                  <w:vAlign w:val="center"/>
                </w:tcPr>
                <w:p w14:paraId="2F7DCAA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25.0</w:t>
                  </w:r>
                </w:p>
              </w:tc>
              <w:tc>
                <w:tcPr>
                  <w:tcW w:w="581" w:type="dxa"/>
                  <w:vAlign w:val="center"/>
                </w:tcPr>
                <w:p w14:paraId="2021394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23.9</w:t>
                  </w:r>
                </w:p>
              </w:tc>
              <w:tc>
                <w:tcPr>
                  <w:tcW w:w="581" w:type="dxa"/>
                  <w:vAlign w:val="center"/>
                </w:tcPr>
                <w:p w14:paraId="3512222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10.8</w:t>
                  </w:r>
                </w:p>
              </w:tc>
              <w:tc>
                <w:tcPr>
                  <w:tcW w:w="265" w:type="pct"/>
                  <w:vAlign w:val="center"/>
                </w:tcPr>
                <w:p w14:paraId="06FEDFA2">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w:t>
                  </w:r>
                </w:p>
              </w:tc>
            </w:tr>
          </w:tbl>
          <w:p w14:paraId="3D8EDEA0">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黑体"/>
                <w:sz w:val="24"/>
                <w:szCs w:val="24"/>
              </w:rPr>
            </w:pPr>
            <w:r>
              <w:rPr>
                <w:rFonts w:hint="default" w:hAnsi="黑体" w:eastAsia="黑体"/>
                <w:szCs w:val="21"/>
              </w:rPr>
              <w:t>注：以厂区中心点为坐标原点，</w:t>
            </w:r>
            <w:r>
              <w:rPr>
                <w:rFonts w:hint="default" w:ascii="Times New Roman" w:hAnsi="Times New Roman" w:eastAsia="黑体"/>
                <w:szCs w:val="21"/>
              </w:rPr>
              <w:t>正东为X轴正方向，正北为Y轴正方向。</w:t>
            </w:r>
          </w:p>
          <w:p w14:paraId="05E82077">
            <w:pPr>
              <w:keepNext w:val="0"/>
              <w:keepLines w:val="0"/>
              <w:suppressLineNumbers w:val="0"/>
              <w:spacing w:before="0" w:beforeAutospacing="0" w:after="0" w:afterAutospacing="0" w:line="360" w:lineRule="auto"/>
              <w:ind w:left="0" w:right="0"/>
              <w:jc w:val="center"/>
              <w:rPr>
                <w:rFonts w:hint="default" w:ascii="Times New Roman" w:hAnsi="Times New Roman" w:eastAsia="黑体"/>
                <w:sz w:val="24"/>
                <w:szCs w:val="24"/>
              </w:rPr>
            </w:pPr>
          </w:p>
          <w:p w14:paraId="74E1A39C">
            <w:pPr>
              <w:keepNext w:val="0"/>
              <w:keepLines w:val="0"/>
              <w:suppressLineNumbers w:val="0"/>
              <w:spacing w:before="0" w:beforeAutospacing="0" w:after="0" w:afterAutospacing="0" w:line="360" w:lineRule="auto"/>
              <w:ind w:left="0" w:right="0"/>
              <w:jc w:val="center"/>
              <w:rPr>
                <w:rFonts w:hint="default" w:ascii="Times New Roman" w:hAnsi="Times New Roman" w:eastAsia="黑体"/>
                <w:sz w:val="24"/>
                <w:szCs w:val="24"/>
              </w:rPr>
            </w:pPr>
          </w:p>
          <w:p w14:paraId="7BB38E44">
            <w:pPr>
              <w:keepNext w:val="0"/>
              <w:keepLines w:val="0"/>
              <w:suppressLineNumbers w:val="0"/>
              <w:spacing w:before="0" w:beforeAutospacing="0" w:after="0" w:afterAutospacing="0" w:line="360" w:lineRule="auto"/>
              <w:ind w:left="0" w:right="0"/>
              <w:jc w:val="center"/>
              <w:rPr>
                <w:rFonts w:hint="default" w:ascii="Times New Roman" w:hAnsi="Times New Roman" w:eastAsia="黑体"/>
                <w:sz w:val="24"/>
                <w:szCs w:val="24"/>
              </w:rPr>
            </w:pPr>
          </w:p>
          <w:p w14:paraId="2D9C9D10">
            <w:pPr>
              <w:keepNext w:val="0"/>
              <w:keepLines w:val="0"/>
              <w:suppressLineNumbers w:val="0"/>
              <w:spacing w:before="0" w:beforeAutospacing="0" w:after="0" w:afterAutospacing="0" w:line="360" w:lineRule="auto"/>
              <w:ind w:left="0" w:right="0"/>
              <w:jc w:val="center"/>
              <w:rPr>
                <w:rFonts w:hint="default" w:ascii="Times New Roman" w:hAnsi="Times New Roman" w:eastAsia="黑体"/>
                <w:sz w:val="24"/>
                <w:szCs w:val="24"/>
              </w:rPr>
            </w:pPr>
          </w:p>
          <w:p w14:paraId="49F70E17">
            <w:pPr>
              <w:keepNext w:val="0"/>
              <w:keepLines w:val="0"/>
              <w:suppressLineNumbers w:val="0"/>
              <w:spacing w:before="0" w:beforeAutospacing="0" w:after="0" w:afterAutospacing="0" w:line="360" w:lineRule="auto"/>
              <w:ind w:left="0" w:right="0"/>
              <w:jc w:val="center"/>
              <w:rPr>
                <w:rFonts w:hint="default" w:ascii="Times New Roman" w:hAnsi="Times New Roman" w:eastAsia="黑体"/>
                <w:sz w:val="24"/>
                <w:szCs w:val="24"/>
              </w:rPr>
            </w:pPr>
          </w:p>
          <w:p w14:paraId="22A52C44">
            <w:pPr>
              <w:keepNext w:val="0"/>
              <w:keepLines w:val="0"/>
              <w:suppressLineNumbers w:val="0"/>
              <w:spacing w:before="0" w:beforeAutospacing="0" w:after="0" w:afterAutospacing="0" w:line="360" w:lineRule="auto"/>
              <w:ind w:left="0" w:right="0"/>
              <w:jc w:val="center"/>
              <w:rPr>
                <w:rFonts w:hint="default" w:ascii="Times New Roman" w:hAnsi="Times New Roman" w:eastAsia="黑体"/>
                <w:sz w:val="24"/>
                <w:szCs w:val="24"/>
              </w:rPr>
            </w:pPr>
          </w:p>
          <w:p w14:paraId="25FB3471">
            <w:pPr>
              <w:pStyle w:val="3"/>
              <w:suppressLineNumbers w:val="0"/>
              <w:spacing w:beforeAutospacing="0" w:afterAutospacing="0"/>
              <w:ind w:left="0" w:right="0"/>
              <w:rPr>
                <w:rFonts w:hint="default"/>
              </w:rPr>
            </w:pPr>
          </w:p>
        </w:tc>
      </w:tr>
    </w:tbl>
    <w:p w14:paraId="61FE1D2C">
      <w:pPr>
        <w:jc w:val="center"/>
        <w:rPr>
          <w:rFonts w:ascii="Times New Roman" w:hAnsi="Times New Roman" w:eastAsia="宋体" w:cs="宋体"/>
          <w:bCs/>
          <w:sz w:val="24"/>
          <w:szCs w:val="24"/>
        </w:rPr>
        <w:sectPr>
          <w:pgSz w:w="16838" w:h="11906" w:orient="landscape"/>
          <w:pgMar w:top="1800" w:right="1440" w:bottom="1800" w:left="1440" w:header="851" w:footer="992" w:gutter="0"/>
          <w:cols w:space="425" w:num="1"/>
          <w:docGrid w:type="lines" w:linePitch="312" w:charSpace="0"/>
        </w:sectPr>
      </w:pPr>
    </w:p>
    <w:tbl>
      <w:tblPr>
        <w:tblStyle w:val="17"/>
        <w:tblW w:w="491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7794"/>
      </w:tblGrid>
      <w:tr w14:paraId="49ED9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72" w:hRule="atLeast"/>
          <w:jc w:val="center"/>
        </w:trPr>
        <w:tc>
          <w:tcPr>
            <w:tcW w:w="299" w:type="pct"/>
            <w:tcMar>
              <w:left w:w="28" w:type="dxa"/>
              <w:right w:w="28" w:type="dxa"/>
            </w:tcMar>
            <w:vAlign w:val="center"/>
          </w:tcPr>
          <w:p w14:paraId="2CD106A5">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运</w:t>
            </w:r>
          </w:p>
          <w:p w14:paraId="0F5D0336">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营</w:t>
            </w:r>
          </w:p>
          <w:p w14:paraId="5E08A81E">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期</w:t>
            </w:r>
          </w:p>
          <w:p w14:paraId="17F20FBE">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环</w:t>
            </w:r>
          </w:p>
          <w:p w14:paraId="004482A1">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境</w:t>
            </w:r>
          </w:p>
          <w:p w14:paraId="24E396E9">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影</w:t>
            </w:r>
          </w:p>
          <w:p w14:paraId="15355DDD">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响</w:t>
            </w:r>
          </w:p>
          <w:p w14:paraId="50FAE7A0">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和</w:t>
            </w:r>
          </w:p>
          <w:p w14:paraId="0CAC16A6">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保</w:t>
            </w:r>
          </w:p>
          <w:p w14:paraId="0060AC5E">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护</w:t>
            </w:r>
          </w:p>
          <w:p w14:paraId="4605E43D">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措</w:t>
            </w:r>
          </w:p>
          <w:p w14:paraId="52F631E0">
            <w:pPr>
              <w:keepNext w:val="0"/>
              <w:keepLines w:val="0"/>
              <w:suppressLineNumbers w:val="0"/>
              <w:spacing w:before="0" w:beforeAutospacing="0" w:after="0" w:afterAutospacing="0"/>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施</w:t>
            </w:r>
          </w:p>
        </w:tc>
        <w:tc>
          <w:tcPr>
            <w:tcW w:w="4701" w:type="pct"/>
          </w:tcPr>
          <w:p w14:paraId="69D099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预测计算选用《环境影响评价技术导则 声环境》（HJ2.4-2021）中推荐的工业噪声预测计算模式，模式如下：</w:t>
            </w:r>
          </w:p>
          <w:p w14:paraId="69AD9242">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1、室内声源等效室外声源声功率级计算方法</w:t>
            </w:r>
          </w:p>
          <w:p w14:paraId="59925353">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如图所示，声源位于室内，室内声源可采用等效室外声源声功率级法进行计算。设靠近开口处（或窗户）室内、室外某倍频带的声压级分别为L</w:t>
            </w:r>
            <w:r>
              <w:rPr>
                <w:rFonts w:hint="default" w:ascii="Times New Roman" w:hAnsi="Times New Roman"/>
                <w:kern w:val="24"/>
                <w:sz w:val="24"/>
                <w:szCs w:val="24"/>
                <w:vertAlign w:val="subscript"/>
              </w:rPr>
              <w:t>p1</w:t>
            </w:r>
            <w:r>
              <w:rPr>
                <w:rFonts w:hint="default" w:ascii="Times New Roman" w:hAnsi="Times New Roman"/>
                <w:kern w:val="24"/>
                <w:sz w:val="24"/>
                <w:szCs w:val="24"/>
              </w:rPr>
              <w:t>和L</w:t>
            </w:r>
            <w:r>
              <w:rPr>
                <w:rFonts w:hint="default" w:ascii="Times New Roman" w:hAnsi="Times New Roman"/>
                <w:kern w:val="24"/>
                <w:sz w:val="24"/>
                <w:szCs w:val="24"/>
                <w:vertAlign w:val="subscript"/>
              </w:rPr>
              <w:t>p2</w:t>
            </w:r>
            <w:r>
              <w:rPr>
                <w:rFonts w:hint="default" w:ascii="Times New Roman" w:hAnsi="Times New Roman"/>
                <w:kern w:val="24"/>
                <w:sz w:val="24"/>
                <w:szCs w:val="24"/>
              </w:rPr>
              <w:t>。若声源所在室内声场为近似扩散声场，则可按式1计算某一室内声源靠近围护结构处产生的倍频带声压级：</w:t>
            </w:r>
          </w:p>
          <w:p w14:paraId="6069FB95">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kern w:val="24"/>
                <w:sz w:val="24"/>
                <w:szCs w:val="24"/>
              </w:rPr>
            </w:pPr>
            <w:r>
              <w:rPr>
                <w:rFonts w:hint="default" w:ascii="Times New Roman" w:hAnsi="Times New Roman"/>
                <w:kern w:val="24"/>
                <w:sz w:val="24"/>
                <w:szCs w:val="24"/>
              </w:rPr>
              <w:drawing>
                <wp:inline distT="0" distB="0" distL="0" distR="0">
                  <wp:extent cx="2936875" cy="1380490"/>
                  <wp:effectExtent l="19050" t="0" r="0" b="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noChangeArrowheads="1"/>
                          </pic:cNvPicPr>
                        </pic:nvPicPr>
                        <pic:blipFill>
                          <a:blip r:embed="rId13" cstate="print"/>
                          <a:srcRect t="7907" b="6047"/>
                          <a:stretch>
                            <a:fillRect/>
                          </a:stretch>
                        </pic:blipFill>
                        <pic:spPr>
                          <a:xfrm>
                            <a:off x="0" y="0"/>
                            <a:ext cx="2936875" cy="1380490"/>
                          </a:xfrm>
                          <a:prstGeom prst="rect">
                            <a:avLst/>
                          </a:prstGeom>
                          <a:noFill/>
                          <a:ln w="9525">
                            <a:noFill/>
                            <a:miter lim="800000"/>
                            <a:headEnd/>
                            <a:tailEnd/>
                          </a:ln>
                        </pic:spPr>
                      </pic:pic>
                    </a:graphicData>
                  </a:graphic>
                </wp:inline>
              </w:drawing>
            </w:r>
          </w:p>
          <w:p w14:paraId="1E361ED5">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黑体"/>
                <w:sz w:val="24"/>
                <w:szCs w:val="24"/>
              </w:rPr>
            </w:pPr>
            <w:r>
              <w:rPr>
                <w:rFonts w:hint="default" w:ascii="Times New Roman" w:hAnsi="Times New Roman" w:eastAsia="黑体"/>
                <w:sz w:val="24"/>
                <w:szCs w:val="24"/>
              </w:rPr>
              <w:t>图</w:t>
            </w:r>
            <w:r>
              <w:rPr>
                <w:rFonts w:hint="eastAsia" w:ascii="Times New Roman" w:hAnsi="Times New Roman" w:eastAsia="黑体"/>
                <w:sz w:val="24"/>
                <w:szCs w:val="24"/>
              </w:rPr>
              <w:t>4-2</w:t>
            </w:r>
            <w:r>
              <w:rPr>
                <w:rFonts w:hint="default" w:ascii="Times New Roman" w:hAnsi="Times New Roman" w:eastAsia="黑体"/>
                <w:sz w:val="24"/>
                <w:szCs w:val="24"/>
              </w:rPr>
              <w:t xml:space="preserve">  室内声源等效为室外声源图例</w:t>
            </w:r>
          </w:p>
          <w:p w14:paraId="6FBE473A">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kern w:val="24"/>
                <w:sz w:val="24"/>
                <w:szCs w:val="24"/>
              </w:rPr>
            </w:pPr>
            <w:r>
              <w:rPr>
                <w:rFonts w:hint="default" w:ascii="Times New Roman" w:hAnsi="Times New Roman"/>
                <w:i/>
                <w:iCs/>
                <w:kern w:val="24"/>
                <w:sz w:val="24"/>
                <w:szCs w:val="24"/>
              </w:rPr>
              <w:t>L</w:t>
            </w:r>
            <w:r>
              <w:rPr>
                <w:rFonts w:hint="default" w:ascii="Times New Roman" w:hAnsi="Times New Roman"/>
                <w:i/>
                <w:iCs/>
                <w:kern w:val="24"/>
                <w:sz w:val="24"/>
                <w:szCs w:val="24"/>
                <w:vertAlign w:val="subscript"/>
              </w:rPr>
              <w:t>P</w:t>
            </w:r>
            <w:r>
              <w:rPr>
                <w:rFonts w:hint="default" w:ascii="Times New Roman" w:hAnsi="Times New Roman"/>
                <w:kern w:val="24"/>
                <w:sz w:val="24"/>
                <w:szCs w:val="24"/>
                <w:vertAlign w:val="subscript"/>
              </w:rPr>
              <w:t>1</w:t>
            </w:r>
            <w:r>
              <w:rPr>
                <w:rFonts w:hint="default" w:ascii="Times New Roman" w:hAnsi="Times New Roman"/>
                <w:kern w:val="24"/>
                <w:sz w:val="24"/>
                <w:szCs w:val="24"/>
                <w:vertAlign w:val="superscript"/>
              </w:rPr>
              <w:t>=</w:t>
            </w:r>
            <w:r>
              <w:rPr>
                <w:rFonts w:hint="default" w:ascii="Times New Roman" w:hAnsi="Times New Roman"/>
                <w:i/>
                <w:iCs/>
                <w:kern w:val="24"/>
                <w:sz w:val="24"/>
                <w:szCs w:val="24"/>
              </w:rPr>
              <w:t>Lw+10lg</w:t>
            </w:r>
            <w:r>
              <w:rPr>
                <w:rFonts w:hint="default" w:ascii="Times New Roman" w:hAnsi="Times New Roman"/>
                <w:iCs/>
                <w:kern w:val="24"/>
                <w:sz w:val="24"/>
                <w:szCs w:val="24"/>
              </w:rPr>
              <w:t>（</w:t>
            </w:r>
            <w:r>
              <w:rPr>
                <w:rFonts w:hint="default" w:ascii="Times New Roman" w:hAnsi="Times New Roman"/>
                <w:kern w:val="24"/>
                <w:sz w:val="24"/>
                <w:szCs w:val="24"/>
              </w:rPr>
              <w:drawing>
                <wp:inline distT="0" distB="0" distL="0" distR="0">
                  <wp:extent cx="659130" cy="351790"/>
                  <wp:effectExtent l="0" t="0" r="0" b="0"/>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noChangeArrowheads="1"/>
                          </pic:cNvPicPr>
                        </pic:nvPicPr>
                        <pic:blipFill>
                          <a:blip r:embed="rId14" cstate="print"/>
                          <a:srcRect/>
                          <a:stretch>
                            <a:fillRect/>
                          </a:stretch>
                        </pic:blipFill>
                        <pic:spPr>
                          <a:xfrm>
                            <a:off x="0" y="0"/>
                            <a:ext cx="659130" cy="351790"/>
                          </a:xfrm>
                          <a:prstGeom prst="rect">
                            <a:avLst/>
                          </a:prstGeom>
                          <a:noFill/>
                          <a:ln w="9525">
                            <a:noFill/>
                            <a:miter lim="800000"/>
                            <a:headEnd/>
                            <a:tailEnd/>
                          </a:ln>
                        </pic:spPr>
                      </pic:pic>
                    </a:graphicData>
                  </a:graphic>
                </wp:inline>
              </w:drawing>
            </w:r>
            <w:r>
              <w:rPr>
                <w:rFonts w:hint="default" w:ascii="Times New Roman" w:hAnsi="Times New Roman"/>
                <w:iCs/>
                <w:kern w:val="24"/>
                <w:sz w:val="24"/>
                <w:szCs w:val="24"/>
              </w:rPr>
              <w:t>）</w:t>
            </w:r>
            <w:r>
              <w:rPr>
                <w:rFonts w:hint="default" w:ascii="Times New Roman" w:hAnsi="Times New Roman"/>
                <w:kern w:val="24"/>
                <w:szCs w:val="21"/>
              </w:rPr>
              <w:t>（式1）</w:t>
            </w:r>
          </w:p>
          <w:p w14:paraId="44A62121">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式中：</w:t>
            </w:r>
            <w:r>
              <w:rPr>
                <w:rFonts w:hint="default" w:ascii="Times New Roman" w:hAnsi="Times New Roman"/>
                <w:i/>
                <w:iCs/>
                <w:kern w:val="24"/>
                <w:sz w:val="24"/>
                <w:szCs w:val="24"/>
              </w:rPr>
              <w:t>Q</w:t>
            </w:r>
            <w:r>
              <w:rPr>
                <w:rFonts w:hint="default" w:ascii="Times New Roman" w:hAnsi="Times New Roman"/>
                <w:kern w:val="24"/>
                <w:sz w:val="24"/>
                <w:szCs w:val="24"/>
              </w:rPr>
              <w:t>—指向性因数；通常对无指向性声源：</w:t>
            </w:r>
          </w:p>
          <w:p w14:paraId="6AB929E4">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kern w:val="24"/>
                <w:sz w:val="24"/>
                <w:szCs w:val="24"/>
              </w:rPr>
              <w:t>当声源放在房间中心时，</w:t>
            </w:r>
            <w:r>
              <w:rPr>
                <w:rFonts w:hint="default" w:ascii="Times New Roman" w:hAnsi="Times New Roman"/>
                <w:i/>
                <w:iCs/>
                <w:kern w:val="24"/>
                <w:sz w:val="24"/>
                <w:szCs w:val="24"/>
              </w:rPr>
              <w:t>Q</w:t>
            </w:r>
            <w:r>
              <w:rPr>
                <w:rFonts w:hint="default" w:ascii="Times New Roman" w:hAnsi="Times New Roman"/>
                <w:kern w:val="24"/>
                <w:sz w:val="24"/>
                <w:szCs w:val="24"/>
              </w:rPr>
              <w:t>=1；</w:t>
            </w:r>
          </w:p>
          <w:p w14:paraId="53157932">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kern w:val="24"/>
                <w:sz w:val="24"/>
                <w:szCs w:val="24"/>
              </w:rPr>
              <w:t>当放在一面墙的中心时，</w:t>
            </w:r>
            <w:r>
              <w:rPr>
                <w:rFonts w:hint="default" w:ascii="Times New Roman" w:hAnsi="Times New Roman"/>
                <w:i/>
                <w:iCs/>
                <w:kern w:val="24"/>
                <w:sz w:val="24"/>
                <w:szCs w:val="24"/>
              </w:rPr>
              <w:t>Q</w:t>
            </w:r>
            <w:r>
              <w:rPr>
                <w:rFonts w:hint="default" w:ascii="Times New Roman" w:hAnsi="Times New Roman"/>
                <w:kern w:val="24"/>
                <w:sz w:val="24"/>
                <w:szCs w:val="24"/>
              </w:rPr>
              <w:t>=2；</w:t>
            </w:r>
          </w:p>
          <w:p w14:paraId="0AAECA69">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kern w:val="24"/>
                <w:sz w:val="24"/>
                <w:szCs w:val="24"/>
              </w:rPr>
              <w:t>当放在两面墙夹角处时，</w:t>
            </w:r>
            <w:r>
              <w:rPr>
                <w:rFonts w:hint="default" w:ascii="Times New Roman" w:hAnsi="Times New Roman"/>
                <w:i/>
                <w:iCs/>
                <w:kern w:val="24"/>
                <w:sz w:val="24"/>
                <w:szCs w:val="24"/>
              </w:rPr>
              <w:t>Q</w:t>
            </w:r>
            <w:r>
              <w:rPr>
                <w:rFonts w:hint="default" w:ascii="Times New Roman" w:hAnsi="Times New Roman"/>
                <w:kern w:val="24"/>
                <w:sz w:val="24"/>
                <w:szCs w:val="24"/>
              </w:rPr>
              <w:t>=4；</w:t>
            </w:r>
          </w:p>
          <w:p w14:paraId="79A49861">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kern w:val="24"/>
                <w:sz w:val="24"/>
                <w:szCs w:val="24"/>
              </w:rPr>
              <w:t>当放在三面墙夹角处时，</w:t>
            </w:r>
            <w:r>
              <w:rPr>
                <w:rFonts w:hint="default" w:ascii="Times New Roman" w:hAnsi="Times New Roman"/>
                <w:i/>
                <w:iCs/>
                <w:kern w:val="24"/>
                <w:sz w:val="24"/>
                <w:szCs w:val="24"/>
              </w:rPr>
              <w:t>Q</w:t>
            </w:r>
            <w:r>
              <w:rPr>
                <w:rFonts w:hint="default" w:ascii="Times New Roman" w:hAnsi="Times New Roman"/>
                <w:kern w:val="24"/>
                <w:sz w:val="24"/>
                <w:szCs w:val="24"/>
              </w:rPr>
              <w:t>=8。</w:t>
            </w:r>
          </w:p>
          <w:p w14:paraId="41E67879">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kern w:val="24"/>
                <w:sz w:val="24"/>
                <w:szCs w:val="24"/>
              </w:rPr>
              <w:t>R—房间常数；</w:t>
            </w:r>
          </w:p>
          <w:p w14:paraId="241DD33E">
            <w:pPr>
              <w:keepNext w:val="0"/>
              <w:keepLines w:val="0"/>
              <w:suppressLineNumbers w:val="0"/>
              <w:spacing w:before="0" w:beforeAutospacing="0" w:after="0" w:afterAutospacing="0" w:line="360" w:lineRule="auto"/>
              <w:ind w:left="0" w:right="0" w:firstLine="1200" w:firstLineChars="500"/>
              <w:jc w:val="center"/>
              <w:rPr>
                <w:rFonts w:hint="default" w:ascii="Times New Roman" w:hAnsi="Times New Roman"/>
                <w:kern w:val="24"/>
                <w:sz w:val="24"/>
                <w:szCs w:val="24"/>
              </w:rPr>
            </w:pPr>
            <w:r>
              <w:rPr>
                <w:rFonts w:hint="default" w:ascii="Times New Roman" w:hAnsi="Times New Roman"/>
                <w:i/>
                <w:iCs/>
                <w:kern w:val="24"/>
                <w:sz w:val="24"/>
                <w:szCs w:val="24"/>
              </w:rPr>
              <w:t>R</w:t>
            </w:r>
            <w:r>
              <w:rPr>
                <w:rFonts w:hint="default" w:ascii="Times New Roman" w:hAnsi="Times New Roman"/>
                <w:kern w:val="24"/>
                <w:sz w:val="24"/>
                <w:szCs w:val="24"/>
              </w:rPr>
              <w:t>=</w:t>
            </w:r>
            <w:r>
              <w:rPr>
                <w:rFonts w:hint="default" w:ascii="Times New Roman" w:hAnsi="Times New Roman"/>
                <w:i/>
                <w:iCs/>
                <w:kern w:val="24"/>
                <w:sz w:val="24"/>
                <w:szCs w:val="24"/>
              </w:rPr>
              <w:t>S</w:t>
            </w:r>
            <w:r>
              <w:rPr>
                <w:rFonts w:hint="default" w:ascii="Times New Roman" w:hAnsi="Times New Roman"/>
                <w:kern w:val="24"/>
                <w:sz w:val="24"/>
                <w:szCs w:val="24"/>
              </w:rPr>
              <w:t>α/(1−α)</w:t>
            </w:r>
          </w:p>
          <w:p w14:paraId="66330AE0">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kern w:val="24"/>
                <w:sz w:val="24"/>
                <w:szCs w:val="24"/>
              </w:rPr>
              <w:t>S为房间内表面面积，m</w:t>
            </w:r>
            <w:r>
              <w:rPr>
                <w:rFonts w:hint="default" w:ascii="Times New Roman" w:hAnsi="Times New Roman"/>
                <w:kern w:val="24"/>
                <w:sz w:val="24"/>
                <w:szCs w:val="24"/>
                <w:vertAlign w:val="superscript"/>
              </w:rPr>
              <w:t>2</w:t>
            </w:r>
            <w:r>
              <w:rPr>
                <w:rFonts w:hint="default" w:ascii="Times New Roman" w:hAnsi="Times New Roman"/>
                <w:kern w:val="24"/>
                <w:sz w:val="24"/>
                <w:szCs w:val="24"/>
              </w:rPr>
              <w:t>；</w:t>
            </w:r>
          </w:p>
          <w:p w14:paraId="6E04EBF5">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kern w:val="24"/>
                <w:sz w:val="24"/>
                <w:szCs w:val="24"/>
              </w:rPr>
              <w:t>α为平均吸声系数。</w:t>
            </w:r>
          </w:p>
          <w:p w14:paraId="03E621C3">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kern w:val="24"/>
                <w:sz w:val="24"/>
                <w:szCs w:val="24"/>
              </w:rPr>
              <w:t>r—声源到靠近围护结构某点处的距离，m。</w:t>
            </w:r>
          </w:p>
          <w:p w14:paraId="55753564">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然后按式2计算出所有室内声源在围护结构处产生的</w:t>
            </w:r>
            <w:r>
              <w:rPr>
                <w:rFonts w:hint="default" w:ascii="Times New Roman" w:hAnsi="Times New Roman"/>
                <w:i/>
                <w:iCs/>
                <w:kern w:val="24"/>
                <w:sz w:val="24"/>
                <w:szCs w:val="24"/>
              </w:rPr>
              <w:t>i</w:t>
            </w:r>
            <w:r>
              <w:rPr>
                <w:rFonts w:hint="default" w:ascii="Times New Roman" w:hAnsi="Times New Roman"/>
                <w:kern w:val="24"/>
                <w:sz w:val="24"/>
                <w:szCs w:val="24"/>
              </w:rPr>
              <w:t>倍频带叠加声压级：</w:t>
            </w:r>
          </w:p>
          <w:p w14:paraId="0C4C7845">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kern w:val="24"/>
                <w:sz w:val="24"/>
                <w:szCs w:val="24"/>
              </w:rPr>
            </w:pPr>
            <w:r>
              <w:rPr>
                <w:rFonts w:hint="default" w:ascii="Times New Roman" w:hAnsi="Times New Roman"/>
                <w:i/>
                <w:iCs/>
                <w:kern w:val="24"/>
                <w:sz w:val="24"/>
                <w:szCs w:val="24"/>
              </w:rPr>
              <w:t>L</w:t>
            </w:r>
            <w:r>
              <w:rPr>
                <w:rFonts w:hint="default" w:ascii="Times New Roman" w:hAnsi="Times New Roman"/>
                <w:i/>
                <w:iCs/>
                <w:kern w:val="24"/>
                <w:sz w:val="24"/>
                <w:szCs w:val="24"/>
                <w:vertAlign w:val="subscript"/>
              </w:rPr>
              <w:t>P</w:t>
            </w:r>
            <w:r>
              <w:rPr>
                <w:rFonts w:hint="default" w:ascii="Times New Roman" w:hAnsi="Times New Roman"/>
                <w:kern w:val="24"/>
                <w:sz w:val="24"/>
                <w:szCs w:val="24"/>
                <w:vertAlign w:val="subscript"/>
              </w:rPr>
              <w:t>1</w:t>
            </w:r>
            <w:r>
              <w:rPr>
                <w:rFonts w:hint="default" w:ascii="Times New Roman" w:hAnsi="Times New Roman"/>
                <w:i/>
                <w:iCs/>
                <w:kern w:val="24"/>
                <w:sz w:val="24"/>
                <w:szCs w:val="24"/>
                <w:vertAlign w:val="subscript"/>
              </w:rPr>
              <w:t>i</w:t>
            </w:r>
            <w:r>
              <w:rPr>
                <w:rFonts w:hint="default" w:ascii="Times New Roman" w:hAnsi="Times New Roman"/>
                <w:kern w:val="24"/>
                <w:sz w:val="24"/>
                <w:szCs w:val="24"/>
              </w:rPr>
              <w:t>(T)</w:t>
            </w:r>
            <w:r>
              <w:rPr>
                <w:rFonts w:hint="default" w:ascii="Times New Roman" w:hAnsi="Times New Roman"/>
                <w:kern w:val="24"/>
                <w:sz w:val="24"/>
                <w:szCs w:val="24"/>
              </w:rPr>
              <w:drawing>
                <wp:inline distT="0" distB="0" distL="0" distR="0">
                  <wp:extent cx="1169670" cy="281305"/>
                  <wp:effectExtent l="19050" t="0" r="0" b="0"/>
                  <wp:docPr id="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1"/>
                          <pic:cNvPicPr>
                            <a:picLocks noChangeAspect="1" noChangeArrowheads="1"/>
                          </pic:cNvPicPr>
                        </pic:nvPicPr>
                        <pic:blipFill>
                          <a:blip r:embed="rId15" cstate="print"/>
                          <a:srcRect/>
                          <a:stretch>
                            <a:fillRect/>
                          </a:stretch>
                        </pic:blipFill>
                        <pic:spPr>
                          <a:xfrm>
                            <a:off x="0" y="0"/>
                            <a:ext cx="1169670" cy="281305"/>
                          </a:xfrm>
                          <a:prstGeom prst="rect">
                            <a:avLst/>
                          </a:prstGeom>
                          <a:noFill/>
                          <a:ln w="9525">
                            <a:noFill/>
                            <a:miter lim="800000"/>
                            <a:headEnd/>
                            <a:tailEnd/>
                          </a:ln>
                        </pic:spPr>
                      </pic:pic>
                    </a:graphicData>
                  </a:graphic>
                </wp:inline>
              </w:drawing>
            </w:r>
            <w:r>
              <w:rPr>
                <w:rFonts w:hint="default" w:ascii="Times New Roman" w:hAnsi="Times New Roman"/>
                <w:kern w:val="24"/>
                <w:szCs w:val="21"/>
              </w:rPr>
              <w:t>（式2）</w:t>
            </w:r>
          </w:p>
          <w:p w14:paraId="1250F0D3">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式中：</w:t>
            </w:r>
          </w:p>
          <w:p w14:paraId="4456B066">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i/>
                <w:iCs/>
                <w:kern w:val="24"/>
                <w:sz w:val="24"/>
                <w:szCs w:val="24"/>
              </w:rPr>
              <w:t>L</w:t>
            </w:r>
            <w:r>
              <w:rPr>
                <w:rFonts w:hint="default" w:ascii="Times New Roman" w:hAnsi="Times New Roman"/>
                <w:i/>
                <w:iCs/>
                <w:kern w:val="24"/>
                <w:sz w:val="24"/>
                <w:szCs w:val="24"/>
                <w:vertAlign w:val="subscript"/>
              </w:rPr>
              <w:t>P</w:t>
            </w:r>
            <w:r>
              <w:rPr>
                <w:rFonts w:hint="default" w:ascii="Times New Roman" w:hAnsi="Times New Roman"/>
                <w:kern w:val="24"/>
                <w:sz w:val="24"/>
                <w:szCs w:val="24"/>
                <w:vertAlign w:val="subscript"/>
              </w:rPr>
              <w:t>1</w:t>
            </w:r>
            <w:r>
              <w:rPr>
                <w:rFonts w:hint="default" w:ascii="Times New Roman" w:hAnsi="Times New Roman"/>
                <w:i/>
                <w:iCs/>
                <w:kern w:val="24"/>
                <w:sz w:val="24"/>
                <w:szCs w:val="24"/>
                <w:vertAlign w:val="subscript"/>
              </w:rPr>
              <w:t>i</w:t>
            </w:r>
            <w:r>
              <w:rPr>
                <w:rFonts w:hint="default" w:ascii="Times New Roman" w:hAnsi="Times New Roman"/>
                <w:kern w:val="24"/>
                <w:sz w:val="24"/>
                <w:szCs w:val="24"/>
              </w:rPr>
              <w:t>(T)—靠近围护结构处室内N个声源</w:t>
            </w:r>
            <w:r>
              <w:rPr>
                <w:rFonts w:hint="default" w:ascii="Times New Roman" w:hAnsi="Times New Roman"/>
                <w:i/>
                <w:iCs/>
                <w:kern w:val="24"/>
                <w:sz w:val="24"/>
                <w:szCs w:val="24"/>
              </w:rPr>
              <w:t>i</w:t>
            </w:r>
            <w:r>
              <w:rPr>
                <w:rFonts w:hint="default" w:ascii="Times New Roman" w:hAnsi="Times New Roman"/>
                <w:kern w:val="24"/>
                <w:sz w:val="24"/>
                <w:szCs w:val="24"/>
              </w:rPr>
              <w:t>倍频带的叠加声压级，dB；</w:t>
            </w:r>
          </w:p>
          <w:p w14:paraId="08C2B559">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i/>
                <w:iCs/>
                <w:kern w:val="24"/>
                <w:sz w:val="24"/>
                <w:szCs w:val="24"/>
              </w:rPr>
              <w:t>L</w:t>
            </w:r>
            <w:r>
              <w:rPr>
                <w:rFonts w:hint="default" w:ascii="Times New Roman" w:hAnsi="Times New Roman"/>
                <w:i/>
                <w:iCs/>
                <w:kern w:val="24"/>
                <w:sz w:val="24"/>
                <w:szCs w:val="24"/>
                <w:vertAlign w:val="subscript"/>
              </w:rPr>
              <w:t>P1</w:t>
            </w:r>
            <w:r>
              <w:rPr>
                <w:rFonts w:hint="default" w:ascii="Times New Roman" w:hAnsi="Times New Roman"/>
                <w:kern w:val="24"/>
                <w:sz w:val="24"/>
                <w:szCs w:val="24"/>
                <w:vertAlign w:val="subscript"/>
              </w:rPr>
              <w:t>ij</w:t>
            </w:r>
            <w:r>
              <w:rPr>
                <w:rFonts w:hint="default" w:ascii="Times New Roman" w:hAnsi="Times New Roman"/>
                <w:kern w:val="24"/>
                <w:sz w:val="24"/>
                <w:szCs w:val="24"/>
              </w:rPr>
              <w:t>—室内</w:t>
            </w:r>
            <w:r>
              <w:rPr>
                <w:rFonts w:hint="default" w:ascii="Times New Roman" w:hAnsi="Times New Roman"/>
                <w:i/>
                <w:iCs/>
                <w:kern w:val="24"/>
                <w:sz w:val="24"/>
                <w:szCs w:val="24"/>
              </w:rPr>
              <w:t>j</w:t>
            </w:r>
            <w:r>
              <w:rPr>
                <w:rFonts w:hint="default" w:ascii="Times New Roman" w:hAnsi="Times New Roman"/>
                <w:kern w:val="24"/>
                <w:sz w:val="24"/>
                <w:szCs w:val="24"/>
              </w:rPr>
              <w:t>声源</w:t>
            </w:r>
            <w:r>
              <w:rPr>
                <w:rFonts w:hint="default" w:ascii="Times New Roman" w:hAnsi="Times New Roman"/>
                <w:i/>
                <w:iCs/>
                <w:kern w:val="24"/>
                <w:sz w:val="24"/>
                <w:szCs w:val="24"/>
              </w:rPr>
              <w:t>i</w:t>
            </w:r>
            <w:r>
              <w:rPr>
                <w:rFonts w:hint="default" w:ascii="Times New Roman" w:hAnsi="Times New Roman"/>
                <w:kern w:val="24"/>
                <w:sz w:val="24"/>
                <w:szCs w:val="24"/>
              </w:rPr>
              <w:t>倍频带的声压级，dB；</w:t>
            </w:r>
          </w:p>
          <w:p w14:paraId="120581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i/>
                <w:kern w:val="24"/>
                <w:sz w:val="24"/>
                <w:szCs w:val="24"/>
              </w:rPr>
              <w:t>N</w:t>
            </w:r>
            <w:r>
              <w:rPr>
                <w:rFonts w:hint="default" w:ascii="Times New Roman" w:hAnsi="Times New Roman"/>
                <w:kern w:val="24"/>
                <w:sz w:val="24"/>
                <w:szCs w:val="24"/>
              </w:rPr>
              <w:t>—室内声源总数。</w:t>
            </w:r>
          </w:p>
          <w:p w14:paraId="15E4E744">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在室内近似为扩散声场时，按式3计算出靠近室外围护结构处的声压级：</w:t>
            </w:r>
          </w:p>
          <w:p w14:paraId="2EF83DF9">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kern w:val="24"/>
                <w:sz w:val="24"/>
                <w:szCs w:val="24"/>
                <w:lang w:val="pl-PL"/>
              </w:rPr>
            </w:pPr>
            <w:r>
              <w:rPr>
                <w:rFonts w:hint="default" w:ascii="Times New Roman" w:hAnsi="Times New Roman"/>
                <w:i/>
                <w:iCs/>
                <w:kern w:val="24"/>
                <w:sz w:val="24"/>
                <w:szCs w:val="24"/>
                <w:lang w:val="pl-PL"/>
              </w:rPr>
              <w:t>L</w:t>
            </w:r>
            <w:r>
              <w:rPr>
                <w:rFonts w:hint="default" w:ascii="Times New Roman" w:hAnsi="Times New Roman"/>
                <w:i/>
                <w:iCs/>
                <w:kern w:val="24"/>
                <w:sz w:val="24"/>
                <w:szCs w:val="24"/>
                <w:vertAlign w:val="subscript"/>
                <w:lang w:val="pl-PL"/>
              </w:rPr>
              <w:t>P</w:t>
            </w:r>
            <w:r>
              <w:rPr>
                <w:rFonts w:hint="default" w:ascii="Times New Roman" w:hAnsi="Times New Roman"/>
                <w:kern w:val="24"/>
                <w:sz w:val="24"/>
                <w:szCs w:val="24"/>
                <w:vertAlign w:val="subscript"/>
                <w:lang w:val="pl-PL"/>
              </w:rPr>
              <w:t>2</w:t>
            </w:r>
            <w:r>
              <w:rPr>
                <w:rFonts w:hint="default" w:ascii="Times New Roman" w:hAnsi="Times New Roman"/>
                <w:i/>
                <w:iCs/>
                <w:kern w:val="24"/>
                <w:sz w:val="24"/>
                <w:szCs w:val="24"/>
                <w:vertAlign w:val="subscript"/>
                <w:lang w:val="pl-PL"/>
              </w:rPr>
              <w:t>i</w:t>
            </w:r>
            <w:r>
              <w:rPr>
                <w:rFonts w:hint="default" w:ascii="Times New Roman" w:hAnsi="Times New Roman"/>
                <w:kern w:val="24"/>
                <w:sz w:val="24"/>
                <w:szCs w:val="24"/>
                <w:lang w:val="pl-PL"/>
              </w:rPr>
              <w:t>(T)=</w:t>
            </w:r>
            <w:r>
              <w:rPr>
                <w:rFonts w:hint="default" w:ascii="Times New Roman" w:hAnsi="Times New Roman"/>
                <w:i/>
                <w:iCs/>
                <w:kern w:val="24"/>
                <w:sz w:val="24"/>
                <w:szCs w:val="24"/>
                <w:lang w:val="pl-PL"/>
              </w:rPr>
              <w:t>L</w:t>
            </w:r>
            <w:r>
              <w:rPr>
                <w:rFonts w:hint="default" w:ascii="Times New Roman" w:hAnsi="Times New Roman"/>
                <w:i/>
                <w:iCs/>
                <w:kern w:val="24"/>
                <w:sz w:val="24"/>
                <w:szCs w:val="24"/>
                <w:vertAlign w:val="subscript"/>
                <w:lang w:val="pl-PL"/>
              </w:rPr>
              <w:t>P</w:t>
            </w:r>
            <w:r>
              <w:rPr>
                <w:rFonts w:hint="default" w:ascii="Times New Roman" w:hAnsi="Times New Roman"/>
                <w:kern w:val="24"/>
                <w:sz w:val="24"/>
                <w:szCs w:val="24"/>
                <w:vertAlign w:val="subscript"/>
                <w:lang w:val="pl-PL"/>
              </w:rPr>
              <w:t>1</w:t>
            </w:r>
            <w:r>
              <w:rPr>
                <w:rFonts w:hint="default" w:ascii="Times New Roman" w:hAnsi="Times New Roman"/>
                <w:i/>
                <w:iCs/>
                <w:kern w:val="24"/>
                <w:sz w:val="24"/>
                <w:szCs w:val="24"/>
                <w:vertAlign w:val="subscript"/>
                <w:lang w:val="pl-PL"/>
              </w:rPr>
              <w:t>i</w:t>
            </w:r>
            <w:r>
              <w:rPr>
                <w:rFonts w:hint="default" w:ascii="Times New Roman" w:hAnsi="Times New Roman"/>
                <w:kern w:val="24"/>
                <w:sz w:val="24"/>
                <w:szCs w:val="24"/>
                <w:lang w:val="pl-PL"/>
              </w:rPr>
              <w:t>(T)-（TL</w:t>
            </w:r>
            <w:r>
              <w:rPr>
                <w:rFonts w:hint="default" w:ascii="Times New Roman" w:hAnsi="Times New Roman"/>
                <w:kern w:val="24"/>
                <w:sz w:val="24"/>
                <w:szCs w:val="24"/>
                <w:vertAlign w:val="subscript"/>
                <w:lang w:val="pl-PL"/>
              </w:rPr>
              <w:t>i</w:t>
            </w:r>
            <w:r>
              <w:rPr>
                <w:rFonts w:hint="default" w:ascii="Times New Roman" w:hAnsi="Times New Roman"/>
                <w:kern w:val="24"/>
                <w:sz w:val="24"/>
                <w:szCs w:val="24"/>
                <w:lang w:val="pl-PL"/>
              </w:rPr>
              <w:t>+6）</w:t>
            </w:r>
            <w:r>
              <w:rPr>
                <w:rFonts w:hint="default" w:ascii="Times New Roman" w:hAnsi="Times New Roman"/>
                <w:kern w:val="24"/>
                <w:szCs w:val="21"/>
                <w:lang w:val="pl-PL"/>
              </w:rPr>
              <w:t>（</w:t>
            </w:r>
            <w:r>
              <w:rPr>
                <w:rFonts w:hint="default" w:ascii="Times New Roman" w:hAnsi="Times New Roman"/>
                <w:kern w:val="24"/>
                <w:szCs w:val="21"/>
              </w:rPr>
              <w:t>式</w:t>
            </w:r>
            <w:r>
              <w:rPr>
                <w:rFonts w:hint="default" w:ascii="Times New Roman" w:hAnsi="Times New Roman"/>
                <w:kern w:val="24"/>
                <w:szCs w:val="21"/>
                <w:lang w:val="pl-PL"/>
              </w:rPr>
              <w:t>3）</w:t>
            </w:r>
          </w:p>
          <w:p w14:paraId="6A639A80">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式中：</w:t>
            </w:r>
          </w:p>
          <w:p w14:paraId="2C5B4E8B">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i/>
                <w:iCs/>
                <w:kern w:val="24"/>
                <w:sz w:val="24"/>
                <w:szCs w:val="24"/>
              </w:rPr>
              <w:t>L</w:t>
            </w:r>
            <w:r>
              <w:rPr>
                <w:rFonts w:hint="default" w:ascii="Times New Roman" w:hAnsi="Times New Roman"/>
                <w:i/>
                <w:iCs/>
                <w:kern w:val="24"/>
                <w:sz w:val="24"/>
                <w:szCs w:val="24"/>
                <w:vertAlign w:val="subscript"/>
              </w:rPr>
              <w:t>P</w:t>
            </w:r>
            <w:r>
              <w:rPr>
                <w:rFonts w:hint="default" w:ascii="Times New Roman" w:hAnsi="Times New Roman"/>
                <w:kern w:val="24"/>
                <w:sz w:val="24"/>
                <w:szCs w:val="24"/>
                <w:vertAlign w:val="subscript"/>
              </w:rPr>
              <w:t>2</w:t>
            </w:r>
            <w:r>
              <w:rPr>
                <w:rFonts w:hint="default" w:ascii="Times New Roman" w:hAnsi="Times New Roman"/>
                <w:i/>
                <w:iCs/>
                <w:kern w:val="24"/>
                <w:sz w:val="24"/>
                <w:szCs w:val="24"/>
                <w:vertAlign w:val="subscript"/>
              </w:rPr>
              <w:t>i</w:t>
            </w:r>
            <w:r>
              <w:rPr>
                <w:rFonts w:hint="default" w:ascii="Times New Roman" w:hAnsi="Times New Roman"/>
                <w:kern w:val="24"/>
                <w:sz w:val="24"/>
                <w:szCs w:val="24"/>
              </w:rPr>
              <w:t>(T)—靠近围护结构处室外N个声源</w:t>
            </w:r>
            <w:r>
              <w:rPr>
                <w:rFonts w:hint="default" w:ascii="Times New Roman" w:hAnsi="Times New Roman"/>
                <w:i/>
                <w:iCs/>
                <w:kern w:val="24"/>
                <w:sz w:val="24"/>
                <w:szCs w:val="24"/>
              </w:rPr>
              <w:t>i</w:t>
            </w:r>
            <w:r>
              <w:rPr>
                <w:rFonts w:hint="default" w:ascii="Times New Roman" w:hAnsi="Times New Roman"/>
                <w:kern w:val="24"/>
                <w:sz w:val="24"/>
                <w:szCs w:val="24"/>
              </w:rPr>
              <w:t>倍频带的叠加声压级，dB；</w:t>
            </w:r>
          </w:p>
          <w:p w14:paraId="091CCA34">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i/>
                <w:iCs/>
                <w:kern w:val="24"/>
                <w:sz w:val="24"/>
                <w:szCs w:val="24"/>
              </w:rPr>
              <w:t>TL</w:t>
            </w:r>
            <w:r>
              <w:rPr>
                <w:rFonts w:hint="default" w:ascii="Times New Roman" w:hAnsi="Times New Roman"/>
                <w:i/>
                <w:iCs/>
                <w:kern w:val="24"/>
                <w:sz w:val="24"/>
                <w:szCs w:val="24"/>
                <w:vertAlign w:val="subscript"/>
              </w:rPr>
              <w:t>i</w:t>
            </w:r>
            <w:r>
              <w:rPr>
                <w:rFonts w:hint="default" w:ascii="Times New Roman" w:hAnsi="Times New Roman"/>
                <w:kern w:val="24"/>
                <w:sz w:val="24"/>
                <w:szCs w:val="24"/>
              </w:rPr>
              <w:t>—围护结构</w:t>
            </w:r>
            <w:r>
              <w:rPr>
                <w:rFonts w:hint="default" w:ascii="Times New Roman" w:hAnsi="Times New Roman"/>
                <w:i/>
                <w:iCs/>
                <w:kern w:val="24"/>
                <w:sz w:val="24"/>
                <w:szCs w:val="24"/>
              </w:rPr>
              <w:t>i</w:t>
            </w:r>
            <w:r>
              <w:rPr>
                <w:rFonts w:hint="default" w:ascii="Times New Roman" w:hAnsi="Times New Roman"/>
                <w:kern w:val="24"/>
                <w:sz w:val="24"/>
                <w:szCs w:val="24"/>
              </w:rPr>
              <w:t>倍频带的隔声量，dB。</w:t>
            </w:r>
          </w:p>
          <w:p w14:paraId="6F278461">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然后按下式将室外声源的声压级和透过面积换算成等效的室外声源，计算出中心位置位于透声面积（S）处的等效声源的倍频带声功率级。</w:t>
            </w:r>
          </w:p>
          <w:p w14:paraId="1F5D6B03">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kern w:val="24"/>
                <w:sz w:val="24"/>
                <w:szCs w:val="24"/>
              </w:rPr>
            </w:pPr>
            <w:r>
              <w:rPr>
                <w:rFonts w:hint="default" w:ascii="Times New Roman" w:hAnsi="Times New Roman"/>
                <w:i/>
                <w:iCs/>
                <w:kern w:val="24"/>
                <w:sz w:val="24"/>
                <w:szCs w:val="24"/>
              </w:rPr>
              <w:t>L</w:t>
            </w:r>
            <w:r>
              <w:rPr>
                <w:rFonts w:hint="default" w:ascii="Times New Roman" w:hAnsi="Times New Roman"/>
                <w:i/>
                <w:iCs/>
                <w:kern w:val="24"/>
                <w:sz w:val="24"/>
                <w:szCs w:val="24"/>
                <w:vertAlign w:val="subscript"/>
              </w:rPr>
              <w:t>W</w:t>
            </w:r>
            <w:r>
              <w:rPr>
                <w:rFonts w:hint="default" w:ascii="Times New Roman" w:hAnsi="Times New Roman"/>
                <w:kern w:val="24"/>
                <w:sz w:val="24"/>
                <w:szCs w:val="24"/>
              </w:rPr>
              <w:t>=</w:t>
            </w:r>
            <w:r>
              <w:rPr>
                <w:rFonts w:hint="default" w:ascii="Times New Roman" w:hAnsi="Times New Roman"/>
                <w:i/>
                <w:iCs/>
                <w:kern w:val="24"/>
                <w:sz w:val="24"/>
                <w:szCs w:val="24"/>
              </w:rPr>
              <w:t>L</w:t>
            </w:r>
            <w:r>
              <w:rPr>
                <w:rFonts w:hint="default" w:ascii="Times New Roman" w:hAnsi="Times New Roman"/>
                <w:i/>
                <w:iCs/>
                <w:kern w:val="24"/>
                <w:sz w:val="24"/>
                <w:szCs w:val="24"/>
                <w:vertAlign w:val="subscript"/>
              </w:rPr>
              <w:t>P</w:t>
            </w:r>
            <w:r>
              <w:rPr>
                <w:rFonts w:hint="default" w:ascii="Times New Roman" w:hAnsi="Times New Roman"/>
                <w:kern w:val="24"/>
                <w:sz w:val="24"/>
                <w:szCs w:val="24"/>
                <w:vertAlign w:val="subscript"/>
              </w:rPr>
              <w:t>2</w:t>
            </w:r>
            <w:r>
              <w:rPr>
                <w:rFonts w:hint="default" w:ascii="Times New Roman" w:hAnsi="Times New Roman"/>
                <w:kern w:val="24"/>
                <w:sz w:val="24"/>
                <w:szCs w:val="24"/>
              </w:rPr>
              <w:t>(T)+10lg</w:t>
            </w:r>
            <w:r>
              <w:rPr>
                <w:rFonts w:hint="default" w:ascii="Times New Roman" w:hAnsi="Times New Roman"/>
                <w:i/>
                <w:iCs/>
                <w:kern w:val="24"/>
                <w:sz w:val="24"/>
                <w:szCs w:val="24"/>
              </w:rPr>
              <w:t xml:space="preserve">s           </w:t>
            </w:r>
            <w:r>
              <w:rPr>
                <w:rFonts w:hint="default" w:ascii="Times New Roman" w:hAnsi="Times New Roman"/>
                <w:kern w:val="24"/>
                <w:szCs w:val="21"/>
              </w:rPr>
              <w:t>（</w:t>
            </w:r>
            <w:r>
              <w:rPr>
                <w:rFonts w:hint="default" w:ascii="Times New Roman" w:hAnsi="Times New Roman" w:cs="Times New Roman"/>
                <w:kern w:val="24"/>
                <w:szCs w:val="21"/>
              </w:rPr>
              <w:t>式4</w:t>
            </w:r>
            <w:r>
              <w:rPr>
                <w:rFonts w:hint="default" w:ascii="Times New Roman" w:hAnsi="Times New Roman"/>
                <w:kern w:val="24"/>
                <w:szCs w:val="21"/>
              </w:rPr>
              <w:t>）</w:t>
            </w:r>
          </w:p>
          <w:p w14:paraId="733AFD9F">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然后按室外声源预测方法计算预测点处的A声级。</w:t>
            </w:r>
          </w:p>
          <w:p w14:paraId="42419C0F">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2、室外的点声源在预测点产生的声级计算基本公式</w:t>
            </w:r>
          </w:p>
          <w:p w14:paraId="125D172F">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kern w:val="24"/>
                <w:sz w:val="24"/>
                <w:szCs w:val="24"/>
              </w:rPr>
            </w:pPr>
            <w:r>
              <w:rPr>
                <w:rFonts w:hint="default" w:ascii="Times New Roman" w:hAnsi="Times New Roman"/>
                <w:i/>
                <w:kern w:val="24"/>
                <w:sz w:val="24"/>
                <w:szCs w:val="24"/>
              </w:rPr>
              <w:t>L</w:t>
            </w:r>
            <w:r>
              <w:rPr>
                <w:rFonts w:hint="default" w:ascii="Times New Roman" w:hAnsi="Times New Roman"/>
                <w:i/>
                <w:kern w:val="24"/>
                <w:sz w:val="24"/>
                <w:szCs w:val="24"/>
                <w:vertAlign w:val="subscript"/>
              </w:rPr>
              <w:t>A（r）</w:t>
            </w:r>
            <w:r>
              <w:rPr>
                <w:rFonts w:hint="default" w:ascii="Times New Roman" w:hAnsi="Times New Roman"/>
                <w:kern w:val="24"/>
                <w:sz w:val="24"/>
                <w:szCs w:val="24"/>
              </w:rPr>
              <w:t>=</w:t>
            </w:r>
            <w:r>
              <w:rPr>
                <w:rFonts w:hint="default" w:ascii="Times New Roman" w:hAnsi="Times New Roman"/>
                <w:i/>
                <w:kern w:val="24"/>
                <w:sz w:val="24"/>
                <w:szCs w:val="24"/>
              </w:rPr>
              <w:t>L</w:t>
            </w:r>
            <w:r>
              <w:rPr>
                <w:rFonts w:hint="default" w:ascii="Times New Roman" w:hAnsi="Times New Roman"/>
                <w:i/>
                <w:kern w:val="24"/>
                <w:sz w:val="24"/>
                <w:szCs w:val="24"/>
                <w:vertAlign w:val="subscript"/>
              </w:rPr>
              <w:t>Aref（r0）</w:t>
            </w:r>
            <w:r>
              <w:rPr>
                <w:rFonts w:hint="default" w:ascii="Times New Roman" w:hAnsi="Times New Roman"/>
                <w:kern w:val="24"/>
                <w:sz w:val="24"/>
                <w:szCs w:val="24"/>
              </w:rPr>
              <w:t>+</w:t>
            </w:r>
            <w:r>
              <w:rPr>
                <w:rFonts w:hint="default" w:ascii="Times New Roman" w:hAnsi="Times New Roman"/>
                <w:i/>
                <w:kern w:val="24"/>
                <w:sz w:val="24"/>
                <w:szCs w:val="24"/>
              </w:rPr>
              <w:t>D</w:t>
            </w:r>
            <w:r>
              <w:rPr>
                <w:rFonts w:hint="default" w:ascii="Times New Roman" w:hAnsi="Times New Roman"/>
                <w:i/>
                <w:kern w:val="24"/>
                <w:sz w:val="24"/>
                <w:szCs w:val="24"/>
                <w:vertAlign w:val="subscript"/>
              </w:rPr>
              <w:t>c</w:t>
            </w:r>
            <w:r>
              <w:rPr>
                <w:rFonts w:hint="default" w:ascii="Times New Roman" w:hAnsi="Times New Roman"/>
                <w:kern w:val="24"/>
                <w:sz w:val="24"/>
                <w:szCs w:val="24"/>
              </w:rPr>
              <w:t>-（</w:t>
            </w:r>
            <w:r>
              <w:rPr>
                <w:rFonts w:hint="default" w:ascii="Times New Roman" w:hAnsi="Times New Roman"/>
                <w:i/>
                <w:kern w:val="24"/>
                <w:sz w:val="24"/>
                <w:szCs w:val="24"/>
              </w:rPr>
              <w:t>A</w:t>
            </w:r>
            <w:r>
              <w:rPr>
                <w:rFonts w:hint="default" w:ascii="Times New Roman" w:hAnsi="Times New Roman"/>
                <w:i/>
                <w:kern w:val="24"/>
                <w:sz w:val="24"/>
                <w:szCs w:val="24"/>
                <w:vertAlign w:val="subscript"/>
              </w:rPr>
              <w:t>div</w:t>
            </w:r>
            <w:r>
              <w:rPr>
                <w:rFonts w:hint="default" w:ascii="Times New Roman" w:hAnsi="Times New Roman"/>
                <w:kern w:val="24"/>
                <w:sz w:val="24"/>
                <w:szCs w:val="24"/>
              </w:rPr>
              <w:t>+</w:t>
            </w:r>
            <w:r>
              <w:rPr>
                <w:rFonts w:hint="default" w:ascii="Times New Roman" w:hAnsi="Times New Roman"/>
                <w:i/>
                <w:kern w:val="24"/>
                <w:sz w:val="24"/>
                <w:szCs w:val="24"/>
              </w:rPr>
              <w:t>A</w:t>
            </w:r>
            <w:r>
              <w:rPr>
                <w:rFonts w:hint="default" w:ascii="Times New Roman" w:hAnsi="Times New Roman"/>
                <w:i/>
                <w:kern w:val="24"/>
                <w:sz w:val="24"/>
                <w:szCs w:val="24"/>
                <w:vertAlign w:val="subscript"/>
              </w:rPr>
              <w:t>bar</w:t>
            </w:r>
            <w:r>
              <w:rPr>
                <w:rFonts w:hint="default" w:ascii="Times New Roman" w:hAnsi="Times New Roman"/>
                <w:kern w:val="24"/>
                <w:sz w:val="24"/>
                <w:szCs w:val="24"/>
              </w:rPr>
              <w:t>+</w:t>
            </w:r>
            <w:r>
              <w:rPr>
                <w:rFonts w:hint="default" w:ascii="Times New Roman" w:hAnsi="Times New Roman"/>
                <w:i/>
                <w:kern w:val="24"/>
                <w:sz w:val="24"/>
                <w:szCs w:val="24"/>
              </w:rPr>
              <w:t>A</w:t>
            </w:r>
            <w:r>
              <w:rPr>
                <w:rFonts w:hint="default" w:ascii="Times New Roman" w:hAnsi="Times New Roman"/>
                <w:i/>
                <w:kern w:val="24"/>
                <w:sz w:val="24"/>
                <w:szCs w:val="24"/>
                <w:vertAlign w:val="subscript"/>
              </w:rPr>
              <w:t>atm</w:t>
            </w:r>
            <w:r>
              <w:rPr>
                <w:rFonts w:hint="default" w:ascii="Times New Roman" w:hAnsi="Times New Roman"/>
                <w:kern w:val="24"/>
                <w:sz w:val="24"/>
                <w:szCs w:val="24"/>
              </w:rPr>
              <w:t>+</w:t>
            </w:r>
            <w:r>
              <w:rPr>
                <w:rFonts w:hint="default" w:ascii="Times New Roman" w:hAnsi="Times New Roman"/>
                <w:i/>
                <w:kern w:val="24"/>
                <w:sz w:val="24"/>
                <w:szCs w:val="24"/>
              </w:rPr>
              <w:t>A</w:t>
            </w:r>
            <w:r>
              <w:rPr>
                <w:rFonts w:hint="default" w:ascii="Times New Roman" w:hAnsi="Times New Roman"/>
                <w:i/>
                <w:kern w:val="24"/>
                <w:sz w:val="24"/>
                <w:szCs w:val="24"/>
                <w:vertAlign w:val="subscript"/>
              </w:rPr>
              <w:t>gr</w:t>
            </w:r>
            <w:r>
              <w:rPr>
                <w:rFonts w:hint="default" w:ascii="Times New Roman" w:hAnsi="Times New Roman"/>
                <w:kern w:val="24"/>
                <w:sz w:val="24"/>
                <w:szCs w:val="24"/>
              </w:rPr>
              <w:t>+</w:t>
            </w:r>
            <w:r>
              <w:rPr>
                <w:rFonts w:hint="default" w:ascii="Times New Roman" w:hAnsi="Times New Roman"/>
                <w:i/>
                <w:kern w:val="24"/>
                <w:sz w:val="24"/>
                <w:szCs w:val="24"/>
              </w:rPr>
              <w:t>A</w:t>
            </w:r>
            <w:r>
              <w:rPr>
                <w:rFonts w:hint="default" w:ascii="Times New Roman" w:hAnsi="Times New Roman"/>
                <w:i/>
                <w:kern w:val="24"/>
                <w:sz w:val="24"/>
                <w:szCs w:val="24"/>
                <w:vertAlign w:val="subscript"/>
              </w:rPr>
              <w:t>misc</w:t>
            </w:r>
            <w:r>
              <w:rPr>
                <w:rFonts w:hint="default" w:ascii="Times New Roman" w:hAnsi="Times New Roman"/>
                <w:kern w:val="24"/>
                <w:sz w:val="24"/>
                <w:szCs w:val="24"/>
              </w:rPr>
              <w:t>）</w:t>
            </w:r>
            <w:r>
              <w:rPr>
                <w:rFonts w:hint="default" w:ascii="Times New Roman" w:hAnsi="Times New Roman"/>
                <w:kern w:val="24"/>
                <w:szCs w:val="21"/>
              </w:rPr>
              <w:t>（式5）</w:t>
            </w:r>
          </w:p>
          <w:p w14:paraId="5BB76E8E">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式中：</w:t>
            </w:r>
            <w:r>
              <w:rPr>
                <w:rFonts w:hint="default" w:ascii="Times New Roman" w:hAnsi="Times New Roman"/>
                <w:i/>
                <w:kern w:val="24"/>
                <w:sz w:val="24"/>
                <w:szCs w:val="24"/>
              </w:rPr>
              <w:t>L</w:t>
            </w:r>
            <w:r>
              <w:rPr>
                <w:rFonts w:hint="default" w:ascii="Times New Roman" w:hAnsi="Times New Roman"/>
                <w:i/>
                <w:kern w:val="24"/>
                <w:sz w:val="24"/>
                <w:szCs w:val="24"/>
                <w:vertAlign w:val="subscript"/>
              </w:rPr>
              <w:t>A（r）</w:t>
            </w:r>
            <w:r>
              <w:rPr>
                <w:rFonts w:hint="default" w:ascii="Times New Roman" w:hAnsi="Times New Roman"/>
                <w:kern w:val="24"/>
                <w:sz w:val="24"/>
                <w:szCs w:val="24"/>
              </w:rPr>
              <w:t>——距离声源r处A声级，dB（A）；</w:t>
            </w:r>
          </w:p>
          <w:p w14:paraId="04A2B3FE">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i/>
                <w:kern w:val="24"/>
                <w:sz w:val="24"/>
                <w:szCs w:val="24"/>
              </w:rPr>
              <w:t>D</w:t>
            </w:r>
            <w:r>
              <w:rPr>
                <w:rFonts w:hint="default" w:ascii="Times New Roman" w:hAnsi="Times New Roman"/>
                <w:i/>
                <w:kern w:val="24"/>
                <w:sz w:val="24"/>
                <w:szCs w:val="24"/>
                <w:vertAlign w:val="subscript"/>
              </w:rPr>
              <w:t>c</w:t>
            </w:r>
            <w:r>
              <w:rPr>
                <w:rFonts w:hint="default" w:ascii="Times New Roman" w:hAnsi="Times New Roman"/>
                <w:kern w:val="24"/>
                <w:sz w:val="24"/>
                <w:szCs w:val="24"/>
              </w:rPr>
              <w:t>——指向性校正，dB(A)，取0；</w:t>
            </w:r>
          </w:p>
          <w:p w14:paraId="484434B8">
            <w:pPr>
              <w:keepNext w:val="0"/>
              <w:keepLines w:val="0"/>
              <w:suppressLineNumbers w:val="0"/>
              <w:spacing w:before="0" w:beforeAutospacing="0" w:after="0" w:afterAutospacing="0" w:line="360" w:lineRule="auto"/>
              <w:ind w:left="0" w:right="0" w:firstLine="960" w:firstLineChars="400"/>
              <w:rPr>
                <w:rFonts w:hint="default" w:ascii="Times New Roman" w:hAnsi="Times New Roman"/>
                <w:kern w:val="24"/>
                <w:sz w:val="24"/>
                <w:szCs w:val="24"/>
              </w:rPr>
            </w:pPr>
            <w:r>
              <w:rPr>
                <w:rFonts w:hint="default" w:ascii="Times New Roman" w:hAnsi="Times New Roman"/>
                <w:i/>
                <w:kern w:val="24"/>
                <w:sz w:val="24"/>
                <w:szCs w:val="24"/>
              </w:rPr>
              <w:t>A</w:t>
            </w:r>
            <w:r>
              <w:rPr>
                <w:rFonts w:hint="default" w:ascii="Times New Roman" w:hAnsi="Times New Roman"/>
                <w:i/>
                <w:kern w:val="24"/>
                <w:sz w:val="24"/>
                <w:szCs w:val="24"/>
                <w:vertAlign w:val="subscript"/>
              </w:rPr>
              <w:t>Aref（r0）</w:t>
            </w:r>
            <w:r>
              <w:rPr>
                <w:rFonts w:hint="default" w:ascii="Times New Roman" w:hAnsi="Times New Roman"/>
                <w:kern w:val="24"/>
                <w:sz w:val="24"/>
                <w:szCs w:val="24"/>
              </w:rPr>
              <w:t>——参考位置r</w:t>
            </w:r>
            <w:r>
              <w:rPr>
                <w:rFonts w:hint="default" w:ascii="Times New Roman" w:hAnsi="Times New Roman"/>
                <w:kern w:val="24"/>
                <w:sz w:val="24"/>
                <w:szCs w:val="24"/>
                <w:vertAlign w:val="subscript"/>
              </w:rPr>
              <w:t>0</w:t>
            </w:r>
            <w:r>
              <w:rPr>
                <w:rFonts w:hint="default" w:ascii="Times New Roman" w:hAnsi="Times New Roman"/>
                <w:kern w:val="24"/>
                <w:sz w:val="24"/>
                <w:szCs w:val="24"/>
              </w:rPr>
              <w:t>处A声级，dB（A）；</w:t>
            </w:r>
          </w:p>
          <w:p w14:paraId="585429B7">
            <w:pPr>
              <w:keepNext w:val="0"/>
              <w:keepLines w:val="0"/>
              <w:suppressLineNumbers w:val="0"/>
              <w:spacing w:before="0" w:beforeAutospacing="0" w:after="0" w:afterAutospacing="0" w:line="360" w:lineRule="auto"/>
              <w:ind w:left="0" w:right="0" w:firstLine="960" w:firstLineChars="400"/>
              <w:rPr>
                <w:rFonts w:hint="default" w:ascii="Times New Roman" w:hAnsi="Times New Roman"/>
                <w:kern w:val="24"/>
                <w:sz w:val="24"/>
                <w:szCs w:val="24"/>
              </w:rPr>
            </w:pPr>
            <w:r>
              <w:rPr>
                <w:rFonts w:hint="default" w:ascii="Times New Roman" w:hAnsi="Times New Roman"/>
                <w:i/>
                <w:kern w:val="24"/>
                <w:sz w:val="24"/>
                <w:szCs w:val="24"/>
              </w:rPr>
              <w:t>A</w:t>
            </w:r>
            <w:r>
              <w:rPr>
                <w:rFonts w:hint="default" w:ascii="Times New Roman" w:hAnsi="Times New Roman"/>
                <w:i/>
                <w:kern w:val="24"/>
                <w:sz w:val="24"/>
                <w:szCs w:val="24"/>
                <w:vertAlign w:val="subscript"/>
              </w:rPr>
              <w:t>div</w:t>
            </w:r>
            <w:r>
              <w:rPr>
                <w:rFonts w:hint="default" w:ascii="Times New Roman" w:hAnsi="Times New Roman"/>
                <w:kern w:val="24"/>
                <w:sz w:val="24"/>
                <w:szCs w:val="24"/>
              </w:rPr>
              <w:t>——声波几何发散引起的A声级衰减量，dB（A）；</w:t>
            </w:r>
          </w:p>
          <w:p w14:paraId="7661FCB6">
            <w:pPr>
              <w:keepNext w:val="0"/>
              <w:keepLines w:val="0"/>
              <w:suppressLineNumbers w:val="0"/>
              <w:spacing w:before="0" w:beforeAutospacing="0" w:after="0" w:afterAutospacing="0" w:line="360" w:lineRule="auto"/>
              <w:ind w:left="0" w:right="0" w:firstLine="960" w:firstLineChars="400"/>
              <w:rPr>
                <w:rFonts w:hint="default" w:ascii="Times New Roman" w:hAnsi="Times New Roman"/>
                <w:kern w:val="24"/>
                <w:sz w:val="24"/>
                <w:szCs w:val="24"/>
              </w:rPr>
            </w:pPr>
            <w:r>
              <w:rPr>
                <w:rFonts w:hint="default" w:ascii="Times New Roman" w:hAnsi="Times New Roman"/>
                <w:i/>
                <w:kern w:val="24"/>
                <w:sz w:val="24"/>
                <w:szCs w:val="24"/>
              </w:rPr>
              <w:t>A</w:t>
            </w:r>
            <w:r>
              <w:rPr>
                <w:rFonts w:hint="default" w:ascii="Times New Roman" w:hAnsi="Times New Roman"/>
                <w:i/>
                <w:kern w:val="24"/>
                <w:sz w:val="24"/>
                <w:szCs w:val="24"/>
                <w:vertAlign w:val="subscript"/>
              </w:rPr>
              <w:t>bar</w:t>
            </w:r>
            <w:r>
              <w:rPr>
                <w:rFonts w:hint="default" w:ascii="Times New Roman" w:hAnsi="Times New Roman"/>
                <w:kern w:val="24"/>
                <w:sz w:val="24"/>
                <w:szCs w:val="24"/>
              </w:rPr>
              <w:t>——遮挡物引起的A声级衰减量，dB（A）；</w:t>
            </w:r>
          </w:p>
          <w:p w14:paraId="1BF89BC1">
            <w:pPr>
              <w:keepNext w:val="0"/>
              <w:keepLines w:val="0"/>
              <w:suppressLineNumbers w:val="0"/>
              <w:spacing w:before="0" w:beforeAutospacing="0" w:after="0" w:afterAutospacing="0" w:line="360" w:lineRule="auto"/>
              <w:ind w:left="0" w:right="0" w:firstLine="960" w:firstLineChars="400"/>
              <w:rPr>
                <w:rFonts w:hint="default" w:ascii="Times New Roman" w:hAnsi="Times New Roman"/>
                <w:kern w:val="24"/>
                <w:sz w:val="24"/>
                <w:szCs w:val="24"/>
              </w:rPr>
            </w:pPr>
            <w:r>
              <w:rPr>
                <w:rFonts w:hint="default" w:ascii="Times New Roman" w:hAnsi="Times New Roman"/>
                <w:i/>
                <w:kern w:val="24"/>
                <w:sz w:val="24"/>
                <w:szCs w:val="24"/>
              </w:rPr>
              <w:t>A</w:t>
            </w:r>
            <w:r>
              <w:rPr>
                <w:rFonts w:hint="default" w:ascii="Times New Roman" w:hAnsi="Times New Roman"/>
                <w:i/>
                <w:kern w:val="24"/>
                <w:sz w:val="24"/>
                <w:szCs w:val="24"/>
                <w:vertAlign w:val="subscript"/>
              </w:rPr>
              <w:t>atm</w:t>
            </w:r>
            <w:r>
              <w:rPr>
                <w:rFonts w:hint="default" w:ascii="Times New Roman" w:hAnsi="Times New Roman"/>
                <w:kern w:val="24"/>
                <w:sz w:val="24"/>
                <w:szCs w:val="24"/>
              </w:rPr>
              <w:t>——空气吸收引起的A声级衰减量，dB（A）；</w:t>
            </w:r>
          </w:p>
          <w:p w14:paraId="103F17B2">
            <w:pPr>
              <w:keepNext w:val="0"/>
              <w:keepLines w:val="0"/>
              <w:suppressLineNumbers w:val="0"/>
              <w:spacing w:before="0" w:beforeAutospacing="0" w:after="0" w:afterAutospacing="0" w:line="360" w:lineRule="auto"/>
              <w:ind w:left="0" w:right="0" w:firstLine="960" w:firstLineChars="400"/>
              <w:rPr>
                <w:rFonts w:hint="default" w:ascii="Times New Roman" w:hAnsi="Times New Roman"/>
                <w:kern w:val="24"/>
                <w:sz w:val="24"/>
                <w:szCs w:val="24"/>
              </w:rPr>
            </w:pPr>
            <w:r>
              <w:rPr>
                <w:rFonts w:hint="default" w:ascii="Times New Roman" w:hAnsi="Times New Roman"/>
                <w:i/>
                <w:kern w:val="24"/>
                <w:sz w:val="24"/>
                <w:szCs w:val="24"/>
              </w:rPr>
              <w:t>A</w:t>
            </w:r>
            <w:r>
              <w:rPr>
                <w:rFonts w:hint="default" w:ascii="Times New Roman" w:hAnsi="Times New Roman"/>
                <w:i/>
                <w:kern w:val="24"/>
                <w:sz w:val="24"/>
                <w:szCs w:val="24"/>
                <w:vertAlign w:val="subscript"/>
              </w:rPr>
              <w:t>gr</w:t>
            </w:r>
            <w:r>
              <w:rPr>
                <w:rFonts w:hint="default" w:ascii="Times New Roman" w:hAnsi="Times New Roman"/>
                <w:kern w:val="24"/>
                <w:sz w:val="24"/>
                <w:szCs w:val="24"/>
              </w:rPr>
              <w:t>——地面效应衰减量，dB（A）</w:t>
            </w:r>
            <w:r>
              <w:rPr>
                <w:rFonts w:hint="eastAsia" w:ascii="Times New Roman" w:hAnsi="Times New Roman"/>
                <w:kern w:val="24"/>
                <w:sz w:val="24"/>
                <w:szCs w:val="24"/>
              </w:rPr>
              <w:t>；</w:t>
            </w:r>
          </w:p>
          <w:p w14:paraId="724D8FD0">
            <w:pPr>
              <w:keepNext w:val="0"/>
              <w:keepLines w:val="0"/>
              <w:suppressLineNumbers w:val="0"/>
              <w:spacing w:before="0" w:beforeAutospacing="0" w:after="0" w:afterAutospacing="0" w:line="360" w:lineRule="auto"/>
              <w:ind w:left="0" w:right="0" w:firstLine="960" w:firstLineChars="400"/>
              <w:rPr>
                <w:rFonts w:hint="default" w:ascii="Times New Roman" w:hAnsi="Times New Roman"/>
                <w:kern w:val="24"/>
                <w:sz w:val="24"/>
                <w:szCs w:val="24"/>
              </w:rPr>
            </w:pPr>
            <w:r>
              <w:rPr>
                <w:rFonts w:hint="default" w:ascii="Times New Roman" w:hAnsi="Times New Roman"/>
                <w:i/>
                <w:kern w:val="24"/>
                <w:sz w:val="24"/>
                <w:szCs w:val="24"/>
              </w:rPr>
              <w:t>A</w:t>
            </w:r>
            <w:r>
              <w:rPr>
                <w:rFonts w:hint="default" w:ascii="Times New Roman" w:hAnsi="Times New Roman"/>
                <w:i/>
                <w:kern w:val="24"/>
                <w:sz w:val="24"/>
                <w:szCs w:val="24"/>
                <w:vertAlign w:val="subscript"/>
              </w:rPr>
              <w:t>misc</w:t>
            </w:r>
            <w:r>
              <w:rPr>
                <w:rFonts w:hint="default" w:ascii="Times New Roman" w:hAnsi="Times New Roman"/>
                <w:kern w:val="24"/>
                <w:sz w:val="24"/>
                <w:szCs w:val="24"/>
              </w:rPr>
              <w:t>——其它方面引起的衰减量，dB(A)。</w:t>
            </w:r>
          </w:p>
          <w:p w14:paraId="0F5D18D6">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根据上述公式，对主要生产设备噪声值进行叠加计算，预测项目实施后对厂界声环境的影响。</w:t>
            </w:r>
          </w:p>
          <w:p w14:paraId="74C0A956">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各预测点声压级按下列公式进行叠加：</w:t>
            </w:r>
          </w:p>
          <w:p w14:paraId="6B301FA9">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drawing>
                <wp:anchor distT="0" distB="0" distL="114300" distR="114300" simplePos="0" relativeHeight="251662336" behindDoc="0" locked="0" layoutInCell="1" allowOverlap="1">
                  <wp:simplePos x="0" y="0"/>
                  <wp:positionH relativeFrom="column">
                    <wp:posOffset>1433830</wp:posOffset>
                  </wp:positionH>
                  <wp:positionV relativeFrom="paragraph">
                    <wp:posOffset>0</wp:posOffset>
                  </wp:positionV>
                  <wp:extent cx="2083435" cy="469265"/>
                  <wp:effectExtent l="0" t="0" r="0" b="0"/>
                  <wp:wrapNone/>
                  <wp:docPr id="6126" name="对象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 name="对象 1434"/>
                          <pic:cNvPicPr>
                            <a:picLocks noChangeAspect="1" noChangeArrowheads="1"/>
                          </pic:cNvPicPr>
                        </pic:nvPicPr>
                        <pic:blipFill>
                          <a:blip r:embed="rId16" cstate="print"/>
                          <a:srcRect/>
                          <a:stretch>
                            <a:fillRect/>
                          </a:stretch>
                        </pic:blipFill>
                        <pic:spPr>
                          <a:xfrm>
                            <a:off x="0" y="0"/>
                            <a:ext cx="2083242" cy="469127"/>
                          </a:xfrm>
                          <a:prstGeom prst="rect">
                            <a:avLst/>
                          </a:prstGeom>
                          <a:noFill/>
                        </pic:spPr>
                      </pic:pic>
                    </a:graphicData>
                  </a:graphic>
                </wp:anchor>
              </w:drawing>
            </w:r>
            <w:r>
              <w:rPr>
                <w:rFonts w:hint="default" w:ascii="Times New Roman" w:hAnsi="Times New Roman"/>
                <w:kern w:val="24"/>
                <w:sz w:val="24"/>
                <w:szCs w:val="24"/>
              </w:rPr>
              <mc:AlternateContent>
                <mc:Choice Requires="wps">
                  <w:drawing>
                    <wp:anchor distT="0" distB="0" distL="114300" distR="114300" simplePos="0" relativeHeight="251663360" behindDoc="0" locked="0" layoutInCell="1" allowOverlap="1">
                      <wp:simplePos x="0" y="0"/>
                      <wp:positionH relativeFrom="column">
                        <wp:posOffset>3815080</wp:posOffset>
                      </wp:positionH>
                      <wp:positionV relativeFrom="paragraph">
                        <wp:posOffset>67310</wp:posOffset>
                      </wp:positionV>
                      <wp:extent cx="897890" cy="322580"/>
                      <wp:effectExtent l="0" t="0" r="0" b="0"/>
                      <wp:wrapNone/>
                      <wp:docPr id="233" name="文本框 1435"/>
                      <wp:cNvGraphicFramePr/>
                      <a:graphic xmlns:a="http://schemas.openxmlformats.org/drawingml/2006/main">
                        <a:graphicData uri="http://schemas.microsoft.com/office/word/2010/wordprocessingShape">
                          <wps:wsp>
                            <wps:cNvSpPr txBox="1">
                              <a:spLocks noChangeArrowheads="1"/>
                            </wps:cNvSpPr>
                            <wps:spPr bwMode="auto">
                              <a:xfrm>
                                <a:off x="0" y="0"/>
                                <a:ext cx="897890" cy="322580"/>
                              </a:xfrm>
                              <a:prstGeom prst="rect">
                                <a:avLst/>
                              </a:prstGeom>
                              <a:noFill/>
                              <a:ln>
                                <a:noFill/>
                              </a:ln>
                              <a:effectLst/>
                            </wps:spPr>
                            <wps:txbx>
                              <w:txbxContent>
                                <w:p w14:paraId="3071DE9E">
                                  <w:pPr>
                                    <w:rPr>
                                      <w:rFonts w:ascii="Times New Roman" w:hAnsi="Times New Roman" w:cs="Times New Roman"/>
                                    </w:rPr>
                                  </w:pPr>
                                  <w:r>
                                    <w:rPr>
                                      <w:rFonts w:ascii="Times New Roman" w:cs="Times New Roman"/>
                                    </w:rPr>
                                    <w:t>（式</w:t>
                                  </w:r>
                                  <w:r>
                                    <w:rPr>
                                      <w:rFonts w:ascii="Times New Roman" w:hAnsi="Times New Roman" w:cs="Times New Roman"/>
                                    </w:rPr>
                                    <w:t>6</w:t>
                                  </w:r>
                                  <w:r>
                                    <w:rPr>
                                      <w:rFonts w:ascii="Times New Roman" w:cs="Times New Roman"/>
                                    </w:rPr>
                                    <w:t>）</w:t>
                                  </w:r>
                                </w:p>
                              </w:txbxContent>
                            </wps:txbx>
                            <wps:bodyPr rot="0" vert="horz" wrap="square" lIns="91440" tIns="45720" rIns="91440" bIns="45720" anchor="t" anchorCtr="0" upright="1">
                              <a:noAutofit/>
                            </wps:bodyPr>
                          </wps:wsp>
                        </a:graphicData>
                      </a:graphic>
                    </wp:anchor>
                  </w:drawing>
                </mc:Choice>
                <mc:Fallback>
                  <w:pict>
                    <v:shape id="文本框 1435" o:spid="_x0000_s1026" o:spt="202" type="#_x0000_t202" style="position:absolute;left:0pt;margin-left:300.4pt;margin-top:5.3pt;height:25.4pt;width:70.7pt;z-index:251663360;mso-width-relative:page;mso-height-relative:page;" filled="f" stroked="f" coordsize="21600,21600" o:gfxdata="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tbDYTVAAAA&#10;CQEAAA8AAAAAAAAAAQAgAAAAIgAAAGRycy9kb3ducmV2LnhtbFBLAQIUABQAAAAIAIdO4kAGl6yO&#10;IAIAACcEAAAOAAAAAAAAAAEAIAAAACQBAABkcnMvZTJvRG9jLnhtbFBLBQYAAAAABgAGAFkBAAC2&#10;BQAAAAA=&#10;">
                      <v:fill on="f" focussize="0,0"/>
                      <v:stroke on="f"/>
                      <v:imagedata o:title=""/>
                      <o:lock v:ext="edit" aspectratio="f"/>
                      <v:textbox>
                        <w:txbxContent>
                          <w:p w14:paraId="3071DE9E">
                            <w:pPr>
                              <w:rPr>
                                <w:rFonts w:ascii="Times New Roman" w:hAnsi="Times New Roman" w:cs="Times New Roman"/>
                              </w:rPr>
                            </w:pPr>
                            <w:r>
                              <w:rPr>
                                <w:rFonts w:ascii="Times New Roman" w:cs="Times New Roman"/>
                              </w:rPr>
                              <w:t>（式</w:t>
                            </w:r>
                            <w:r>
                              <w:rPr>
                                <w:rFonts w:ascii="Times New Roman" w:hAnsi="Times New Roman" w:cs="Times New Roman"/>
                              </w:rPr>
                              <w:t>6</w:t>
                            </w:r>
                            <w:r>
                              <w:rPr>
                                <w:rFonts w:ascii="Times New Roman" w:cs="Times New Roman"/>
                              </w:rPr>
                              <w:t>）</w:t>
                            </w:r>
                          </w:p>
                        </w:txbxContent>
                      </v:textbox>
                    </v:shape>
                  </w:pict>
                </mc:Fallback>
              </mc:AlternateContent>
            </w:r>
          </w:p>
          <w:p w14:paraId="3CA31614">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p>
          <w:p w14:paraId="240E5951">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式中：</w:t>
            </w:r>
            <w:r>
              <w:rPr>
                <w:rFonts w:hint="default" w:ascii="Times New Roman" w:hAnsi="Times New Roman"/>
                <w:i/>
                <w:kern w:val="24"/>
                <w:sz w:val="24"/>
                <w:szCs w:val="24"/>
              </w:rPr>
              <w:t>L</w:t>
            </w:r>
            <w:r>
              <w:rPr>
                <w:rFonts w:hint="default" w:ascii="Times New Roman" w:hAnsi="Times New Roman"/>
                <w:kern w:val="24"/>
                <w:sz w:val="24"/>
                <w:szCs w:val="24"/>
              </w:rPr>
              <w:t>总－－预测点总的A声级，dB(A)；</w:t>
            </w:r>
          </w:p>
          <w:p w14:paraId="4B526D0C">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i/>
                <w:kern w:val="24"/>
                <w:sz w:val="24"/>
                <w:szCs w:val="24"/>
              </w:rPr>
              <w:t>Li</w:t>
            </w:r>
            <w:r>
              <w:rPr>
                <w:rFonts w:hint="default" w:ascii="Times New Roman" w:hAnsi="Times New Roman"/>
                <w:kern w:val="24"/>
                <w:sz w:val="24"/>
                <w:szCs w:val="24"/>
              </w:rPr>
              <w:t>－－第i个声源到预测点处的声压级，dB(A)；</w:t>
            </w:r>
          </w:p>
          <w:p w14:paraId="10F4C1E5">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i/>
                <w:kern w:val="24"/>
                <w:sz w:val="24"/>
                <w:szCs w:val="24"/>
              </w:rPr>
              <w:t>Lb</w:t>
            </w:r>
            <w:r>
              <w:rPr>
                <w:rFonts w:hint="default" w:ascii="Times New Roman" w:hAnsi="Times New Roman"/>
                <w:kern w:val="24"/>
                <w:sz w:val="24"/>
                <w:szCs w:val="24"/>
              </w:rPr>
              <w:t>－－背景噪声值，dB(A)；</w:t>
            </w:r>
          </w:p>
          <w:p w14:paraId="0C7A14FF">
            <w:pPr>
              <w:keepNext w:val="0"/>
              <w:keepLines w:val="0"/>
              <w:suppressLineNumbers w:val="0"/>
              <w:spacing w:before="0" w:beforeAutospacing="0" w:after="0" w:afterAutospacing="0" w:line="360" w:lineRule="auto"/>
              <w:ind w:left="0" w:right="0" w:firstLine="1200" w:firstLineChars="500"/>
              <w:rPr>
                <w:rFonts w:hint="default" w:ascii="Times New Roman" w:hAnsi="Times New Roman"/>
                <w:kern w:val="24"/>
                <w:sz w:val="24"/>
                <w:szCs w:val="24"/>
              </w:rPr>
            </w:pPr>
            <w:r>
              <w:rPr>
                <w:rFonts w:hint="default" w:ascii="Times New Roman" w:hAnsi="Times New Roman"/>
                <w:i/>
                <w:kern w:val="24"/>
                <w:sz w:val="24"/>
                <w:szCs w:val="24"/>
              </w:rPr>
              <w:t>n</w:t>
            </w:r>
            <w:r>
              <w:rPr>
                <w:rFonts w:hint="default" w:ascii="Times New Roman" w:hAnsi="Times New Roman"/>
                <w:kern w:val="24"/>
                <w:sz w:val="24"/>
                <w:szCs w:val="24"/>
              </w:rPr>
              <w:t>－－声源个数。</w:t>
            </w:r>
          </w:p>
          <w:p w14:paraId="63A6D4AB">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预测参数确定：</w:t>
            </w:r>
          </w:p>
          <w:p w14:paraId="580C8174">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vertAlign w:val="subscript"/>
              </w:rPr>
            </w:pPr>
            <w:r>
              <w:rPr>
                <w:rFonts w:hint="default" w:ascii="Times New Roman" w:hAnsi="Times New Roman"/>
                <w:kern w:val="24"/>
                <w:sz w:val="24"/>
                <w:szCs w:val="24"/>
              </w:rPr>
              <w:t>（1）几何发散衰减量A</w:t>
            </w:r>
            <w:r>
              <w:rPr>
                <w:rFonts w:hint="default" w:ascii="Times New Roman" w:hAnsi="Times New Roman"/>
                <w:kern w:val="24"/>
                <w:sz w:val="24"/>
                <w:szCs w:val="24"/>
                <w:vertAlign w:val="subscript"/>
              </w:rPr>
              <w:t>div</w:t>
            </w:r>
          </w:p>
          <w:p w14:paraId="19004656">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选用半自由声场无指向性点声源几何发散衰减基本模式计算：</w:t>
            </w:r>
          </w:p>
          <w:p w14:paraId="76A884D2">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i/>
                <w:kern w:val="24"/>
                <w:sz w:val="24"/>
                <w:szCs w:val="24"/>
                <w:lang w:val="pt-BR"/>
              </w:rPr>
            </w:pPr>
            <w:r>
              <w:rPr>
                <w:rFonts w:hint="default" w:ascii="Times New Roman" w:hAnsi="Times New Roman"/>
                <w:i/>
                <w:kern w:val="24"/>
                <w:sz w:val="24"/>
                <w:szCs w:val="24"/>
                <w:lang w:val="pt-BR"/>
              </w:rPr>
              <w:t>A</w:t>
            </w:r>
            <w:r>
              <w:rPr>
                <w:rFonts w:hint="default" w:ascii="Times New Roman" w:hAnsi="Times New Roman"/>
                <w:i/>
                <w:kern w:val="24"/>
                <w:sz w:val="24"/>
                <w:szCs w:val="24"/>
                <w:vertAlign w:val="subscript"/>
                <w:lang w:val="pt-BR"/>
              </w:rPr>
              <w:t>div</w:t>
            </w:r>
            <w:r>
              <w:rPr>
                <w:rFonts w:hint="default" w:ascii="Times New Roman" w:hAnsi="Times New Roman"/>
                <w:i/>
                <w:kern w:val="24"/>
                <w:sz w:val="24"/>
                <w:szCs w:val="24"/>
                <w:lang w:val="pt-BR"/>
              </w:rPr>
              <w:t>＝20lg（r/r</w:t>
            </w:r>
            <w:r>
              <w:rPr>
                <w:rFonts w:hint="default" w:ascii="Times New Roman" w:hAnsi="Times New Roman"/>
                <w:i/>
                <w:kern w:val="24"/>
                <w:sz w:val="24"/>
                <w:szCs w:val="24"/>
                <w:vertAlign w:val="subscript"/>
                <w:lang w:val="pt-BR"/>
              </w:rPr>
              <w:t>0</w:t>
            </w:r>
            <w:r>
              <w:rPr>
                <w:rFonts w:hint="default" w:ascii="Times New Roman" w:hAnsi="Times New Roman"/>
                <w:i/>
                <w:kern w:val="24"/>
                <w:sz w:val="24"/>
                <w:szCs w:val="24"/>
                <w:lang w:val="pt-BR"/>
              </w:rPr>
              <w:t xml:space="preserve">）+8    </w:t>
            </w:r>
            <w:r>
              <w:rPr>
                <w:rFonts w:hint="default" w:ascii="Times New Roman" w:hAnsi="Times New Roman"/>
                <w:kern w:val="24"/>
                <w:szCs w:val="21"/>
              </w:rPr>
              <w:t>（式7）</w:t>
            </w:r>
          </w:p>
          <w:p w14:paraId="51EC6988">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（2）遮挡物衰减量A</w:t>
            </w:r>
            <w:r>
              <w:rPr>
                <w:rFonts w:hint="default" w:ascii="Times New Roman" w:hAnsi="Times New Roman"/>
                <w:kern w:val="24"/>
                <w:sz w:val="24"/>
                <w:szCs w:val="24"/>
                <w:vertAlign w:val="subscript"/>
              </w:rPr>
              <w:t>ba</w:t>
            </w:r>
          </w:p>
          <w:p w14:paraId="1EB8946D">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噪声源辐射的噪声由室内传播至室外遇到围墙或建筑物等障碍物时引起的能量衰减。对于安装在厂房内的设备，预测时主要考虑厂房墙壁等围栏结构产生的衰减量。</w:t>
            </w:r>
          </w:p>
          <w:p w14:paraId="67FACAA0">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（3）空气吸收衰减量A</w:t>
            </w:r>
            <w:r>
              <w:rPr>
                <w:rFonts w:hint="default" w:ascii="Times New Roman" w:hAnsi="Times New Roman"/>
                <w:kern w:val="24"/>
                <w:sz w:val="24"/>
                <w:szCs w:val="24"/>
                <w:vertAlign w:val="subscript"/>
              </w:rPr>
              <w:t>atm</w:t>
            </w:r>
          </w:p>
          <w:p w14:paraId="00DC58C1">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kern w:val="24"/>
                <w:sz w:val="24"/>
                <w:szCs w:val="24"/>
              </w:rPr>
            </w:pPr>
            <w:r>
              <w:rPr>
                <w:rFonts w:hint="default" w:ascii="Times New Roman" w:hAnsi="Times New Roman"/>
                <w:kern w:val="24"/>
                <w:sz w:val="24"/>
                <w:szCs w:val="24"/>
              </w:rPr>
              <mc:AlternateContent>
                <mc:Choice Requires="wps">
                  <w:drawing>
                    <wp:anchor distT="0" distB="0" distL="114300" distR="114300" simplePos="0" relativeHeight="251664384" behindDoc="0" locked="0" layoutInCell="1" allowOverlap="1">
                      <wp:simplePos x="0" y="0"/>
                      <wp:positionH relativeFrom="column">
                        <wp:posOffset>3429635</wp:posOffset>
                      </wp:positionH>
                      <wp:positionV relativeFrom="paragraph">
                        <wp:posOffset>73660</wp:posOffset>
                      </wp:positionV>
                      <wp:extent cx="897890" cy="322580"/>
                      <wp:effectExtent l="0" t="0" r="0" b="0"/>
                      <wp:wrapNone/>
                      <wp:docPr id="234" name="文本框 1436"/>
                      <wp:cNvGraphicFramePr/>
                      <a:graphic xmlns:a="http://schemas.openxmlformats.org/drawingml/2006/main">
                        <a:graphicData uri="http://schemas.microsoft.com/office/word/2010/wordprocessingShape">
                          <wps:wsp>
                            <wps:cNvSpPr txBox="1">
                              <a:spLocks noChangeArrowheads="1"/>
                            </wps:cNvSpPr>
                            <wps:spPr bwMode="auto">
                              <a:xfrm>
                                <a:off x="0" y="0"/>
                                <a:ext cx="897890" cy="322580"/>
                              </a:xfrm>
                              <a:prstGeom prst="rect">
                                <a:avLst/>
                              </a:prstGeom>
                              <a:noFill/>
                              <a:ln>
                                <a:noFill/>
                              </a:ln>
                              <a:effectLst/>
                            </wps:spPr>
                            <wps:txbx>
                              <w:txbxContent>
                                <w:p w14:paraId="14AFFA0A">
                                  <w:pPr>
                                    <w:spacing w:line="360" w:lineRule="auto"/>
                                    <w:rPr>
                                      <w:rFonts w:ascii="Times New Roman" w:hAnsi="Times New Roman" w:cs="Times New Roman"/>
                                    </w:rPr>
                                  </w:pPr>
                                  <w:r>
                                    <w:rPr>
                                      <w:rFonts w:ascii="Times New Roman" w:cs="Times New Roman"/>
                                    </w:rPr>
                                    <w:t>（式</w:t>
                                  </w:r>
                                  <w:r>
                                    <w:rPr>
                                      <w:rFonts w:ascii="Times New Roman" w:hAnsi="Times New Roman" w:cs="Times New Roman"/>
                                    </w:rPr>
                                    <w:t>8</w:t>
                                  </w:r>
                                  <w:r>
                                    <w:rPr>
                                      <w:rFonts w:ascii="Times New Roman" w:cs="Times New Roman"/>
                                    </w:rPr>
                                    <w:t>）</w:t>
                                  </w:r>
                                </w:p>
                              </w:txbxContent>
                            </wps:txbx>
                            <wps:bodyPr rot="0" vert="horz" wrap="square" lIns="91440" tIns="45720" rIns="91440" bIns="45720" anchor="t" anchorCtr="0" upright="1">
                              <a:noAutofit/>
                            </wps:bodyPr>
                          </wps:wsp>
                        </a:graphicData>
                      </a:graphic>
                    </wp:anchor>
                  </w:drawing>
                </mc:Choice>
                <mc:Fallback>
                  <w:pict>
                    <v:shape id="文本框 1436" o:spid="_x0000_s1026" o:spt="202" type="#_x0000_t202" style="position:absolute;left:0pt;margin-left:270.05pt;margin-top:5.8pt;height:25.4pt;width:70.7pt;z-index:251664384;mso-width-relative:page;mso-height-relative:page;" filled="f" stroked="f" coordsize="21600,21600" o:gfxdata="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YxJgdYA&#10;AAAJAQAADwAAAAAAAAABACAAAAAiAAAAZHJzL2Rvd25yZXYueG1sUEsBAhQAFAAAAAgAh07iQPSa&#10;exchAgAAJwQAAA4AAAAAAAAAAQAgAAAAJQEAAGRycy9lMm9Eb2MueG1sUEsFBgAAAAAGAAYAWQEA&#10;ALgFAAAAAA==&#10;">
                      <v:fill on="f" focussize="0,0"/>
                      <v:stroke on="f"/>
                      <v:imagedata o:title=""/>
                      <o:lock v:ext="edit" aspectratio="f"/>
                      <v:textbox>
                        <w:txbxContent>
                          <w:p w14:paraId="14AFFA0A">
                            <w:pPr>
                              <w:spacing w:line="360" w:lineRule="auto"/>
                              <w:rPr>
                                <w:rFonts w:ascii="Times New Roman" w:hAnsi="Times New Roman" w:cs="Times New Roman"/>
                              </w:rPr>
                            </w:pPr>
                            <w:r>
                              <w:rPr>
                                <w:rFonts w:ascii="Times New Roman" w:cs="Times New Roman"/>
                              </w:rPr>
                              <w:t>（式</w:t>
                            </w:r>
                            <w:r>
                              <w:rPr>
                                <w:rFonts w:ascii="Times New Roman" w:hAnsi="Times New Roman" w:cs="Times New Roman"/>
                              </w:rPr>
                              <w:t>8</w:t>
                            </w:r>
                            <w:r>
                              <w:rPr>
                                <w:rFonts w:ascii="Times New Roman" w:cs="Times New Roman"/>
                              </w:rPr>
                              <w:t>）</w:t>
                            </w:r>
                          </w:p>
                        </w:txbxContent>
                      </v:textbox>
                    </v:shape>
                  </w:pict>
                </mc:Fallback>
              </mc:AlternateContent>
            </w:r>
            <w:r>
              <w:rPr>
                <w:rFonts w:hint="default" w:ascii="Times New Roman" w:hAnsi="Times New Roman"/>
                <w:kern w:val="24"/>
                <w:sz w:val="24"/>
                <w:szCs w:val="24"/>
              </w:rPr>
              <w:drawing>
                <wp:inline distT="0" distB="0" distL="0" distR="0">
                  <wp:extent cx="1292225" cy="351790"/>
                  <wp:effectExtent l="19050" t="0" r="3175" b="0"/>
                  <wp:docPr id="1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2"/>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a:xfrm>
                            <a:off x="0" y="0"/>
                            <a:ext cx="1292225" cy="351790"/>
                          </a:xfrm>
                          <a:prstGeom prst="rect">
                            <a:avLst/>
                          </a:prstGeom>
                          <a:noFill/>
                          <a:ln w="9525">
                            <a:noFill/>
                            <a:miter lim="800000"/>
                            <a:headEnd/>
                            <a:tailEnd/>
                          </a:ln>
                        </pic:spPr>
                      </pic:pic>
                    </a:graphicData>
                  </a:graphic>
                </wp:inline>
              </w:drawing>
            </w:r>
          </w:p>
          <w:p w14:paraId="000FC837">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式中：</w:t>
            </w:r>
            <w:r>
              <w:rPr>
                <w:rFonts w:hint="default" w:ascii="Times New Roman" w:hAnsi="Times New Roman"/>
                <w:i/>
                <w:iCs/>
                <w:kern w:val="24"/>
                <w:sz w:val="24"/>
                <w:szCs w:val="24"/>
              </w:rPr>
              <w:t>a</w:t>
            </w:r>
            <w:r>
              <w:rPr>
                <w:rFonts w:hint="default" w:ascii="Times New Roman" w:hAnsi="Times New Roman"/>
                <w:kern w:val="24"/>
                <w:sz w:val="24"/>
                <w:szCs w:val="24"/>
              </w:rPr>
              <w:t>为温度、湿度和声波频率的函数。</w:t>
            </w:r>
          </w:p>
          <w:p w14:paraId="73D9B5B2">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空气吸收衰减量与几何发散衰减量相比很小，本次预测计算中忽略空气吸收衰减量。</w:t>
            </w:r>
          </w:p>
          <w:p w14:paraId="5C8C7410">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（4）地面衰减量</w:t>
            </w:r>
            <w:r>
              <w:rPr>
                <w:rFonts w:hint="default" w:ascii="Times New Roman" w:hAnsi="Times New Roman"/>
                <w:i/>
                <w:kern w:val="24"/>
                <w:sz w:val="24"/>
                <w:szCs w:val="24"/>
              </w:rPr>
              <w:t>A</w:t>
            </w:r>
            <w:r>
              <w:rPr>
                <w:rFonts w:hint="default" w:ascii="Times New Roman" w:hAnsi="Times New Roman"/>
                <w:i/>
                <w:kern w:val="24"/>
                <w:sz w:val="24"/>
                <w:szCs w:val="24"/>
                <w:vertAlign w:val="subscript"/>
              </w:rPr>
              <w:t>gr</w:t>
            </w:r>
          </w:p>
          <w:p w14:paraId="52B50C73">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本次评价忽略。</w:t>
            </w:r>
          </w:p>
          <w:p w14:paraId="113282AE">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（5）其它方面衰减量</w:t>
            </w:r>
            <w:r>
              <w:rPr>
                <w:rFonts w:hint="default" w:ascii="Times New Roman" w:hAnsi="Times New Roman"/>
                <w:i/>
                <w:kern w:val="24"/>
                <w:sz w:val="24"/>
                <w:szCs w:val="24"/>
              </w:rPr>
              <w:t>A</w:t>
            </w:r>
            <w:r>
              <w:rPr>
                <w:rFonts w:hint="default" w:ascii="Times New Roman" w:hAnsi="Times New Roman"/>
                <w:i/>
                <w:kern w:val="24"/>
                <w:sz w:val="24"/>
                <w:szCs w:val="24"/>
                <w:vertAlign w:val="subscript"/>
              </w:rPr>
              <w:t>misc</w:t>
            </w:r>
            <w:r>
              <w:rPr>
                <w:rFonts w:hint="default" w:ascii="Times New Roman" w:hAnsi="Times New Roman"/>
                <w:kern w:val="24"/>
                <w:sz w:val="24"/>
                <w:szCs w:val="24"/>
              </w:rPr>
              <w:t>，本次评价忽略。</w:t>
            </w:r>
          </w:p>
          <w:p w14:paraId="6AC6DA96">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环境噪声预测结果见</w:t>
            </w:r>
            <w:r>
              <w:rPr>
                <w:rFonts w:hint="eastAsia" w:ascii="Times New Roman" w:hAnsi="Times New Roman"/>
                <w:kern w:val="24"/>
                <w:sz w:val="24"/>
                <w:szCs w:val="24"/>
              </w:rPr>
              <w:t>下表。</w:t>
            </w:r>
          </w:p>
          <w:p w14:paraId="70A50F46">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24"/>
                <w:sz w:val="24"/>
                <w:szCs w:val="24"/>
              </w:rPr>
            </w:pPr>
            <w:r>
              <w:rPr>
                <w:rFonts w:hint="default" w:ascii="Times New Roman" w:hAnsi="Times New Roman"/>
                <w:kern w:val="24"/>
                <w:sz w:val="24"/>
                <w:szCs w:val="24"/>
              </w:rPr>
              <w:t>根据预测模式计算出噪声源传播至各厂界1m处噪声值，结果如下表。</w:t>
            </w:r>
          </w:p>
          <w:p w14:paraId="55046B1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p>
          <w:p w14:paraId="395DF4A6">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sz w:val="24"/>
                <w:szCs w:val="24"/>
              </w:rPr>
            </w:pPr>
          </w:p>
        </w:tc>
      </w:tr>
    </w:tbl>
    <w:p w14:paraId="06AFEA2D">
      <w:pPr>
        <w:jc w:val="center"/>
        <w:rPr>
          <w:rFonts w:ascii="Times New Roman" w:hAnsi="Times New Roman" w:eastAsia="宋体" w:cs="宋体"/>
          <w:bCs/>
          <w:sz w:val="24"/>
          <w:szCs w:val="24"/>
        </w:rPr>
        <w:sectPr>
          <w:pgSz w:w="11906" w:h="16838"/>
          <w:pgMar w:top="1440" w:right="1800" w:bottom="1440" w:left="1800" w:header="851" w:footer="992" w:gutter="0"/>
          <w:cols w:space="425" w:num="1"/>
          <w:docGrid w:type="lines" w:linePitch="312" w:charSpace="0"/>
        </w:sectPr>
      </w:pPr>
    </w:p>
    <w:tbl>
      <w:tblPr>
        <w:tblStyle w:val="17"/>
        <w:tblW w:w="491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6"/>
        <w:gridCol w:w="7794"/>
      </w:tblGrid>
      <w:tr w14:paraId="6E1D0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9" w:hRule="atLeast"/>
          <w:jc w:val="center"/>
        </w:trPr>
        <w:tc>
          <w:tcPr>
            <w:tcW w:w="299" w:type="pct"/>
            <w:tcMar>
              <w:left w:w="28" w:type="dxa"/>
              <w:right w:w="28" w:type="dxa"/>
            </w:tcMar>
            <w:vAlign w:val="center"/>
          </w:tcPr>
          <w:p w14:paraId="35C3A2CA">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运</w:t>
            </w:r>
          </w:p>
          <w:p w14:paraId="3217E544">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营</w:t>
            </w:r>
          </w:p>
          <w:p w14:paraId="6995D53A">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期</w:t>
            </w:r>
          </w:p>
          <w:p w14:paraId="1D41ED53">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环</w:t>
            </w:r>
          </w:p>
          <w:p w14:paraId="27315FA1">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境</w:t>
            </w:r>
          </w:p>
          <w:p w14:paraId="61A6ED54">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影</w:t>
            </w:r>
          </w:p>
          <w:p w14:paraId="53001264">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响</w:t>
            </w:r>
          </w:p>
          <w:p w14:paraId="243691D4">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和</w:t>
            </w:r>
          </w:p>
          <w:p w14:paraId="36BCB930">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保</w:t>
            </w:r>
          </w:p>
          <w:p w14:paraId="0253AEEB">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护</w:t>
            </w:r>
          </w:p>
          <w:p w14:paraId="624A459C">
            <w:pPr>
              <w:keepNext w:val="0"/>
              <w:keepLines w:val="0"/>
              <w:suppressLineNumbers w:val="0"/>
              <w:spacing w:before="0" w:beforeAutospacing="0" w:after="0" w:afterAutospacing="0" w:line="360" w:lineRule="auto"/>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措</w:t>
            </w:r>
          </w:p>
          <w:p w14:paraId="563CD613">
            <w:pPr>
              <w:keepNext w:val="0"/>
              <w:keepLines w:val="0"/>
              <w:suppressLineNumbers w:val="0"/>
              <w:spacing w:before="0" w:beforeAutospacing="0" w:after="0" w:afterAutospacing="0"/>
              <w:ind w:left="0" w:right="0"/>
              <w:jc w:val="center"/>
              <w:rPr>
                <w:rFonts w:hint="default" w:ascii="Times New Roman" w:hAnsi="Times New Roman" w:eastAsia="宋体" w:cs="宋体"/>
                <w:bCs/>
                <w:sz w:val="24"/>
                <w:szCs w:val="24"/>
              </w:rPr>
            </w:pPr>
            <w:r>
              <w:rPr>
                <w:rFonts w:hint="eastAsia" w:ascii="Times New Roman" w:hAnsi="Times New Roman" w:eastAsia="宋体" w:cs="宋体"/>
                <w:bCs/>
                <w:sz w:val="24"/>
                <w:szCs w:val="24"/>
              </w:rPr>
              <w:t>施</w:t>
            </w:r>
          </w:p>
        </w:tc>
        <w:tc>
          <w:tcPr>
            <w:tcW w:w="4701" w:type="pct"/>
          </w:tcPr>
          <w:p w14:paraId="5332770A">
            <w:pPr>
              <w:pStyle w:val="38"/>
              <w:keepNext w:val="0"/>
              <w:keepLines w:val="0"/>
              <w:suppressLineNumbers w:val="0"/>
              <w:adjustRightInd/>
              <w:spacing w:before="0" w:beforeAutospacing="0" w:after="0" w:afterAutospacing="0" w:line="360" w:lineRule="auto"/>
              <w:ind w:left="0" w:right="0" w:firstLine="0"/>
              <w:jc w:val="center"/>
              <w:rPr>
                <w:rFonts w:hint="default" w:ascii="Times New Roman" w:hAnsi="Times New Roman" w:eastAsia="黑体" w:cs="Times New Roman"/>
                <w:szCs w:val="24"/>
              </w:rPr>
            </w:pPr>
            <w:r>
              <w:rPr>
                <w:rFonts w:hint="default" w:ascii="Times New Roman" w:hAnsi="Times New Roman" w:eastAsia="黑体" w:cs="Times New Roman"/>
                <w:szCs w:val="24"/>
              </w:rPr>
              <w:t>表4-</w:t>
            </w:r>
            <w:r>
              <w:rPr>
                <w:rFonts w:hint="eastAsia" w:ascii="Times New Roman" w:hAnsi="Times New Roman" w:eastAsia="黑体" w:cs="Times New Roman"/>
                <w:szCs w:val="24"/>
              </w:rPr>
              <w:t xml:space="preserve">5  </w:t>
            </w:r>
            <w:r>
              <w:rPr>
                <w:rFonts w:hint="default" w:ascii="Times New Roman" w:hAnsi="Times New Roman" w:eastAsia="黑体" w:cs="Times New Roman"/>
                <w:szCs w:val="24"/>
              </w:rPr>
              <w:t>噪声预测结果</w:t>
            </w:r>
            <w:r>
              <w:rPr>
                <w:rFonts w:hint="eastAsia" w:ascii="Times New Roman" w:hAnsi="Times New Roman" w:eastAsia="黑体" w:cs="Times New Roman"/>
                <w:szCs w:val="24"/>
              </w:rPr>
              <w:t xml:space="preserve">   </w:t>
            </w:r>
            <w:r>
              <w:rPr>
                <w:rFonts w:hint="default" w:ascii="Times New Roman" w:hAnsi="Times New Roman" w:eastAsia="黑体" w:cs="Times New Roman"/>
                <w:szCs w:val="24"/>
              </w:rPr>
              <w:t>单位</w:t>
            </w:r>
            <w:r>
              <w:rPr>
                <w:rFonts w:hint="eastAsia" w:ascii="Times New Roman" w:hAnsi="Times New Roman" w:eastAsia="黑体" w:cs="Times New Roman"/>
                <w:szCs w:val="24"/>
              </w:rPr>
              <w:t>：</w:t>
            </w:r>
            <w:r>
              <w:rPr>
                <w:rFonts w:hint="default" w:ascii="Times New Roman" w:hAnsi="Times New Roman" w:eastAsia="黑体" w:cs="Times New Roman"/>
                <w:szCs w:val="24"/>
              </w:rPr>
              <w:t>dB（A）</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2808"/>
              <w:gridCol w:w="2809"/>
            </w:tblGrid>
            <w:tr w14:paraId="4488A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2" w:type="pct"/>
                  <w:vMerge w:val="restart"/>
                  <w:vAlign w:val="center"/>
                </w:tcPr>
                <w:p w14:paraId="50920F8D">
                  <w:pPr>
                    <w:pStyle w:val="7"/>
                    <w:keepNext w:val="0"/>
                    <w:keepLines w:val="0"/>
                    <w:suppressLineNumbers w:val="0"/>
                    <w:spacing w:before="0" w:beforeAutospacing="0" w:after="0" w:afterAutospacing="0" w:line="276" w:lineRule="auto"/>
                    <w:ind w:left="0" w:leftChars="0" w:right="0"/>
                    <w:jc w:val="center"/>
                    <w:rPr>
                      <w:rFonts w:hint="default"/>
                      <w:b/>
                      <w:bCs/>
                      <w:sz w:val="21"/>
                      <w:szCs w:val="21"/>
                    </w:rPr>
                  </w:pPr>
                  <w:r>
                    <w:rPr>
                      <w:rFonts w:hint="default"/>
                      <w:b/>
                      <w:bCs/>
                      <w:sz w:val="21"/>
                      <w:szCs w:val="21"/>
                    </w:rPr>
                    <w:t>预测点</w:t>
                  </w:r>
                </w:p>
              </w:tc>
              <w:tc>
                <w:tcPr>
                  <w:tcW w:w="1853" w:type="pct"/>
                  <w:vAlign w:val="center"/>
                </w:tcPr>
                <w:p w14:paraId="58A379C4">
                  <w:pPr>
                    <w:pStyle w:val="7"/>
                    <w:keepNext w:val="0"/>
                    <w:keepLines w:val="0"/>
                    <w:suppressLineNumbers w:val="0"/>
                    <w:spacing w:before="0" w:beforeAutospacing="0" w:after="0" w:afterAutospacing="0" w:line="276" w:lineRule="auto"/>
                    <w:ind w:left="0" w:leftChars="0" w:right="0"/>
                    <w:jc w:val="center"/>
                    <w:rPr>
                      <w:rFonts w:hint="default"/>
                      <w:b/>
                      <w:bCs/>
                      <w:sz w:val="21"/>
                      <w:szCs w:val="21"/>
                    </w:rPr>
                  </w:pPr>
                  <w:r>
                    <w:rPr>
                      <w:rFonts w:hint="default"/>
                      <w:b/>
                      <w:bCs/>
                      <w:sz w:val="21"/>
                      <w:szCs w:val="21"/>
                    </w:rPr>
                    <w:t>贡献值</w:t>
                  </w:r>
                </w:p>
              </w:tc>
              <w:tc>
                <w:tcPr>
                  <w:tcW w:w="1853" w:type="pct"/>
                  <w:vAlign w:val="center"/>
                </w:tcPr>
                <w:p w14:paraId="0D101EAD">
                  <w:pPr>
                    <w:pStyle w:val="7"/>
                    <w:keepNext w:val="0"/>
                    <w:keepLines w:val="0"/>
                    <w:suppressLineNumbers w:val="0"/>
                    <w:spacing w:before="0" w:beforeAutospacing="0" w:after="0" w:afterAutospacing="0" w:line="276" w:lineRule="auto"/>
                    <w:ind w:left="0" w:leftChars="0" w:right="0"/>
                    <w:jc w:val="center"/>
                    <w:rPr>
                      <w:rFonts w:hint="default"/>
                      <w:b/>
                      <w:bCs/>
                      <w:sz w:val="21"/>
                      <w:szCs w:val="21"/>
                    </w:rPr>
                  </w:pPr>
                  <w:r>
                    <w:rPr>
                      <w:rFonts w:hint="default"/>
                      <w:b/>
                      <w:bCs/>
                      <w:sz w:val="21"/>
                      <w:szCs w:val="21"/>
                    </w:rPr>
                    <w:t>标准值</w:t>
                  </w:r>
                </w:p>
              </w:tc>
            </w:tr>
            <w:tr w14:paraId="0FEDF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2" w:type="pct"/>
                  <w:vMerge w:val="continue"/>
                  <w:vAlign w:val="center"/>
                </w:tcPr>
                <w:p w14:paraId="2D308260">
                  <w:pPr>
                    <w:pStyle w:val="7"/>
                    <w:keepNext w:val="0"/>
                    <w:keepLines w:val="0"/>
                    <w:suppressLineNumbers w:val="0"/>
                    <w:spacing w:before="0" w:beforeAutospacing="0" w:after="0" w:afterAutospacing="0" w:line="276" w:lineRule="auto"/>
                    <w:ind w:left="0" w:leftChars="0" w:right="0"/>
                    <w:jc w:val="center"/>
                    <w:rPr>
                      <w:rFonts w:hint="default"/>
                      <w:b/>
                      <w:bCs/>
                      <w:sz w:val="21"/>
                      <w:szCs w:val="21"/>
                    </w:rPr>
                  </w:pPr>
                </w:p>
              </w:tc>
              <w:tc>
                <w:tcPr>
                  <w:tcW w:w="1853" w:type="pct"/>
                  <w:vAlign w:val="center"/>
                </w:tcPr>
                <w:p w14:paraId="7694D510">
                  <w:pPr>
                    <w:pStyle w:val="7"/>
                    <w:keepNext w:val="0"/>
                    <w:keepLines w:val="0"/>
                    <w:suppressLineNumbers w:val="0"/>
                    <w:spacing w:before="0" w:beforeAutospacing="0" w:after="0" w:afterAutospacing="0" w:line="276" w:lineRule="auto"/>
                    <w:ind w:left="0" w:leftChars="0" w:right="0"/>
                    <w:jc w:val="center"/>
                    <w:rPr>
                      <w:rFonts w:hint="default"/>
                      <w:b/>
                      <w:bCs/>
                      <w:sz w:val="21"/>
                      <w:szCs w:val="21"/>
                    </w:rPr>
                  </w:pPr>
                  <w:r>
                    <w:rPr>
                      <w:rFonts w:hint="default"/>
                      <w:b/>
                      <w:bCs/>
                      <w:sz w:val="21"/>
                      <w:szCs w:val="21"/>
                    </w:rPr>
                    <w:t>昼间</w:t>
                  </w:r>
                </w:p>
              </w:tc>
              <w:tc>
                <w:tcPr>
                  <w:tcW w:w="1853" w:type="pct"/>
                  <w:vAlign w:val="center"/>
                </w:tcPr>
                <w:p w14:paraId="193BE076">
                  <w:pPr>
                    <w:pStyle w:val="7"/>
                    <w:keepNext w:val="0"/>
                    <w:keepLines w:val="0"/>
                    <w:suppressLineNumbers w:val="0"/>
                    <w:spacing w:before="0" w:beforeAutospacing="0" w:after="0" w:afterAutospacing="0" w:line="276" w:lineRule="auto"/>
                    <w:ind w:left="0" w:leftChars="0" w:right="0"/>
                    <w:jc w:val="center"/>
                    <w:rPr>
                      <w:rFonts w:hint="default"/>
                      <w:b/>
                      <w:bCs/>
                      <w:sz w:val="21"/>
                      <w:szCs w:val="21"/>
                    </w:rPr>
                  </w:pPr>
                  <w:r>
                    <w:rPr>
                      <w:rFonts w:hint="eastAsia"/>
                      <w:b/>
                      <w:bCs/>
                      <w:sz w:val="21"/>
                      <w:szCs w:val="21"/>
                    </w:rPr>
                    <w:t>昼间</w:t>
                  </w:r>
                </w:p>
              </w:tc>
            </w:tr>
            <w:tr w14:paraId="3140A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2" w:type="pct"/>
                  <w:vAlign w:val="center"/>
                </w:tcPr>
                <w:p w14:paraId="3D454E74">
                  <w:pPr>
                    <w:pStyle w:val="7"/>
                    <w:keepNext w:val="0"/>
                    <w:keepLines w:val="0"/>
                    <w:suppressLineNumbers w:val="0"/>
                    <w:spacing w:before="0" w:beforeAutospacing="0" w:after="0" w:afterAutospacing="0" w:line="276" w:lineRule="auto"/>
                    <w:ind w:left="0" w:leftChars="0" w:right="0"/>
                    <w:jc w:val="center"/>
                    <w:rPr>
                      <w:rFonts w:hint="default"/>
                      <w:sz w:val="21"/>
                      <w:szCs w:val="21"/>
                    </w:rPr>
                  </w:pPr>
                  <w:r>
                    <w:rPr>
                      <w:rFonts w:hint="default"/>
                      <w:sz w:val="21"/>
                      <w:szCs w:val="21"/>
                    </w:rPr>
                    <w:t>东厂界</w:t>
                  </w:r>
                </w:p>
              </w:tc>
              <w:tc>
                <w:tcPr>
                  <w:tcW w:w="1853" w:type="pct"/>
                  <w:vAlign w:val="center"/>
                </w:tcPr>
                <w:p w14:paraId="0783A86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45.5</w:t>
                  </w:r>
                </w:p>
              </w:tc>
              <w:tc>
                <w:tcPr>
                  <w:tcW w:w="1853" w:type="pct"/>
                  <w:vAlign w:val="center"/>
                </w:tcPr>
                <w:p w14:paraId="15A9EB2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65</w:t>
                  </w:r>
                </w:p>
              </w:tc>
            </w:tr>
            <w:tr w14:paraId="07E4B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2" w:type="pct"/>
                  <w:vAlign w:val="center"/>
                </w:tcPr>
                <w:p w14:paraId="4F738F42">
                  <w:pPr>
                    <w:pStyle w:val="7"/>
                    <w:keepNext w:val="0"/>
                    <w:keepLines w:val="0"/>
                    <w:suppressLineNumbers w:val="0"/>
                    <w:spacing w:before="0" w:beforeAutospacing="0" w:after="0" w:afterAutospacing="0" w:line="276" w:lineRule="auto"/>
                    <w:ind w:left="0" w:leftChars="0" w:right="0"/>
                    <w:jc w:val="center"/>
                    <w:rPr>
                      <w:rFonts w:hint="default"/>
                      <w:sz w:val="21"/>
                      <w:szCs w:val="21"/>
                    </w:rPr>
                  </w:pPr>
                  <w:r>
                    <w:rPr>
                      <w:rFonts w:hint="default"/>
                      <w:sz w:val="21"/>
                      <w:szCs w:val="21"/>
                    </w:rPr>
                    <w:t>南厂界</w:t>
                  </w:r>
                </w:p>
              </w:tc>
              <w:tc>
                <w:tcPr>
                  <w:tcW w:w="1853" w:type="pct"/>
                  <w:vAlign w:val="center"/>
                </w:tcPr>
                <w:p w14:paraId="733B590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47.3</w:t>
                  </w:r>
                </w:p>
              </w:tc>
              <w:tc>
                <w:tcPr>
                  <w:tcW w:w="1853" w:type="pct"/>
                  <w:vAlign w:val="center"/>
                </w:tcPr>
                <w:p w14:paraId="2E7C026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65</w:t>
                  </w:r>
                </w:p>
              </w:tc>
            </w:tr>
            <w:tr w14:paraId="0D603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2" w:type="pct"/>
                  <w:vAlign w:val="center"/>
                </w:tcPr>
                <w:p w14:paraId="46879C70">
                  <w:pPr>
                    <w:pStyle w:val="7"/>
                    <w:keepNext w:val="0"/>
                    <w:keepLines w:val="0"/>
                    <w:suppressLineNumbers w:val="0"/>
                    <w:spacing w:before="0" w:beforeAutospacing="0" w:after="0" w:afterAutospacing="0" w:line="276" w:lineRule="auto"/>
                    <w:ind w:left="0" w:leftChars="0" w:right="0"/>
                    <w:jc w:val="center"/>
                    <w:rPr>
                      <w:rFonts w:hint="default"/>
                      <w:sz w:val="21"/>
                      <w:szCs w:val="21"/>
                    </w:rPr>
                  </w:pPr>
                  <w:r>
                    <w:rPr>
                      <w:rFonts w:hint="default"/>
                      <w:sz w:val="21"/>
                      <w:szCs w:val="21"/>
                    </w:rPr>
                    <w:t>西厂界</w:t>
                  </w:r>
                </w:p>
              </w:tc>
              <w:tc>
                <w:tcPr>
                  <w:tcW w:w="1853" w:type="pct"/>
                  <w:vAlign w:val="center"/>
                </w:tcPr>
                <w:p w14:paraId="05C7E9B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46.9</w:t>
                  </w:r>
                </w:p>
              </w:tc>
              <w:tc>
                <w:tcPr>
                  <w:tcW w:w="1853" w:type="pct"/>
                  <w:vAlign w:val="center"/>
                </w:tcPr>
                <w:p w14:paraId="27821AE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65</w:t>
                  </w:r>
                </w:p>
              </w:tc>
            </w:tr>
            <w:tr w14:paraId="60DAF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2" w:type="pct"/>
                  <w:vAlign w:val="center"/>
                </w:tcPr>
                <w:p w14:paraId="285ED980">
                  <w:pPr>
                    <w:pStyle w:val="7"/>
                    <w:keepNext w:val="0"/>
                    <w:keepLines w:val="0"/>
                    <w:suppressLineNumbers w:val="0"/>
                    <w:spacing w:before="0" w:beforeAutospacing="0" w:after="0" w:afterAutospacing="0" w:line="276" w:lineRule="auto"/>
                    <w:ind w:left="0" w:leftChars="0" w:right="0"/>
                    <w:jc w:val="center"/>
                    <w:rPr>
                      <w:rFonts w:hint="default"/>
                      <w:sz w:val="21"/>
                      <w:szCs w:val="21"/>
                    </w:rPr>
                  </w:pPr>
                  <w:r>
                    <w:rPr>
                      <w:rFonts w:hint="default"/>
                      <w:sz w:val="21"/>
                      <w:szCs w:val="21"/>
                    </w:rPr>
                    <w:t>北厂界</w:t>
                  </w:r>
                </w:p>
              </w:tc>
              <w:tc>
                <w:tcPr>
                  <w:tcW w:w="1853" w:type="pct"/>
                  <w:vAlign w:val="center"/>
                </w:tcPr>
                <w:p w14:paraId="5381088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45.1</w:t>
                  </w:r>
                </w:p>
              </w:tc>
              <w:tc>
                <w:tcPr>
                  <w:tcW w:w="1853" w:type="pct"/>
                  <w:vAlign w:val="center"/>
                </w:tcPr>
                <w:p w14:paraId="5D923FF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65</w:t>
                  </w:r>
                </w:p>
              </w:tc>
            </w:tr>
          </w:tbl>
          <w:p w14:paraId="6F01A8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根据预测结果可知，</w:t>
            </w:r>
            <w:r>
              <w:rPr>
                <w:rFonts w:hint="eastAsia" w:ascii="Times New Roman" w:hAnsi="Times New Roman" w:cs="Times New Roman"/>
                <w:kern w:val="0"/>
                <w:sz w:val="24"/>
                <w:szCs w:val="24"/>
              </w:rPr>
              <w:t>四至</w:t>
            </w:r>
            <w:r>
              <w:rPr>
                <w:rFonts w:hint="default" w:ascii="Times New Roman" w:hAnsi="Times New Roman" w:cs="Times New Roman"/>
                <w:kern w:val="0"/>
                <w:sz w:val="24"/>
                <w:szCs w:val="24"/>
              </w:rPr>
              <w:t>厂界噪声均能够满足《工业企业厂界环境噪声排放标准》(GB12348-2008)中</w:t>
            </w:r>
            <w:r>
              <w:rPr>
                <w:rFonts w:hint="eastAsia" w:ascii="Times New Roman" w:hAnsi="Times New Roman" w:cs="Times New Roman"/>
                <w:kern w:val="0"/>
                <w:sz w:val="24"/>
                <w:szCs w:val="24"/>
              </w:rPr>
              <w:t>3</w:t>
            </w:r>
            <w:r>
              <w:rPr>
                <w:rFonts w:hint="default" w:ascii="Times New Roman" w:hAnsi="Times New Roman" w:cs="Times New Roman"/>
                <w:kern w:val="0"/>
                <w:sz w:val="24"/>
                <w:szCs w:val="24"/>
              </w:rPr>
              <w:t>类标准。综上所述，本项目对周边声环境影响</w:t>
            </w:r>
            <w:r>
              <w:rPr>
                <w:rFonts w:hint="eastAsia" w:ascii="Times New Roman" w:hAnsi="Times New Roman" w:cs="Times New Roman"/>
                <w:kern w:val="0"/>
                <w:sz w:val="24"/>
                <w:szCs w:val="24"/>
                <w:lang w:val="en-US" w:eastAsia="zh-CN"/>
              </w:rPr>
              <w:t>可接受</w:t>
            </w:r>
            <w:r>
              <w:rPr>
                <w:rFonts w:hint="default" w:ascii="Times New Roman" w:hAnsi="Times New Roman" w:cs="Times New Roman"/>
                <w:kern w:val="0"/>
                <w:sz w:val="24"/>
                <w:szCs w:val="24"/>
              </w:rPr>
              <w:t>。</w:t>
            </w:r>
          </w:p>
          <w:p w14:paraId="5B61B8E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2、运营期声环境保护措施</w:t>
            </w:r>
          </w:p>
          <w:p w14:paraId="4A8E737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根据建设单位提供资料，各类生产设施均置于室内，主要噪声源距离厂界较远，但为了进一步降低噪声对周围环境的影响，建议企业应采取以下措施：</w:t>
            </w:r>
          </w:p>
          <w:p w14:paraId="119DDFF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（1）在高噪声设备机器底面安装垫木或者橡胶减振垫，用地脚螺栓固定，减小了设备运行时的振动和振动引起的噪声；</w:t>
            </w:r>
          </w:p>
          <w:p w14:paraId="11878EA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（2）合理布局，将生产设备集中布置在厂房中部；</w:t>
            </w:r>
          </w:p>
          <w:p w14:paraId="50CB5C6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kern w:val="0"/>
                <w:sz w:val="24"/>
                <w:szCs w:val="24"/>
                <w:lang w:eastAsia="zh-CN"/>
              </w:rPr>
            </w:pPr>
            <w:r>
              <w:rPr>
                <w:rFonts w:hint="default" w:ascii="Times New Roman" w:hAnsi="Times New Roman" w:cs="Times New Roman"/>
                <w:kern w:val="0"/>
                <w:sz w:val="24"/>
                <w:szCs w:val="24"/>
              </w:rPr>
              <w:t>（3）加强噪声设备的维修管理，避免因不正常运行所导致的噪声增大</w:t>
            </w:r>
            <w:r>
              <w:rPr>
                <w:rFonts w:hint="eastAsia" w:ascii="Times New Roman" w:hAnsi="Times New Roman" w:cs="Times New Roman"/>
                <w:kern w:val="0"/>
                <w:sz w:val="24"/>
                <w:szCs w:val="24"/>
                <w:lang w:eastAsia="zh-CN"/>
              </w:rPr>
              <w:t>。</w:t>
            </w:r>
          </w:p>
          <w:p w14:paraId="20402C9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根据《</w:t>
            </w:r>
            <w:r>
              <w:rPr>
                <w:rFonts w:hint="eastAsia" w:ascii="Times New Roman" w:hAnsi="Times New Roman" w:cs="Times New Roman"/>
                <w:kern w:val="0"/>
                <w:sz w:val="24"/>
                <w:szCs w:val="24"/>
              </w:rPr>
              <w:t>排污许可证申请与核发技术规范 工业噪声</w:t>
            </w:r>
            <w:r>
              <w:rPr>
                <w:rFonts w:hint="default" w:ascii="Times New Roman" w:hAnsi="Times New Roman" w:cs="Times New Roman"/>
                <w:kern w:val="0"/>
                <w:sz w:val="24"/>
                <w:szCs w:val="24"/>
              </w:rPr>
              <w:t>》（</w:t>
            </w:r>
            <w:r>
              <w:rPr>
                <w:rFonts w:hint="eastAsia" w:ascii="Times New Roman" w:hAnsi="Times New Roman" w:cs="Times New Roman"/>
                <w:kern w:val="0"/>
                <w:sz w:val="24"/>
                <w:szCs w:val="24"/>
              </w:rPr>
              <w:t>HJ 1301-2023</w:t>
            </w:r>
            <w:r>
              <w:rPr>
                <w:rFonts w:hint="default" w:ascii="Times New Roman" w:hAnsi="Times New Roman" w:cs="Times New Roman"/>
                <w:kern w:val="0"/>
                <w:sz w:val="24"/>
                <w:szCs w:val="24"/>
              </w:rPr>
              <w:t>）要求，本项目运行后，</w:t>
            </w:r>
            <w:r>
              <w:rPr>
                <w:rFonts w:hint="eastAsia" w:ascii="Times New Roman" w:hAnsi="Times New Roman" w:cs="Times New Roman"/>
                <w:kern w:val="0"/>
                <w:sz w:val="24"/>
                <w:szCs w:val="24"/>
              </w:rPr>
              <w:t>建设单位</w:t>
            </w:r>
            <w:r>
              <w:rPr>
                <w:rFonts w:hint="default" w:ascii="Times New Roman" w:hAnsi="Times New Roman" w:cs="Times New Roman"/>
                <w:kern w:val="0"/>
                <w:sz w:val="24"/>
                <w:szCs w:val="24"/>
              </w:rPr>
              <w:t>污染物</w:t>
            </w:r>
            <w:r>
              <w:rPr>
                <w:rFonts w:hint="eastAsia" w:ascii="Times New Roman" w:hAnsi="Times New Roman" w:cs="Times New Roman"/>
                <w:kern w:val="0"/>
                <w:sz w:val="24"/>
                <w:szCs w:val="24"/>
              </w:rPr>
              <w:t>噪声</w:t>
            </w:r>
            <w:r>
              <w:rPr>
                <w:rFonts w:hint="default" w:ascii="Times New Roman" w:hAnsi="Times New Roman" w:cs="Times New Roman"/>
                <w:kern w:val="0"/>
                <w:sz w:val="24"/>
                <w:szCs w:val="24"/>
              </w:rPr>
              <w:t>监测计划</w:t>
            </w:r>
            <w:r>
              <w:rPr>
                <w:rFonts w:hint="eastAsia" w:ascii="Times New Roman" w:hAnsi="Times New Roman" w:cs="Times New Roman"/>
                <w:kern w:val="0"/>
                <w:sz w:val="24"/>
                <w:szCs w:val="24"/>
              </w:rPr>
              <w:t>可参照</w:t>
            </w:r>
            <w:r>
              <w:rPr>
                <w:rFonts w:hint="default" w:ascii="Times New Roman" w:hAnsi="Times New Roman" w:cs="Times New Roman"/>
                <w:kern w:val="0"/>
                <w:sz w:val="24"/>
                <w:szCs w:val="24"/>
              </w:rPr>
              <w:t>下表所示。</w:t>
            </w:r>
          </w:p>
          <w:p w14:paraId="25D389FD">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rPr>
              <w:t xml:space="preserve">4-6  </w:t>
            </w:r>
            <w:r>
              <w:rPr>
                <w:rFonts w:hint="default" w:ascii="Times New Roman" w:hAnsi="Times New Roman" w:eastAsia="黑体" w:cs="Times New Roman"/>
                <w:sz w:val="24"/>
                <w:szCs w:val="24"/>
              </w:rPr>
              <w:t>项目噪声环境监测计划一览表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081"/>
              <w:gridCol w:w="1767"/>
              <w:gridCol w:w="1083"/>
              <w:gridCol w:w="2998"/>
            </w:tblGrid>
            <w:tr w14:paraId="45489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262F406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类别</w:t>
                  </w:r>
                </w:p>
              </w:tc>
              <w:tc>
                <w:tcPr>
                  <w:tcW w:w="1081" w:type="dxa"/>
                  <w:vAlign w:val="center"/>
                </w:tcPr>
                <w:p w14:paraId="137C77E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监测点位</w:t>
                  </w:r>
                </w:p>
              </w:tc>
              <w:tc>
                <w:tcPr>
                  <w:tcW w:w="1767" w:type="dxa"/>
                  <w:vAlign w:val="center"/>
                </w:tcPr>
                <w:p w14:paraId="3660FA1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监测指标</w:t>
                  </w:r>
                </w:p>
              </w:tc>
              <w:tc>
                <w:tcPr>
                  <w:tcW w:w="1083" w:type="dxa"/>
                  <w:vAlign w:val="center"/>
                </w:tcPr>
                <w:p w14:paraId="3A40435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监测频次</w:t>
                  </w:r>
                </w:p>
              </w:tc>
              <w:tc>
                <w:tcPr>
                  <w:tcW w:w="2998" w:type="dxa"/>
                  <w:vAlign w:val="center"/>
                </w:tcPr>
                <w:p w14:paraId="278827F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w:t>
                  </w:r>
                </w:p>
              </w:tc>
            </w:tr>
            <w:tr w14:paraId="41303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4F35B83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1081" w:type="dxa"/>
                  <w:vAlign w:val="center"/>
                </w:tcPr>
                <w:p w14:paraId="4C71833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厂界</w:t>
                  </w:r>
                </w:p>
              </w:tc>
              <w:tc>
                <w:tcPr>
                  <w:tcW w:w="1767" w:type="dxa"/>
                  <w:vAlign w:val="center"/>
                </w:tcPr>
                <w:p w14:paraId="1504365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等效连续A声级</w:t>
                  </w:r>
                </w:p>
              </w:tc>
              <w:tc>
                <w:tcPr>
                  <w:tcW w:w="1083" w:type="dxa"/>
                  <w:vAlign w:val="center"/>
                </w:tcPr>
                <w:p w14:paraId="6707DC7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1次/季度</w:t>
                  </w:r>
                </w:p>
              </w:tc>
              <w:tc>
                <w:tcPr>
                  <w:tcW w:w="2998" w:type="dxa"/>
                  <w:vAlign w:val="center"/>
                </w:tcPr>
                <w:p w14:paraId="2A9A0F9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（GB12348-2008）3类区标准</w:t>
                  </w:r>
                </w:p>
              </w:tc>
            </w:tr>
          </w:tbl>
          <w:p w14:paraId="2B5194A5">
            <w:pPr>
              <w:keepNext w:val="0"/>
              <w:keepLines w:val="0"/>
              <w:suppressLineNumbers w:val="0"/>
              <w:spacing w:before="0" w:beforeAutospacing="0" w:after="0" w:afterAutospacing="0" w:line="440" w:lineRule="exact"/>
              <w:ind w:left="0" w:right="0" w:firstLine="472" w:firstLineChars="196"/>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四、固体废物处置措施及管理要求</w:t>
            </w:r>
          </w:p>
          <w:p w14:paraId="79FD106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1、运营期固废环境影响分析</w:t>
            </w:r>
          </w:p>
          <w:p w14:paraId="12582C05">
            <w:pPr>
              <w:keepNext w:val="0"/>
              <w:keepLines w:val="0"/>
              <w:suppressLineNumbers w:val="0"/>
              <w:spacing w:before="0" w:beforeAutospacing="0" w:after="0" w:afterAutospacing="0" w:line="360" w:lineRule="auto"/>
              <w:ind w:left="0" w:right="0" w:firstLine="480" w:firstLineChars="200"/>
              <w:rPr>
                <w:rFonts w:hint="default" w:ascii="Times New Roman" w:hAnsi="Times New Roman"/>
                <w:kern w:val="0"/>
                <w:sz w:val="24"/>
                <w:szCs w:val="24"/>
              </w:rPr>
            </w:pPr>
            <w:r>
              <w:rPr>
                <w:rFonts w:hint="eastAsia" w:ascii="Times New Roman" w:hAnsi="Times New Roman"/>
                <w:kern w:val="0"/>
                <w:sz w:val="24"/>
                <w:szCs w:val="24"/>
              </w:rPr>
              <w:t>根据工程分析，</w:t>
            </w:r>
            <w:r>
              <w:rPr>
                <w:rFonts w:hint="default" w:ascii="Times New Roman" w:hAnsi="Times New Roman"/>
                <w:kern w:val="0"/>
                <w:sz w:val="24"/>
                <w:szCs w:val="24"/>
              </w:rPr>
              <w:t>本项目固体废物主要有一般工业固体废物</w:t>
            </w:r>
            <w:r>
              <w:rPr>
                <w:rFonts w:hint="eastAsia" w:ascii="Times New Roman" w:hAnsi="Times New Roman"/>
                <w:kern w:val="0"/>
                <w:sz w:val="24"/>
                <w:szCs w:val="24"/>
              </w:rPr>
              <w:t>、</w:t>
            </w:r>
            <w:r>
              <w:rPr>
                <w:rFonts w:hint="default" w:ascii="Times New Roman" w:hAnsi="Times New Roman"/>
                <w:kern w:val="0"/>
                <w:sz w:val="24"/>
                <w:szCs w:val="24"/>
              </w:rPr>
              <w:t>危险废物和生活垃圾</w:t>
            </w:r>
            <w:r>
              <w:rPr>
                <w:rFonts w:hint="eastAsia" w:ascii="Times New Roman" w:hAnsi="Times New Roman"/>
                <w:kern w:val="0"/>
                <w:sz w:val="24"/>
                <w:szCs w:val="24"/>
              </w:rPr>
              <w:t>。</w:t>
            </w:r>
            <w:r>
              <w:rPr>
                <w:rFonts w:hint="default" w:ascii="Times New Roman" w:hAnsi="Times New Roman"/>
                <w:kern w:val="0"/>
                <w:sz w:val="24"/>
                <w:szCs w:val="24"/>
              </w:rPr>
              <w:t>其中一般工业固体废物包括</w:t>
            </w:r>
            <w:r>
              <w:rPr>
                <w:rFonts w:hint="eastAsia" w:ascii="Times New Roman" w:hAnsi="Times New Roman"/>
                <w:kern w:val="0"/>
                <w:sz w:val="24"/>
                <w:szCs w:val="24"/>
              </w:rPr>
              <w:t>不合格品</w:t>
            </w:r>
            <w:r>
              <w:rPr>
                <w:rFonts w:hint="default" w:ascii="Times New Roman" w:hAnsi="Times New Roman"/>
                <w:kern w:val="0"/>
                <w:sz w:val="24"/>
                <w:szCs w:val="24"/>
              </w:rPr>
              <w:t>、废边角料</w:t>
            </w:r>
            <w:r>
              <w:rPr>
                <w:rFonts w:hint="eastAsia" w:ascii="Times New Roman" w:hAnsi="Times New Roman"/>
                <w:kern w:val="0"/>
                <w:sz w:val="24"/>
                <w:szCs w:val="24"/>
              </w:rPr>
              <w:t>、</w:t>
            </w:r>
            <w:r>
              <w:rPr>
                <w:rFonts w:hint="default" w:ascii="Times New Roman" w:hAnsi="Times New Roman"/>
                <w:kern w:val="0"/>
                <w:sz w:val="24"/>
                <w:szCs w:val="24"/>
              </w:rPr>
              <w:t>废包装材料</w:t>
            </w:r>
            <w:r>
              <w:rPr>
                <w:rFonts w:hint="eastAsia" w:ascii="Times New Roman" w:hAnsi="Times New Roman" w:cs="Times New Roman"/>
                <w:bCs/>
                <w:sz w:val="24"/>
                <w:szCs w:val="24"/>
              </w:rPr>
              <w:t>；危险废物包括废无尘布、废弃样品、</w:t>
            </w:r>
            <w:r>
              <w:rPr>
                <w:rFonts w:hint="eastAsia" w:ascii="Times New Roman" w:hAnsi="Times New Roman" w:cs="Times New Roman"/>
                <w:bCs/>
                <w:sz w:val="24"/>
                <w:szCs w:val="24"/>
                <w:lang w:val="en-US" w:eastAsia="zh-CN"/>
              </w:rPr>
              <w:t>实验废液、</w:t>
            </w:r>
            <w:r>
              <w:rPr>
                <w:rFonts w:hint="eastAsia" w:ascii="Times New Roman" w:hAnsi="Times New Roman" w:cs="Times New Roman"/>
                <w:bCs/>
                <w:sz w:val="24"/>
                <w:szCs w:val="24"/>
              </w:rPr>
              <w:t>废培养</w:t>
            </w:r>
            <w:r>
              <w:rPr>
                <w:rFonts w:hint="eastAsia" w:ascii="Times New Roman" w:hAnsi="Times New Roman" w:cs="Times New Roman"/>
                <w:bCs/>
                <w:sz w:val="24"/>
                <w:szCs w:val="24"/>
                <w:lang w:val="en-US" w:eastAsia="zh-CN"/>
              </w:rPr>
              <w:t>基</w:t>
            </w:r>
            <w:r>
              <w:rPr>
                <w:rFonts w:hint="eastAsia" w:ascii="Times New Roman" w:hAnsi="Times New Roman" w:cs="Times New Roman"/>
                <w:bCs/>
                <w:sz w:val="24"/>
                <w:szCs w:val="24"/>
              </w:rPr>
              <w:t>和</w:t>
            </w:r>
            <w:r>
              <w:rPr>
                <w:rFonts w:hint="eastAsia" w:ascii="Times New Roman" w:hAnsi="Times New Roman" w:eastAsia="宋体" w:cs="Times New Roman"/>
                <w:sz w:val="24"/>
                <w:szCs w:val="24"/>
              </w:rPr>
              <w:t>一次、二次清洗废液</w:t>
            </w:r>
            <w:r>
              <w:rPr>
                <w:rFonts w:hint="eastAsia" w:ascii="Times New Roman" w:hAnsi="Times New Roman"/>
                <w:kern w:val="0"/>
                <w:sz w:val="24"/>
                <w:szCs w:val="24"/>
              </w:rPr>
              <w:t>。</w:t>
            </w:r>
          </w:p>
          <w:p w14:paraId="48E0F86E">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（1）一般工业固体废物</w:t>
            </w:r>
          </w:p>
          <w:p w14:paraId="618CC5E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1）不合格品、废边角料</w:t>
            </w:r>
          </w:p>
          <w:p w14:paraId="362095B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本项目产生的不合格品、废边角料主要为</w:t>
            </w:r>
            <w:r>
              <w:rPr>
                <w:rFonts w:hint="eastAsia" w:ascii="Times New Roman" w:hAnsi="Times New Roman" w:eastAsia="宋体" w:cs="Times New Roman"/>
                <w:sz w:val="24"/>
                <w:szCs w:val="24"/>
                <w:lang w:val="en-US" w:eastAsia="zh-CN"/>
              </w:rPr>
              <w:t>产品</w:t>
            </w:r>
            <w:r>
              <w:rPr>
                <w:rFonts w:hint="eastAsia" w:ascii="Times New Roman" w:hAnsi="Times New Roman" w:eastAsia="宋体" w:cs="Times New Roman"/>
                <w:sz w:val="24"/>
                <w:szCs w:val="24"/>
              </w:rPr>
              <w:t>检验过程</w:t>
            </w:r>
            <w:r>
              <w:rPr>
                <w:rFonts w:hint="eastAsia"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rPr>
              <w:t>产生的，根据企业经验可知，不合格品、边角料产生量按照产品的1%计算，则不合格品、边角料产生量约为3.85t/a，</w:t>
            </w:r>
            <w:r>
              <w:rPr>
                <w:rFonts w:hint="default" w:ascii="Times New Roman" w:hAnsi="Times New Roman" w:eastAsia="宋体"/>
                <w:kern w:val="0"/>
                <w:sz w:val="24"/>
                <w:szCs w:val="20"/>
              </w:rPr>
              <w:t>统一收集后暂存于一般固废暂存间</w:t>
            </w:r>
            <w:r>
              <w:rPr>
                <w:rFonts w:hint="eastAsia" w:ascii="Times New Roman" w:hAnsi="Times New Roman" w:eastAsia="宋体"/>
                <w:kern w:val="0"/>
                <w:sz w:val="24"/>
                <w:szCs w:val="20"/>
              </w:rPr>
              <w:t>中</w:t>
            </w:r>
            <w:r>
              <w:rPr>
                <w:rFonts w:hint="default" w:ascii="Times New Roman" w:hAnsi="Times New Roman" w:eastAsia="宋体"/>
                <w:kern w:val="0"/>
                <w:sz w:val="24"/>
                <w:szCs w:val="20"/>
              </w:rPr>
              <w:t>，</w:t>
            </w:r>
            <w:r>
              <w:rPr>
                <w:rFonts w:hint="eastAsia" w:ascii="Times New Roman" w:hAnsi="Times New Roman" w:eastAsia="宋体"/>
                <w:kern w:val="0"/>
                <w:sz w:val="24"/>
                <w:szCs w:val="20"/>
              </w:rPr>
              <w:t>外售综合利用</w:t>
            </w:r>
            <w:r>
              <w:rPr>
                <w:rFonts w:hint="eastAsia" w:ascii="Times New Roman" w:hAnsi="Times New Roman" w:eastAsia="宋体" w:cs="Times New Roman"/>
                <w:sz w:val="24"/>
                <w:szCs w:val="24"/>
              </w:rPr>
              <w:t>。</w:t>
            </w:r>
          </w:p>
          <w:p w14:paraId="7E2A0E51">
            <w:pPr>
              <w:keepNext w:val="0"/>
              <w:keepLines w:val="0"/>
              <w:suppressLineNumbers w:val="0"/>
              <w:spacing w:before="0" w:beforeAutospacing="0" w:after="0" w:afterAutospacing="0" w:line="360" w:lineRule="auto"/>
              <w:ind w:left="0" w:right="0" w:firstLine="470" w:firstLineChars="196"/>
              <w:rPr>
                <w:rFonts w:hint="default" w:ascii="Times New Roman" w:hAnsi="Times New Roman"/>
                <w:sz w:val="24"/>
                <w:szCs w:val="24"/>
              </w:rPr>
            </w:pPr>
            <w:r>
              <w:rPr>
                <w:rFonts w:hint="eastAsia" w:ascii="Times New Roman" w:hAnsi="Times New Roman"/>
                <w:sz w:val="24"/>
                <w:szCs w:val="24"/>
              </w:rPr>
              <w:t>2</w:t>
            </w:r>
            <w:r>
              <w:rPr>
                <w:rFonts w:hint="default" w:ascii="Times New Roman" w:hAnsi="Times New Roman"/>
                <w:sz w:val="24"/>
                <w:szCs w:val="24"/>
              </w:rPr>
              <w:t>）</w:t>
            </w:r>
            <w:r>
              <w:rPr>
                <w:rFonts w:hint="eastAsia" w:ascii="Times New Roman" w:hAnsi="Times New Roman"/>
                <w:sz w:val="24"/>
                <w:szCs w:val="24"/>
              </w:rPr>
              <w:t>废包装材料</w:t>
            </w:r>
          </w:p>
          <w:p w14:paraId="79170C28">
            <w:pPr>
              <w:keepNext w:val="0"/>
              <w:keepLines w:val="0"/>
              <w:suppressLineNumbers w:val="0"/>
              <w:spacing w:before="0" w:beforeAutospacing="0" w:after="0" w:afterAutospacing="0" w:line="360" w:lineRule="auto"/>
              <w:ind w:left="0" w:right="0" w:firstLine="480"/>
              <w:rPr>
                <w:rFonts w:hint="default" w:ascii="Times New Roman" w:hAnsi="Times New Roman" w:eastAsia="宋体"/>
                <w:kern w:val="0"/>
                <w:sz w:val="24"/>
                <w:szCs w:val="20"/>
              </w:rPr>
            </w:pPr>
            <w:r>
              <w:rPr>
                <w:rFonts w:hint="eastAsia" w:ascii="Times New Roman" w:hAnsi="Times New Roman"/>
                <w:sz w:val="24"/>
                <w:szCs w:val="24"/>
              </w:rPr>
              <w:t>本项目</w:t>
            </w:r>
            <w:r>
              <w:rPr>
                <w:rFonts w:hint="eastAsia" w:ascii="Times New Roman" w:hAnsi="Times New Roman" w:eastAsia="宋体"/>
                <w:kern w:val="0"/>
                <w:sz w:val="24"/>
                <w:szCs w:val="20"/>
              </w:rPr>
              <w:t>产品包装外售过程和原料使用过程会产生废包装材料，废包装材料</w:t>
            </w:r>
            <w:r>
              <w:rPr>
                <w:rFonts w:hint="default" w:ascii="Times New Roman" w:hAnsi="Times New Roman" w:eastAsia="宋体"/>
                <w:kern w:val="0"/>
                <w:sz w:val="24"/>
                <w:szCs w:val="20"/>
              </w:rPr>
              <w:t>产生量为0.2t/a，包装过程中产生的</w:t>
            </w:r>
            <w:r>
              <w:rPr>
                <w:rFonts w:hint="eastAsia" w:ascii="Times New Roman" w:hAnsi="Times New Roman"/>
                <w:sz w:val="24"/>
                <w:szCs w:val="24"/>
              </w:rPr>
              <w:t>废包装材料</w:t>
            </w:r>
            <w:r>
              <w:rPr>
                <w:rFonts w:hint="default" w:ascii="Times New Roman" w:hAnsi="Times New Roman" w:eastAsia="宋体"/>
                <w:kern w:val="0"/>
                <w:sz w:val="24"/>
                <w:szCs w:val="20"/>
              </w:rPr>
              <w:t>统一收集后暂存于一般固废暂存间</w:t>
            </w:r>
            <w:r>
              <w:rPr>
                <w:rFonts w:hint="eastAsia" w:ascii="Times New Roman" w:hAnsi="Times New Roman" w:eastAsia="宋体"/>
                <w:kern w:val="0"/>
                <w:sz w:val="24"/>
                <w:szCs w:val="20"/>
              </w:rPr>
              <w:t>中</w:t>
            </w:r>
            <w:r>
              <w:rPr>
                <w:rFonts w:hint="default" w:ascii="Times New Roman" w:hAnsi="Times New Roman" w:eastAsia="宋体"/>
                <w:kern w:val="0"/>
                <w:sz w:val="24"/>
                <w:szCs w:val="20"/>
              </w:rPr>
              <w:t>，</w:t>
            </w:r>
            <w:r>
              <w:rPr>
                <w:rFonts w:hint="eastAsia" w:ascii="Times New Roman" w:hAnsi="Times New Roman" w:eastAsia="宋体"/>
                <w:kern w:val="0"/>
                <w:sz w:val="24"/>
                <w:szCs w:val="20"/>
              </w:rPr>
              <w:t>外售综合利用</w:t>
            </w:r>
            <w:r>
              <w:rPr>
                <w:rFonts w:hint="default" w:ascii="Times New Roman" w:hAnsi="Times New Roman" w:eastAsia="宋体"/>
                <w:kern w:val="0"/>
                <w:sz w:val="24"/>
                <w:szCs w:val="20"/>
              </w:rPr>
              <w:t>。</w:t>
            </w:r>
          </w:p>
          <w:p w14:paraId="1CBF5FBD">
            <w:pPr>
              <w:keepNext w:val="0"/>
              <w:keepLines w:val="0"/>
              <w:suppressLineNumbers w:val="0"/>
              <w:spacing w:before="0" w:beforeAutospacing="0" w:after="0" w:afterAutospacing="0" w:line="360" w:lineRule="auto"/>
              <w:ind w:left="0" w:right="0" w:firstLine="470" w:firstLineChars="196"/>
              <w:rPr>
                <w:rFonts w:hint="eastAsia" w:ascii="Times New Roman" w:hAnsi="Times New Roman" w:eastAsiaTheme="minorEastAsia"/>
                <w:sz w:val="24"/>
                <w:szCs w:val="24"/>
                <w:lang w:eastAsia="zh-CN"/>
              </w:rPr>
            </w:pPr>
            <w:r>
              <w:rPr>
                <w:rFonts w:hint="eastAsia" w:ascii="Times New Roman" w:hAnsi="Times New Roman"/>
                <w:sz w:val="24"/>
                <w:szCs w:val="24"/>
                <w:lang w:val="en-US" w:eastAsia="zh-CN"/>
              </w:rPr>
              <w:t>3</w:t>
            </w:r>
            <w:r>
              <w:rPr>
                <w:rFonts w:hint="default" w:ascii="Times New Roman" w:hAnsi="Times New Roman"/>
                <w:sz w:val="24"/>
                <w:szCs w:val="24"/>
              </w:rPr>
              <w:t>）</w:t>
            </w:r>
            <w:r>
              <w:rPr>
                <w:rFonts w:hint="eastAsia" w:ascii="Times New Roman" w:hAnsi="Times New Roman"/>
                <w:sz w:val="24"/>
                <w:szCs w:val="24"/>
                <w:lang w:val="en-US" w:eastAsia="zh-CN"/>
              </w:rPr>
              <w:t>废干燥剂</w:t>
            </w:r>
          </w:p>
          <w:p w14:paraId="2F4A29E1">
            <w:pPr>
              <w:keepNext w:val="0"/>
              <w:keepLines w:val="0"/>
              <w:suppressLineNumbers w:val="0"/>
              <w:spacing w:before="0" w:beforeAutospacing="0" w:after="0" w:afterAutospacing="0" w:line="360" w:lineRule="auto"/>
              <w:ind w:left="0" w:right="0" w:firstLine="480"/>
              <w:rPr>
                <w:rFonts w:hint="eastAsia" w:ascii="Times New Roman" w:hAnsi="Times New Roman"/>
                <w:sz w:val="24"/>
                <w:szCs w:val="24"/>
                <w:lang w:val="en-US" w:eastAsia="zh-CN"/>
              </w:rPr>
            </w:pPr>
            <w:r>
              <w:rPr>
                <w:rFonts w:hint="eastAsia" w:ascii="Times New Roman" w:hAnsi="Times New Roman"/>
                <w:sz w:val="24"/>
                <w:szCs w:val="24"/>
              </w:rPr>
              <w:t>本项目</w:t>
            </w:r>
            <w:r>
              <w:rPr>
                <w:rFonts w:hint="eastAsia" w:ascii="Times New Roman" w:hAnsi="Times New Roman"/>
                <w:sz w:val="24"/>
                <w:szCs w:val="24"/>
                <w:lang w:val="en-US" w:eastAsia="zh-CN"/>
              </w:rPr>
              <w:t>冷冻式干燥机通过制冷系统将压缩空气冷却至2～10℃，使其中的水蒸气冷凝成液态水后排出，‌不依赖干燥剂吸水；吸附式干燥机使用硅胶干燥剂吸附水分，干燥剂饱和后需更换，因此会产生废干燥剂。根据厂家提供的数据，吸附式干燥机中干燥剂约1年更换一次，每次更换量为0.1t，由厂家更换并回收。‌‌</w:t>
            </w:r>
          </w:p>
          <w:p w14:paraId="61BD4AF3">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（2）危险废物</w:t>
            </w:r>
          </w:p>
          <w:p w14:paraId="39EC89CA">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1）废无尘布</w:t>
            </w:r>
          </w:p>
          <w:p w14:paraId="00FD7C5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项目部分仪器擦拭需要使用无尘布沾乙醇擦拭，该过程会产生废无尘布，根据建设单位提供资料，废无尘布产生量约为0.05t/a，属于危险废物，危废编号HW49，代码900-041-49，收集后暂存于危险废物暂存间，定期委托有资质的单位处置。</w:t>
            </w:r>
          </w:p>
          <w:p w14:paraId="7AA9500A">
            <w:pPr>
              <w:keepNext w:val="0"/>
              <w:keepLines w:val="0"/>
              <w:suppressLineNumbers w:val="0"/>
              <w:spacing w:before="0" w:beforeAutospacing="0" w:after="0" w:afterAutospacing="0" w:line="360" w:lineRule="auto"/>
              <w:ind w:left="0" w:right="0" w:firstLine="470" w:firstLineChars="196"/>
              <w:rPr>
                <w:rFonts w:hint="default" w:ascii="Times New Roman" w:hAnsi="Times New Roman"/>
                <w:sz w:val="24"/>
                <w:szCs w:val="24"/>
              </w:rPr>
            </w:pPr>
            <w:r>
              <w:rPr>
                <w:rFonts w:hint="eastAsia" w:ascii="Times New Roman" w:hAnsi="Times New Roman"/>
                <w:sz w:val="24"/>
                <w:szCs w:val="24"/>
              </w:rPr>
              <w:t>2）废弃样品</w:t>
            </w:r>
          </w:p>
          <w:p w14:paraId="3DC243BE">
            <w:pPr>
              <w:keepNext w:val="0"/>
              <w:keepLines w:val="0"/>
              <w:suppressLineNumbers w:val="0"/>
              <w:spacing w:before="0" w:beforeAutospacing="0" w:after="0" w:afterAutospacing="0" w:line="360" w:lineRule="auto"/>
              <w:ind w:left="0" w:right="0" w:firstLine="470" w:firstLineChars="196"/>
              <w:rPr>
                <w:rFonts w:hint="eastAsia" w:ascii="Times New Roman" w:hAnsi="Times New Roman"/>
                <w:sz w:val="24"/>
                <w:szCs w:val="24"/>
              </w:rPr>
            </w:pPr>
            <w:r>
              <w:rPr>
                <w:rFonts w:hint="default" w:ascii="Times New Roman" w:hAnsi="Times New Roman"/>
                <w:sz w:val="24"/>
                <w:szCs w:val="24"/>
              </w:rPr>
              <w:t>根据项目实际运行情况，检测过程中产生的</w:t>
            </w:r>
            <w:r>
              <w:rPr>
                <w:rFonts w:hint="eastAsia" w:ascii="Times New Roman" w:hAnsi="Times New Roman"/>
                <w:sz w:val="24"/>
                <w:szCs w:val="24"/>
              </w:rPr>
              <w:t>废弃样品</w:t>
            </w:r>
            <w:r>
              <w:rPr>
                <w:rFonts w:hint="default" w:ascii="Times New Roman" w:hAnsi="Times New Roman"/>
                <w:sz w:val="24"/>
                <w:szCs w:val="24"/>
              </w:rPr>
              <w:t>共计约0.8t/a，</w:t>
            </w:r>
            <w:r>
              <w:rPr>
                <w:rFonts w:hint="eastAsia" w:ascii="Times New Roman" w:hAnsi="Times New Roman"/>
                <w:sz w:val="24"/>
                <w:szCs w:val="24"/>
              </w:rPr>
              <w:t>属于危险废物，危废编号HW49，代码900-041-49，收集后暂存于危险废物暂存间，定期委托有资质的单位处置。</w:t>
            </w:r>
          </w:p>
          <w:p w14:paraId="73ED0331">
            <w:pPr>
              <w:keepNext w:val="0"/>
              <w:keepLines w:val="0"/>
              <w:suppressLineNumbers w:val="0"/>
              <w:spacing w:before="0" w:beforeAutospacing="0" w:after="0" w:afterAutospacing="0" w:line="360" w:lineRule="auto"/>
              <w:ind w:left="0" w:right="0" w:firstLine="470" w:firstLineChars="196"/>
              <w:rPr>
                <w:rFonts w:hint="default" w:ascii="Times New Roman" w:hAnsi="Times New Roman" w:eastAsiaTheme="minorEastAsia"/>
                <w:sz w:val="24"/>
                <w:szCs w:val="24"/>
                <w:lang w:val="en-US" w:eastAsia="zh-CN"/>
              </w:rPr>
            </w:pPr>
            <w:r>
              <w:rPr>
                <w:rFonts w:hint="eastAsia" w:ascii="Times New Roman" w:hAnsi="Times New Roman"/>
                <w:sz w:val="24"/>
                <w:szCs w:val="24"/>
                <w:lang w:val="en-US" w:eastAsia="zh-CN"/>
              </w:rPr>
              <w:t>3</w:t>
            </w:r>
            <w:r>
              <w:rPr>
                <w:rFonts w:hint="eastAsia" w:ascii="Times New Roman" w:hAnsi="Times New Roman"/>
                <w:sz w:val="24"/>
                <w:szCs w:val="24"/>
              </w:rPr>
              <w:t>）</w:t>
            </w:r>
            <w:r>
              <w:rPr>
                <w:rFonts w:hint="eastAsia" w:ascii="Times New Roman" w:hAnsi="Times New Roman"/>
                <w:sz w:val="24"/>
                <w:szCs w:val="24"/>
                <w:lang w:val="en-US" w:eastAsia="zh-CN"/>
              </w:rPr>
              <w:t>实验废液</w:t>
            </w:r>
          </w:p>
          <w:p w14:paraId="5C3FBAF1">
            <w:pPr>
              <w:keepNext w:val="0"/>
              <w:keepLines w:val="0"/>
              <w:suppressLineNumbers w:val="0"/>
              <w:spacing w:before="0" w:beforeAutospacing="0" w:after="0" w:afterAutospacing="0" w:line="360" w:lineRule="auto"/>
              <w:ind w:left="0" w:right="0" w:firstLine="470" w:firstLineChars="196"/>
              <w:rPr>
                <w:rFonts w:hint="eastAsia" w:ascii="Times New Roman" w:hAnsi="Times New Roman"/>
                <w:sz w:val="24"/>
                <w:szCs w:val="24"/>
              </w:rPr>
            </w:pPr>
            <w:r>
              <w:rPr>
                <w:rFonts w:hint="eastAsia" w:ascii="Times New Roman" w:hAnsi="Times New Roman"/>
                <w:sz w:val="24"/>
                <w:szCs w:val="24"/>
                <w:lang w:val="en-US" w:eastAsia="zh-CN"/>
              </w:rPr>
              <w:t>本项目样品前处理过程产生的实验废液属于危险废物，根据项目水平衡可得，本项目实验废液产生量为1.5t/a，</w:t>
            </w:r>
            <w:r>
              <w:rPr>
                <w:rFonts w:hint="eastAsia" w:ascii="Times New Roman" w:hAnsi="Times New Roman"/>
                <w:sz w:val="24"/>
                <w:szCs w:val="24"/>
              </w:rPr>
              <w:t>危废编号HW49，代码900-04</w:t>
            </w:r>
            <w:r>
              <w:rPr>
                <w:rFonts w:hint="eastAsia" w:ascii="Times New Roman" w:hAnsi="Times New Roman"/>
                <w:sz w:val="24"/>
                <w:szCs w:val="24"/>
                <w:lang w:val="en-US" w:eastAsia="zh-CN"/>
              </w:rPr>
              <w:t>7</w:t>
            </w:r>
            <w:r>
              <w:rPr>
                <w:rFonts w:hint="eastAsia" w:ascii="Times New Roman" w:hAnsi="Times New Roman"/>
                <w:sz w:val="24"/>
                <w:szCs w:val="24"/>
              </w:rPr>
              <w:t>-49</w:t>
            </w:r>
            <w:r>
              <w:rPr>
                <w:rFonts w:hint="eastAsia" w:ascii="Times New Roman" w:hAnsi="Times New Roman"/>
                <w:sz w:val="24"/>
                <w:szCs w:val="24"/>
                <w:lang w:eastAsia="zh-CN"/>
              </w:rPr>
              <w:t>。</w:t>
            </w:r>
            <w:r>
              <w:rPr>
                <w:rFonts w:hint="eastAsia" w:ascii="Times New Roman" w:hAnsi="Times New Roman"/>
                <w:sz w:val="24"/>
                <w:szCs w:val="24"/>
              </w:rPr>
              <w:t>收集后暂存于危险废物暂存间，定期委托有资质的单位处置。</w:t>
            </w:r>
          </w:p>
          <w:p w14:paraId="1E73D118">
            <w:pPr>
              <w:keepNext w:val="0"/>
              <w:keepLines w:val="0"/>
              <w:suppressLineNumbers w:val="0"/>
              <w:spacing w:before="0" w:beforeAutospacing="0" w:after="0" w:afterAutospacing="0" w:line="360" w:lineRule="auto"/>
              <w:ind w:left="0" w:right="0" w:firstLine="470" w:firstLineChars="196"/>
              <w:rPr>
                <w:rFonts w:hint="default" w:ascii="Times New Roman" w:hAnsi="Times New Roman" w:eastAsiaTheme="minorEastAsia"/>
                <w:sz w:val="24"/>
                <w:szCs w:val="24"/>
                <w:lang w:val="en-US" w:eastAsia="zh-CN"/>
              </w:rPr>
            </w:pPr>
            <w:r>
              <w:rPr>
                <w:rFonts w:hint="eastAsia" w:ascii="Times New Roman" w:hAnsi="Times New Roman"/>
                <w:sz w:val="24"/>
                <w:szCs w:val="24"/>
                <w:lang w:val="en-US" w:eastAsia="zh-CN"/>
              </w:rPr>
              <w:t>4</w:t>
            </w:r>
            <w:r>
              <w:rPr>
                <w:rFonts w:hint="eastAsia" w:ascii="Times New Roman" w:hAnsi="Times New Roman"/>
                <w:sz w:val="24"/>
                <w:szCs w:val="24"/>
              </w:rPr>
              <w:t>）</w:t>
            </w:r>
            <w:r>
              <w:rPr>
                <w:rFonts w:hint="eastAsia" w:ascii="Times New Roman" w:hAnsi="Times New Roman"/>
                <w:sz w:val="24"/>
                <w:szCs w:val="24"/>
                <w:lang w:val="en-US" w:eastAsia="zh-CN"/>
              </w:rPr>
              <w:t>废培养基</w:t>
            </w:r>
          </w:p>
          <w:p w14:paraId="21F0CA12">
            <w:pPr>
              <w:keepNext w:val="0"/>
              <w:keepLines w:val="0"/>
              <w:suppressLineNumbers w:val="0"/>
              <w:spacing w:before="0" w:beforeAutospacing="0" w:after="0" w:afterAutospacing="0" w:line="360" w:lineRule="auto"/>
              <w:ind w:left="0" w:right="0" w:firstLine="470" w:firstLineChars="196"/>
              <w:rPr>
                <w:rFonts w:hint="eastAsia" w:ascii="Times New Roman" w:hAnsi="Times New Roman"/>
                <w:sz w:val="24"/>
                <w:szCs w:val="24"/>
              </w:rPr>
            </w:pPr>
            <w:r>
              <w:rPr>
                <w:rFonts w:hint="default" w:ascii="Times New Roman" w:hAnsi="Times New Roman"/>
                <w:sz w:val="24"/>
                <w:szCs w:val="24"/>
              </w:rPr>
              <w:t>根据项目实际运行情况，项目在进行样品的微生物指标检验时，会产生少量的废培养基，约为</w:t>
            </w:r>
            <w:r>
              <w:rPr>
                <w:rFonts w:hint="eastAsia" w:ascii="Times New Roman" w:hAnsi="Times New Roman"/>
                <w:sz w:val="24"/>
                <w:szCs w:val="24"/>
                <w:lang w:val="en-US" w:eastAsia="zh-CN"/>
              </w:rPr>
              <w:t>0.08</w:t>
            </w:r>
            <w:r>
              <w:rPr>
                <w:rFonts w:hint="default" w:ascii="Times New Roman" w:hAnsi="Times New Roman"/>
                <w:sz w:val="24"/>
                <w:szCs w:val="24"/>
              </w:rPr>
              <w:t>kg/d</w:t>
            </w:r>
            <w:r>
              <w:rPr>
                <w:rFonts w:hint="eastAsia" w:ascii="Times New Roman" w:hAnsi="Times New Roman"/>
                <w:sz w:val="24"/>
                <w:szCs w:val="24"/>
                <w:lang w:eastAsia="zh-CN"/>
              </w:rPr>
              <w:t>（</w:t>
            </w:r>
            <w:r>
              <w:rPr>
                <w:rFonts w:hint="default" w:ascii="Times New Roman" w:hAnsi="Times New Roman"/>
                <w:sz w:val="24"/>
                <w:szCs w:val="24"/>
              </w:rPr>
              <w:t>0.</w:t>
            </w:r>
            <w:r>
              <w:rPr>
                <w:rFonts w:hint="eastAsia" w:ascii="Times New Roman" w:hAnsi="Times New Roman"/>
                <w:sz w:val="24"/>
                <w:szCs w:val="24"/>
                <w:lang w:val="en-US" w:eastAsia="zh-CN"/>
              </w:rPr>
              <w:t>025</w:t>
            </w:r>
            <w:r>
              <w:rPr>
                <w:rFonts w:hint="default" w:ascii="Times New Roman" w:hAnsi="Times New Roman"/>
                <w:sz w:val="24"/>
                <w:szCs w:val="24"/>
              </w:rPr>
              <w:t>t/a</w:t>
            </w:r>
            <w:r>
              <w:rPr>
                <w:rFonts w:hint="eastAsia" w:ascii="Times New Roman" w:hAnsi="Times New Roman"/>
                <w:sz w:val="24"/>
                <w:szCs w:val="24"/>
                <w:lang w:eastAsia="zh-CN"/>
              </w:rPr>
              <w:t>）</w:t>
            </w:r>
            <w:r>
              <w:rPr>
                <w:rFonts w:hint="default" w:ascii="Times New Roman" w:hAnsi="Times New Roman"/>
                <w:sz w:val="24"/>
                <w:szCs w:val="24"/>
              </w:rPr>
              <w:t>，</w:t>
            </w:r>
            <w:r>
              <w:rPr>
                <w:rFonts w:hint="eastAsia" w:ascii="Times New Roman" w:hAnsi="Times New Roman"/>
                <w:sz w:val="24"/>
                <w:szCs w:val="24"/>
              </w:rPr>
              <w:t>属于危险废物，危废编号HW49，代码900-04</w:t>
            </w:r>
            <w:r>
              <w:rPr>
                <w:rFonts w:hint="eastAsia" w:ascii="Times New Roman" w:hAnsi="Times New Roman"/>
                <w:sz w:val="24"/>
                <w:szCs w:val="24"/>
                <w:lang w:val="en-US" w:eastAsia="zh-CN"/>
              </w:rPr>
              <w:t>7</w:t>
            </w:r>
            <w:r>
              <w:rPr>
                <w:rFonts w:hint="eastAsia" w:ascii="Times New Roman" w:hAnsi="Times New Roman"/>
                <w:sz w:val="24"/>
                <w:szCs w:val="24"/>
              </w:rPr>
              <w:t>-49，收集后暂存于危险废物暂存间，定期委托有资质的单位处置。</w:t>
            </w:r>
          </w:p>
          <w:p w14:paraId="373EA83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）一次、二次清洗废液</w:t>
            </w:r>
          </w:p>
          <w:p w14:paraId="6059F361">
            <w:pPr>
              <w:pStyle w:val="48"/>
              <w:keepNext w:val="0"/>
              <w:keepLines w:val="0"/>
              <w:suppressLineNumbers w:val="0"/>
              <w:spacing w:before="0" w:beforeAutospacing="0" w:after="0" w:afterAutospacing="0" w:line="360" w:lineRule="auto"/>
              <w:ind w:left="0" w:right="0" w:firstLine="480" w:firstLineChars="200"/>
              <w:jc w:val="both"/>
              <w:rPr>
                <w:rFonts w:hint="default" w:ascii="Times New Roman" w:hAnsi="宋体"/>
                <w:bCs/>
                <w:snapToGrid w:val="0"/>
                <w:color w:val="auto"/>
                <w:kern w:val="2"/>
                <w:szCs w:val="21"/>
              </w:rPr>
            </w:pPr>
            <w:r>
              <w:rPr>
                <w:rFonts w:hint="eastAsia" w:ascii="Times New Roman" w:hAnsi="宋体"/>
                <w:bCs/>
                <w:snapToGrid w:val="0"/>
                <w:color w:val="auto"/>
                <w:kern w:val="2"/>
                <w:szCs w:val="21"/>
                <w:lang w:val="en-US" w:eastAsia="zh-CN"/>
              </w:rPr>
              <w:t>项目产品质检完成后对实验器皿使用自来水进行一次、二次清洗，</w:t>
            </w:r>
            <w:r>
              <w:rPr>
                <w:rFonts w:hint="eastAsia" w:ascii="Times New Roman" w:hAnsi="宋体" w:eastAsia="宋体" w:cs="Times New Roman"/>
                <w:bCs/>
                <w:kern w:val="2"/>
                <w:sz w:val="24"/>
                <w:szCs w:val="22"/>
                <w:lang w:val="en-US" w:eastAsia="zh-CN" w:bidi="ar"/>
              </w:rPr>
              <w:t>根据建设单位提供的</w:t>
            </w:r>
            <w:r>
              <w:rPr>
                <w:rFonts w:hint="eastAsia" w:ascii="Times New Roman" w:hAnsi="宋体" w:cs="Times New Roman"/>
                <w:bCs/>
                <w:kern w:val="2"/>
                <w:sz w:val="24"/>
                <w:szCs w:val="22"/>
                <w:lang w:val="en-US" w:eastAsia="zh-CN" w:bidi="ar"/>
              </w:rPr>
              <w:t>经验系数</w:t>
            </w:r>
            <w:r>
              <w:rPr>
                <w:rFonts w:hint="eastAsia" w:ascii="Times New Roman" w:hAnsi="宋体" w:eastAsia="宋体" w:cs="Times New Roman"/>
                <w:bCs/>
                <w:kern w:val="2"/>
                <w:sz w:val="24"/>
                <w:szCs w:val="22"/>
                <w:lang w:val="en-US" w:eastAsia="zh-CN" w:bidi="ar"/>
              </w:rPr>
              <w:t>和</w:t>
            </w:r>
            <w:r>
              <w:rPr>
                <w:rFonts w:hint="eastAsia" w:ascii="Times New Roman" w:hAnsi="宋体" w:cs="Times New Roman"/>
                <w:bCs/>
                <w:kern w:val="2"/>
                <w:sz w:val="24"/>
                <w:szCs w:val="22"/>
                <w:lang w:val="en-US" w:eastAsia="zh-CN" w:bidi="ar"/>
              </w:rPr>
              <w:t>质检</w:t>
            </w:r>
            <w:r>
              <w:rPr>
                <w:rFonts w:hint="eastAsia" w:ascii="Times New Roman" w:hAnsi="宋体" w:eastAsia="宋体" w:cs="Times New Roman"/>
                <w:bCs/>
                <w:kern w:val="2"/>
                <w:sz w:val="24"/>
                <w:szCs w:val="22"/>
                <w:lang w:val="en-US" w:eastAsia="zh-CN" w:bidi="ar"/>
              </w:rPr>
              <w:t>室用水、清洗特点，本项目</w:t>
            </w:r>
            <w:r>
              <w:rPr>
                <w:rFonts w:hint="eastAsia" w:ascii="Times New Roman" w:hAnsi="宋体"/>
                <w:bCs/>
                <w:snapToGrid w:val="0"/>
                <w:color w:val="auto"/>
                <w:kern w:val="2"/>
                <w:szCs w:val="21"/>
                <w:lang w:val="en-US" w:eastAsia="zh-CN"/>
              </w:rPr>
              <w:t>一次、二次清洗废液</w:t>
            </w:r>
            <w:r>
              <w:rPr>
                <w:rFonts w:hint="default" w:ascii="Times New Roman" w:hAnsi="宋体"/>
                <w:bCs/>
                <w:snapToGrid w:val="0"/>
                <w:color w:val="auto"/>
                <w:kern w:val="2"/>
                <w:szCs w:val="21"/>
              </w:rPr>
              <w:t>产生量为</w:t>
            </w:r>
            <w:r>
              <w:rPr>
                <w:rFonts w:hint="eastAsia" w:ascii="Times New Roman"/>
                <w:bCs/>
                <w:snapToGrid w:val="0"/>
                <w:color w:val="auto"/>
                <w:kern w:val="2"/>
                <w:szCs w:val="21"/>
              </w:rPr>
              <w:t>0.04</w:t>
            </w:r>
            <w:r>
              <w:rPr>
                <w:rFonts w:hint="default" w:ascii="Times New Roman"/>
                <w:bCs/>
                <w:snapToGrid w:val="0"/>
                <w:color w:val="auto"/>
                <w:kern w:val="2"/>
                <w:szCs w:val="21"/>
              </w:rPr>
              <w:t>t/d</w:t>
            </w:r>
            <w:r>
              <w:rPr>
                <w:rFonts w:hint="default" w:ascii="Times New Roman" w:hAnsi="宋体"/>
                <w:bCs/>
                <w:snapToGrid w:val="0"/>
                <w:color w:val="auto"/>
                <w:kern w:val="2"/>
                <w:szCs w:val="21"/>
              </w:rPr>
              <w:t>（</w:t>
            </w:r>
            <w:r>
              <w:rPr>
                <w:rFonts w:hint="eastAsia" w:ascii="Times New Roman"/>
                <w:bCs/>
                <w:snapToGrid w:val="0"/>
                <w:color w:val="auto"/>
                <w:kern w:val="2"/>
                <w:szCs w:val="21"/>
              </w:rPr>
              <w:t>12</w:t>
            </w:r>
            <w:r>
              <w:rPr>
                <w:rFonts w:hint="default" w:ascii="Times New Roman"/>
                <w:bCs/>
                <w:snapToGrid w:val="0"/>
                <w:color w:val="auto"/>
                <w:kern w:val="2"/>
                <w:szCs w:val="21"/>
              </w:rPr>
              <w:t>t/a</w:t>
            </w:r>
            <w:r>
              <w:rPr>
                <w:rFonts w:hint="default" w:ascii="Times New Roman" w:hAnsi="宋体"/>
                <w:bCs/>
                <w:snapToGrid w:val="0"/>
                <w:color w:val="auto"/>
                <w:kern w:val="2"/>
                <w:szCs w:val="21"/>
              </w:rPr>
              <w:t>）</w:t>
            </w:r>
            <w:r>
              <w:rPr>
                <w:rFonts w:hint="eastAsia" w:ascii="Times New Roman" w:hAnsi="宋体"/>
                <w:bCs/>
                <w:snapToGrid w:val="0"/>
                <w:color w:val="auto"/>
                <w:kern w:val="2"/>
                <w:szCs w:val="21"/>
              </w:rPr>
              <w:t>，</w:t>
            </w:r>
            <w:r>
              <w:rPr>
                <w:rFonts w:hint="eastAsia" w:ascii="Times New Roman"/>
                <w:color w:val="auto"/>
                <w:kern w:val="2"/>
              </w:rPr>
              <w:t>属于危险废物，危废编号HW49，代码900-047-49，</w:t>
            </w:r>
            <w:r>
              <w:rPr>
                <w:rFonts w:hint="eastAsia" w:ascii="Times New Roman" w:hAnsi="宋体"/>
                <w:bCs/>
                <w:snapToGrid w:val="0"/>
                <w:color w:val="auto"/>
                <w:kern w:val="2"/>
                <w:szCs w:val="21"/>
              </w:rPr>
              <w:t>用危废桶收集后暂存于危险废物暂存间，定期委托有资质的单位处置。</w:t>
            </w:r>
          </w:p>
          <w:p w14:paraId="4AC57DB8">
            <w:pPr>
              <w:keepNext w:val="0"/>
              <w:keepLines w:val="0"/>
              <w:suppressLineNumbers w:val="0"/>
              <w:spacing w:before="0" w:beforeAutospacing="0" w:after="0" w:afterAutospacing="0" w:line="360" w:lineRule="auto"/>
              <w:ind w:left="0" w:right="0" w:firstLine="472" w:firstLineChars="196"/>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（3）生活垃圾</w:t>
            </w:r>
          </w:p>
          <w:p w14:paraId="30212860">
            <w:pPr>
              <w:keepNext w:val="0"/>
              <w:keepLines w:val="0"/>
              <w:suppressLineNumbers w:val="0"/>
              <w:spacing w:before="0" w:beforeAutospacing="0" w:after="0" w:afterAutospacing="0" w:line="360" w:lineRule="auto"/>
              <w:ind w:left="0" w:right="0" w:firstLine="470" w:firstLineChars="19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本项目劳动定员</w:t>
            </w:r>
            <w:r>
              <w:rPr>
                <w:rFonts w:hint="eastAsia" w:ascii="Times New Roman" w:hAnsi="Times New Roman" w:eastAsia="宋体" w:cs="Times New Roman"/>
                <w:sz w:val="24"/>
                <w:szCs w:val="24"/>
              </w:rPr>
              <w:t>150</w:t>
            </w:r>
            <w:r>
              <w:rPr>
                <w:rFonts w:hint="default" w:ascii="Times New Roman" w:hAnsi="Times New Roman" w:eastAsia="宋体" w:cs="Times New Roman"/>
                <w:sz w:val="24"/>
                <w:szCs w:val="24"/>
              </w:rPr>
              <w:t>人，</w:t>
            </w:r>
            <w:r>
              <w:rPr>
                <w:rFonts w:hint="default" w:ascii="Times New Roman" w:hAnsi="Times New Roman" w:cs="Times New Roman"/>
                <w:kern w:val="0"/>
                <w:sz w:val="24"/>
                <w:szCs w:val="24"/>
              </w:rPr>
              <w:t>员工每人每日排放生活垃圾按0.5kg计，</w:t>
            </w:r>
            <w:r>
              <w:rPr>
                <w:rFonts w:hint="default" w:ascii="Times New Roman" w:hAnsi="Times New Roman" w:eastAsia="宋体" w:cs="Times New Roman"/>
                <w:sz w:val="24"/>
                <w:szCs w:val="24"/>
              </w:rPr>
              <w:t>则生活垃圾产生</w:t>
            </w:r>
            <w:r>
              <w:rPr>
                <w:rFonts w:hint="eastAsia" w:ascii="Times New Roman" w:hAnsi="Times New Roman" w:eastAsia="宋体" w:cs="Times New Roman"/>
                <w:sz w:val="24"/>
                <w:szCs w:val="24"/>
              </w:rPr>
              <w:t>量为2.25t/a，集中收集后由当地环卫部门统一清运。</w:t>
            </w:r>
          </w:p>
          <w:p w14:paraId="725C9F8E">
            <w:pPr>
              <w:keepNext w:val="0"/>
              <w:keepLines w:val="0"/>
              <w:suppressLineNumbers w:val="0"/>
              <w:spacing w:before="0" w:beforeAutospacing="0" w:after="0" w:afterAutospacing="0" w:line="360" w:lineRule="auto"/>
              <w:ind w:left="0" w:right="0" w:firstLine="470" w:firstLineChars="196"/>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本项目固体废物产生情况见下表。</w:t>
            </w:r>
          </w:p>
          <w:p w14:paraId="2990074E">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rPr>
              <w:t>4-7  固体废物汇总表</w:t>
            </w:r>
          </w:p>
          <w:tbl>
            <w:tblPr>
              <w:tblStyle w:val="17"/>
              <w:tblW w:w="761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7"/>
              <w:gridCol w:w="1049"/>
              <w:gridCol w:w="1259"/>
              <w:gridCol w:w="925"/>
              <w:gridCol w:w="1038"/>
              <w:gridCol w:w="825"/>
              <w:gridCol w:w="868"/>
              <w:gridCol w:w="457"/>
              <w:gridCol w:w="766"/>
            </w:tblGrid>
            <w:tr w14:paraId="0C401B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5AA99CE0">
                  <w:pPr>
                    <w:pStyle w:val="32"/>
                    <w:keepNext w:val="0"/>
                    <w:keepLines w:val="0"/>
                    <w:suppressLineNumbers w:val="0"/>
                    <w:spacing w:before="0" w:beforeAutospacing="0" w:after="0" w:afterAutospacing="0"/>
                    <w:ind w:left="0" w:right="0"/>
                    <w:rPr>
                      <w:rFonts w:hint="default"/>
                      <w:b/>
                    </w:rPr>
                  </w:pPr>
                  <w:r>
                    <w:rPr>
                      <w:rFonts w:hint="default"/>
                      <w:b/>
                    </w:rPr>
                    <w:t>序号</w:t>
                  </w:r>
                </w:p>
              </w:tc>
              <w:tc>
                <w:tcPr>
                  <w:tcW w:w="1049" w:type="dxa"/>
                  <w:vAlign w:val="center"/>
                </w:tcPr>
                <w:p w14:paraId="4E944038">
                  <w:pPr>
                    <w:pStyle w:val="32"/>
                    <w:keepNext w:val="0"/>
                    <w:keepLines w:val="0"/>
                    <w:suppressLineNumbers w:val="0"/>
                    <w:spacing w:before="0" w:beforeAutospacing="0" w:after="0" w:afterAutospacing="0"/>
                    <w:ind w:left="0" w:right="0"/>
                    <w:rPr>
                      <w:rFonts w:hint="default"/>
                      <w:b/>
                    </w:rPr>
                  </w:pPr>
                  <w:r>
                    <w:rPr>
                      <w:rFonts w:hint="default"/>
                      <w:b/>
                    </w:rPr>
                    <w:t>类别</w:t>
                  </w:r>
                </w:p>
              </w:tc>
              <w:tc>
                <w:tcPr>
                  <w:tcW w:w="1259" w:type="dxa"/>
                  <w:vAlign w:val="center"/>
                </w:tcPr>
                <w:p w14:paraId="4AB4CAE2">
                  <w:pPr>
                    <w:pStyle w:val="32"/>
                    <w:keepNext w:val="0"/>
                    <w:keepLines w:val="0"/>
                    <w:suppressLineNumbers w:val="0"/>
                    <w:spacing w:before="0" w:beforeAutospacing="0" w:after="0" w:afterAutospacing="0"/>
                    <w:ind w:left="0" w:right="0"/>
                    <w:rPr>
                      <w:rFonts w:hint="default"/>
                      <w:b/>
                    </w:rPr>
                  </w:pPr>
                  <w:r>
                    <w:rPr>
                      <w:rFonts w:hint="default"/>
                      <w:b/>
                    </w:rPr>
                    <w:t>分类编号及代码</w:t>
                  </w:r>
                </w:p>
              </w:tc>
              <w:tc>
                <w:tcPr>
                  <w:tcW w:w="925" w:type="dxa"/>
                  <w:vAlign w:val="center"/>
                </w:tcPr>
                <w:p w14:paraId="32EFEC63">
                  <w:pPr>
                    <w:pStyle w:val="32"/>
                    <w:keepNext w:val="0"/>
                    <w:keepLines w:val="0"/>
                    <w:suppressLineNumbers w:val="0"/>
                    <w:spacing w:before="0" w:beforeAutospacing="0" w:after="0" w:afterAutospacing="0"/>
                    <w:ind w:left="0" w:right="0"/>
                    <w:rPr>
                      <w:rFonts w:hint="default"/>
                      <w:b/>
                    </w:rPr>
                  </w:pPr>
                  <w:r>
                    <w:rPr>
                      <w:rFonts w:hint="default"/>
                      <w:b/>
                    </w:rPr>
                    <w:t>产生量（t/a）</w:t>
                  </w:r>
                </w:p>
              </w:tc>
              <w:tc>
                <w:tcPr>
                  <w:tcW w:w="1038" w:type="dxa"/>
                  <w:vAlign w:val="center"/>
                </w:tcPr>
                <w:p w14:paraId="57BA82A9">
                  <w:pPr>
                    <w:pStyle w:val="32"/>
                    <w:keepNext w:val="0"/>
                    <w:keepLines w:val="0"/>
                    <w:suppressLineNumbers w:val="0"/>
                    <w:spacing w:before="0" w:beforeAutospacing="0" w:after="0" w:afterAutospacing="0"/>
                    <w:ind w:left="0" w:right="0"/>
                    <w:rPr>
                      <w:rFonts w:hint="default"/>
                      <w:b/>
                    </w:rPr>
                  </w:pPr>
                  <w:r>
                    <w:rPr>
                      <w:rFonts w:hint="default"/>
                      <w:b/>
                    </w:rPr>
                    <w:t>产生工序</w:t>
                  </w:r>
                </w:p>
              </w:tc>
              <w:tc>
                <w:tcPr>
                  <w:tcW w:w="825" w:type="dxa"/>
                  <w:vAlign w:val="center"/>
                </w:tcPr>
                <w:p w14:paraId="74679B89">
                  <w:pPr>
                    <w:pStyle w:val="32"/>
                    <w:keepNext w:val="0"/>
                    <w:keepLines w:val="0"/>
                    <w:suppressLineNumbers w:val="0"/>
                    <w:spacing w:before="0" w:beforeAutospacing="0" w:after="0" w:afterAutospacing="0"/>
                    <w:ind w:left="0" w:right="0"/>
                    <w:rPr>
                      <w:rFonts w:hint="default"/>
                      <w:b/>
                    </w:rPr>
                  </w:pPr>
                  <w:r>
                    <w:rPr>
                      <w:rFonts w:hint="default"/>
                      <w:b/>
                    </w:rPr>
                    <w:t>形态</w:t>
                  </w:r>
                </w:p>
              </w:tc>
              <w:tc>
                <w:tcPr>
                  <w:tcW w:w="868" w:type="dxa"/>
                  <w:vAlign w:val="center"/>
                </w:tcPr>
                <w:p w14:paraId="43C68ED0">
                  <w:pPr>
                    <w:pStyle w:val="32"/>
                    <w:keepNext w:val="0"/>
                    <w:keepLines w:val="0"/>
                    <w:suppressLineNumbers w:val="0"/>
                    <w:spacing w:before="0" w:beforeAutospacing="0" w:after="0" w:afterAutospacing="0"/>
                    <w:ind w:left="0" w:right="0"/>
                    <w:rPr>
                      <w:rFonts w:hint="default"/>
                      <w:b/>
                    </w:rPr>
                  </w:pPr>
                  <w:r>
                    <w:rPr>
                      <w:rFonts w:hint="default"/>
                      <w:b/>
                    </w:rPr>
                    <w:t>主要成分</w:t>
                  </w:r>
                </w:p>
              </w:tc>
              <w:tc>
                <w:tcPr>
                  <w:tcW w:w="457" w:type="dxa"/>
                  <w:vAlign w:val="center"/>
                </w:tcPr>
                <w:p w14:paraId="0FBD5680">
                  <w:pPr>
                    <w:pStyle w:val="32"/>
                    <w:keepNext w:val="0"/>
                    <w:keepLines w:val="0"/>
                    <w:suppressLineNumbers w:val="0"/>
                    <w:spacing w:before="0" w:beforeAutospacing="0" w:after="0" w:afterAutospacing="0"/>
                    <w:ind w:left="0" w:right="0"/>
                    <w:rPr>
                      <w:rFonts w:hint="default"/>
                      <w:b/>
                    </w:rPr>
                  </w:pPr>
                  <w:r>
                    <w:rPr>
                      <w:rFonts w:hint="default"/>
                      <w:b/>
                    </w:rPr>
                    <w:t>性质</w:t>
                  </w:r>
                </w:p>
              </w:tc>
              <w:tc>
                <w:tcPr>
                  <w:tcW w:w="766" w:type="dxa"/>
                  <w:vAlign w:val="center"/>
                </w:tcPr>
                <w:p w14:paraId="6EC039F9">
                  <w:pPr>
                    <w:pStyle w:val="32"/>
                    <w:keepNext w:val="0"/>
                    <w:keepLines w:val="0"/>
                    <w:suppressLineNumbers w:val="0"/>
                    <w:spacing w:before="0" w:beforeAutospacing="0" w:after="0" w:afterAutospacing="0"/>
                    <w:ind w:left="0" w:right="0"/>
                    <w:rPr>
                      <w:rFonts w:hint="default"/>
                      <w:b/>
                    </w:rPr>
                  </w:pPr>
                  <w:r>
                    <w:rPr>
                      <w:rFonts w:hint="default"/>
                      <w:b/>
                    </w:rPr>
                    <w:t>处理方式</w:t>
                  </w:r>
                </w:p>
              </w:tc>
            </w:tr>
            <w:tr w14:paraId="165448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01FE8C8B">
                  <w:pPr>
                    <w:pStyle w:val="32"/>
                    <w:keepNext w:val="0"/>
                    <w:keepLines w:val="0"/>
                    <w:suppressLineNumbers w:val="0"/>
                    <w:spacing w:before="0" w:beforeAutospacing="0" w:after="0" w:afterAutospacing="0"/>
                    <w:ind w:left="0" w:right="0"/>
                    <w:rPr>
                      <w:rFonts w:hint="default"/>
                    </w:rPr>
                  </w:pPr>
                  <w:r>
                    <w:rPr>
                      <w:rFonts w:hint="default"/>
                    </w:rPr>
                    <w:t>1</w:t>
                  </w:r>
                </w:p>
              </w:tc>
              <w:tc>
                <w:tcPr>
                  <w:tcW w:w="1049" w:type="dxa"/>
                  <w:vAlign w:val="center"/>
                </w:tcPr>
                <w:p w14:paraId="5752BDF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不合格品、边角料</w:t>
                  </w:r>
                </w:p>
              </w:tc>
              <w:tc>
                <w:tcPr>
                  <w:tcW w:w="1259" w:type="dxa"/>
                  <w:vAlign w:val="center"/>
                </w:tcPr>
                <w:p w14:paraId="2337BE0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925" w:type="dxa"/>
                  <w:vAlign w:val="center"/>
                </w:tcPr>
                <w:p w14:paraId="67048A7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3.85</w:t>
                  </w:r>
                </w:p>
              </w:tc>
              <w:tc>
                <w:tcPr>
                  <w:tcW w:w="1038" w:type="dxa"/>
                  <w:vAlign w:val="center"/>
                </w:tcPr>
                <w:p w14:paraId="220445F3">
                  <w:pPr>
                    <w:pStyle w:val="32"/>
                    <w:keepNext w:val="0"/>
                    <w:keepLines w:val="0"/>
                    <w:suppressLineNumbers w:val="0"/>
                    <w:spacing w:before="0" w:beforeAutospacing="0" w:after="0" w:afterAutospacing="0"/>
                    <w:ind w:left="0" w:right="0"/>
                    <w:rPr>
                      <w:rFonts w:hint="default"/>
                    </w:rPr>
                  </w:pPr>
                  <w:r>
                    <w:rPr>
                      <w:rFonts w:hint="default"/>
                    </w:rPr>
                    <w:t>检验</w:t>
                  </w:r>
                </w:p>
              </w:tc>
              <w:tc>
                <w:tcPr>
                  <w:tcW w:w="825" w:type="dxa"/>
                  <w:vAlign w:val="center"/>
                </w:tcPr>
                <w:p w14:paraId="222F81D7">
                  <w:pPr>
                    <w:pStyle w:val="32"/>
                    <w:keepNext w:val="0"/>
                    <w:keepLines w:val="0"/>
                    <w:suppressLineNumbers w:val="0"/>
                    <w:spacing w:before="0" w:beforeAutospacing="0" w:after="0" w:afterAutospacing="0"/>
                    <w:ind w:left="0" w:right="0"/>
                    <w:rPr>
                      <w:rFonts w:hint="default"/>
                    </w:rPr>
                  </w:pPr>
                  <w:r>
                    <w:rPr>
                      <w:rFonts w:hint="default"/>
                    </w:rPr>
                    <w:t>固态</w:t>
                  </w:r>
                </w:p>
              </w:tc>
              <w:tc>
                <w:tcPr>
                  <w:tcW w:w="868" w:type="dxa"/>
                  <w:vAlign w:val="center"/>
                </w:tcPr>
                <w:p w14:paraId="794F9F73">
                  <w:pPr>
                    <w:pStyle w:val="32"/>
                    <w:keepNext w:val="0"/>
                    <w:keepLines w:val="0"/>
                    <w:suppressLineNumbers w:val="0"/>
                    <w:spacing w:before="0" w:beforeAutospacing="0" w:after="0" w:afterAutospacing="0"/>
                    <w:ind w:left="0" w:right="0"/>
                    <w:rPr>
                      <w:rFonts w:hint="default"/>
                    </w:rPr>
                  </w:pPr>
                  <w:r>
                    <w:rPr>
                      <w:rFonts w:hint="default"/>
                    </w:rPr>
                    <w:t>干燥剂</w:t>
                  </w:r>
                </w:p>
              </w:tc>
              <w:tc>
                <w:tcPr>
                  <w:tcW w:w="457" w:type="dxa"/>
                  <w:vMerge w:val="restart"/>
                  <w:vAlign w:val="center"/>
                </w:tcPr>
                <w:p w14:paraId="6747D653">
                  <w:pPr>
                    <w:pStyle w:val="32"/>
                    <w:keepNext w:val="0"/>
                    <w:keepLines w:val="0"/>
                    <w:suppressLineNumbers w:val="0"/>
                    <w:spacing w:before="0" w:beforeAutospacing="0" w:after="0" w:afterAutospacing="0"/>
                    <w:ind w:left="0" w:right="0"/>
                    <w:rPr>
                      <w:rFonts w:hint="default"/>
                    </w:rPr>
                  </w:pPr>
                  <w:r>
                    <w:rPr>
                      <w:rFonts w:hint="default"/>
                    </w:rPr>
                    <w:t>一般固废</w:t>
                  </w:r>
                </w:p>
              </w:tc>
              <w:tc>
                <w:tcPr>
                  <w:tcW w:w="766" w:type="dxa"/>
                  <w:vAlign w:val="center"/>
                </w:tcPr>
                <w:p w14:paraId="2E8BA19B">
                  <w:pPr>
                    <w:pStyle w:val="32"/>
                    <w:keepNext w:val="0"/>
                    <w:keepLines w:val="0"/>
                    <w:suppressLineNumbers w:val="0"/>
                    <w:spacing w:before="0" w:beforeAutospacing="0" w:after="0" w:afterAutospacing="0"/>
                    <w:ind w:left="0" w:right="0"/>
                    <w:rPr>
                      <w:rFonts w:hint="default"/>
                    </w:rPr>
                  </w:pPr>
                  <w:r>
                    <w:rPr>
                      <w:rFonts w:hint="eastAsia"/>
                    </w:rPr>
                    <w:t>外售综合利用</w:t>
                  </w:r>
                </w:p>
              </w:tc>
            </w:tr>
            <w:tr w14:paraId="507F55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565F90AE">
                  <w:pPr>
                    <w:pStyle w:val="32"/>
                    <w:keepNext w:val="0"/>
                    <w:keepLines w:val="0"/>
                    <w:suppressLineNumbers w:val="0"/>
                    <w:spacing w:before="0" w:beforeAutospacing="0" w:after="0" w:afterAutospacing="0"/>
                    <w:ind w:left="0" w:right="0"/>
                    <w:rPr>
                      <w:rFonts w:hint="default"/>
                    </w:rPr>
                  </w:pPr>
                  <w:r>
                    <w:rPr>
                      <w:rFonts w:hint="eastAsia"/>
                    </w:rPr>
                    <w:t>2</w:t>
                  </w:r>
                </w:p>
              </w:tc>
              <w:tc>
                <w:tcPr>
                  <w:tcW w:w="1049" w:type="dxa"/>
                  <w:vAlign w:val="center"/>
                </w:tcPr>
                <w:p w14:paraId="7C01EBE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废包装材料</w:t>
                  </w:r>
                </w:p>
              </w:tc>
              <w:tc>
                <w:tcPr>
                  <w:tcW w:w="1259" w:type="dxa"/>
                  <w:vAlign w:val="center"/>
                </w:tcPr>
                <w:p w14:paraId="68AE6BF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925" w:type="dxa"/>
                  <w:vAlign w:val="center"/>
                </w:tcPr>
                <w:p w14:paraId="593040B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0.2</w:t>
                  </w:r>
                </w:p>
              </w:tc>
              <w:tc>
                <w:tcPr>
                  <w:tcW w:w="1038" w:type="dxa"/>
                  <w:vAlign w:val="center"/>
                </w:tcPr>
                <w:p w14:paraId="01BD3EA3">
                  <w:pPr>
                    <w:pStyle w:val="32"/>
                    <w:keepNext w:val="0"/>
                    <w:keepLines w:val="0"/>
                    <w:suppressLineNumbers w:val="0"/>
                    <w:spacing w:before="0" w:beforeAutospacing="0" w:after="0" w:afterAutospacing="0"/>
                    <w:ind w:left="0" w:right="0"/>
                    <w:rPr>
                      <w:rFonts w:hint="default"/>
                    </w:rPr>
                  </w:pPr>
                  <w:r>
                    <w:rPr>
                      <w:rFonts w:hint="default"/>
                    </w:rPr>
                    <w:t>包装</w:t>
                  </w:r>
                </w:p>
              </w:tc>
              <w:tc>
                <w:tcPr>
                  <w:tcW w:w="825" w:type="dxa"/>
                  <w:vAlign w:val="center"/>
                </w:tcPr>
                <w:p w14:paraId="5680A168">
                  <w:pPr>
                    <w:pStyle w:val="32"/>
                    <w:keepNext w:val="0"/>
                    <w:keepLines w:val="0"/>
                    <w:suppressLineNumbers w:val="0"/>
                    <w:spacing w:before="0" w:beforeAutospacing="0" w:after="0" w:afterAutospacing="0"/>
                    <w:ind w:left="0" w:right="0"/>
                    <w:rPr>
                      <w:rFonts w:hint="default"/>
                    </w:rPr>
                  </w:pPr>
                  <w:r>
                    <w:rPr>
                      <w:rFonts w:hint="default"/>
                    </w:rPr>
                    <w:t>固态</w:t>
                  </w:r>
                </w:p>
              </w:tc>
              <w:tc>
                <w:tcPr>
                  <w:tcW w:w="868" w:type="dxa"/>
                  <w:vAlign w:val="center"/>
                </w:tcPr>
                <w:p w14:paraId="3B44BBE7">
                  <w:pPr>
                    <w:pStyle w:val="32"/>
                    <w:keepNext w:val="0"/>
                    <w:keepLines w:val="0"/>
                    <w:suppressLineNumbers w:val="0"/>
                    <w:spacing w:before="0" w:beforeAutospacing="0" w:after="0" w:afterAutospacing="0"/>
                    <w:ind w:left="0" w:right="0"/>
                    <w:rPr>
                      <w:rFonts w:hint="default"/>
                    </w:rPr>
                  </w:pPr>
                  <w:r>
                    <w:rPr>
                      <w:rFonts w:hint="default"/>
                    </w:rPr>
                    <w:t>包装材料</w:t>
                  </w:r>
                </w:p>
              </w:tc>
              <w:tc>
                <w:tcPr>
                  <w:tcW w:w="457" w:type="dxa"/>
                  <w:vMerge w:val="continue"/>
                  <w:vAlign w:val="center"/>
                </w:tcPr>
                <w:p w14:paraId="31D83C52">
                  <w:pPr>
                    <w:pStyle w:val="32"/>
                    <w:keepNext w:val="0"/>
                    <w:keepLines w:val="0"/>
                    <w:suppressLineNumbers w:val="0"/>
                    <w:spacing w:before="0" w:beforeAutospacing="0" w:after="0" w:afterAutospacing="0"/>
                    <w:ind w:left="0" w:right="0"/>
                    <w:rPr>
                      <w:rFonts w:hint="default"/>
                    </w:rPr>
                  </w:pPr>
                </w:p>
              </w:tc>
              <w:tc>
                <w:tcPr>
                  <w:tcW w:w="766" w:type="dxa"/>
                  <w:vAlign w:val="center"/>
                </w:tcPr>
                <w:p w14:paraId="6856798B">
                  <w:pPr>
                    <w:pStyle w:val="32"/>
                    <w:keepNext w:val="0"/>
                    <w:keepLines w:val="0"/>
                    <w:suppressLineNumbers w:val="0"/>
                    <w:spacing w:before="0" w:beforeAutospacing="0" w:after="0" w:afterAutospacing="0"/>
                    <w:ind w:left="0" w:right="0"/>
                    <w:rPr>
                      <w:rFonts w:hint="default"/>
                    </w:rPr>
                  </w:pPr>
                  <w:r>
                    <w:rPr>
                      <w:rFonts w:hint="eastAsia"/>
                    </w:rPr>
                    <w:t>外售综合利用</w:t>
                  </w:r>
                </w:p>
              </w:tc>
            </w:tr>
            <w:tr w14:paraId="4AC7C5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0DA2C537">
                  <w:pPr>
                    <w:pStyle w:val="32"/>
                    <w:keepNext w:val="0"/>
                    <w:keepLines w:val="0"/>
                    <w:suppressLineNumbers w:val="0"/>
                    <w:spacing w:before="0" w:beforeAutospacing="0" w:after="0" w:afterAutospacing="0"/>
                    <w:ind w:left="0" w:right="0"/>
                    <w:rPr>
                      <w:rFonts w:hint="eastAsia" w:eastAsia="宋体"/>
                      <w:lang w:val="en-US" w:eastAsia="zh-CN"/>
                    </w:rPr>
                  </w:pPr>
                  <w:r>
                    <w:rPr>
                      <w:rFonts w:hint="eastAsia"/>
                      <w:lang w:val="en-US" w:eastAsia="zh-CN"/>
                    </w:rPr>
                    <w:t>3</w:t>
                  </w:r>
                </w:p>
              </w:tc>
              <w:tc>
                <w:tcPr>
                  <w:tcW w:w="1049" w:type="dxa"/>
                  <w:vAlign w:val="center"/>
                </w:tcPr>
                <w:p w14:paraId="1C6E9FB8">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szCs w:val="21"/>
                    </w:rPr>
                  </w:pPr>
                  <w:r>
                    <w:rPr>
                      <w:rFonts w:hint="eastAsia"/>
                      <w:lang w:val="en-US" w:eastAsia="zh-CN"/>
                    </w:rPr>
                    <w:t>废干燥剂</w:t>
                  </w:r>
                </w:p>
              </w:tc>
              <w:tc>
                <w:tcPr>
                  <w:tcW w:w="1259" w:type="dxa"/>
                  <w:vAlign w:val="center"/>
                </w:tcPr>
                <w:p w14:paraId="3CC90AAF">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925" w:type="dxa"/>
                  <w:vAlign w:val="center"/>
                </w:tcPr>
                <w:p w14:paraId="3AE3C12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w:t>
                  </w:r>
                </w:p>
              </w:tc>
              <w:tc>
                <w:tcPr>
                  <w:tcW w:w="1038" w:type="dxa"/>
                  <w:vAlign w:val="center"/>
                </w:tcPr>
                <w:p w14:paraId="72536907">
                  <w:pPr>
                    <w:pStyle w:val="32"/>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吸附式干燥机中干燥剂定期更换</w:t>
                  </w:r>
                </w:p>
              </w:tc>
              <w:tc>
                <w:tcPr>
                  <w:tcW w:w="825" w:type="dxa"/>
                  <w:vAlign w:val="center"/>
                </w:tcPr>
                <w:p w14:paraId="335840AD">
                  <w:pPr>
                    <w:pStyle w:val="32"/>
                    <w:keepNext w:val="0"/>
                    <w:keepLines w:val="0"/>
                    <w:suppressLineNumbers w:val="0"/>
                    <w:spacing w:before="0" w:beforeAutospacing="0" w:after="0" w:afterAutospacing="0"/>
                    <w:ind w:left="0" w:right="0"/>
                    <w:rPr>
                      <w:rFonts w:hint="default"/>
                    </w:rPr>
                  </w:pPr>
                  <w:r>
                    <w:rPr>
                      <w:rFonts w:hint="default"/>
                    </w:rPr>
                    <w:t>固态</w:t>
                  </w:r>
                </w:p>
              </w:tc>
              <w:tc>
                <w:tcPr>
                  <w:tcW w:w="868" w:type="dxa"/>
                  <w:vAlign w:val="center"/>
                </w:tcPr>
                <w:p w14:paraId="444A8FD2">
                  <w:pPr>
                    <w:pStyle w:val="32"/>
                    <w:keepNext w:val="0"/>
                    <w:keepLines w:val="0"/>
                    <w:suppressLineNumbers w:val="0"/>
                    <w:spacing w:before="0" w:beforeAutospacing="0" w:after="0" w:afterAutospacing="0"/>
                    <w:ind w:left="0" w:right="0"/>
                    <w:rPr>
                      <w:rFonts w:hint="eastAsia" w:eastAsia="宋体"/>
                      <w:lang w:val="en-US" w:eastAsia="zh-CN"/>
                    </w:rPr>
                  </w:pPr>
                  <w:r>
                    <w:rPr>
                      <w:rFonts w:hint="eastAsia"/>
                      <w:lang w:val="en-US" w:eastAsia="zh-CN"/>
                    </w:rPr>
                    <w:t>硅胶</w:t>
                  </w:r>
                </w:p>
              </w:tc>
              <w:tc>
                <w:tcPr>
                  <w:tcW w:w="457" w:type="dxa"/>
                  <w:vMerge w:val="continue"/>
                  <w:vAlign w:val="center"/>
                </w:tcPr>
                <w:p w14:paraId="24AB41A2">
                  <w:pPr>
                    <w:pStyle w:val="32"/>
                    <w:keepNext w:val="0"/>
                    <w:keepLines w:val="0"/>
                    <w:suppressLineNumbers w:val="0"/>
                    <w:spacing w:before="0" w:beforeAutospacing="0" w:after="0" w:afterAutospacing="0"/>
                    <w:ind w:left="0" w:right="0"/>
                    <w:rPr>
                      <w:rFonts w:hint="default"/>
                    </w:rPr>
                  </w:pPr>
                </w:p>
              </w:tc>
              <w:tc>
                <w:tcPr>
                  <w:tcW w:w="766" w:type="dxa"/>
                  <w:vAlign w:val="center"/>
                </w:tcPr>
                <w:p w14:paraId="505516B7">
                  <w:pPr>
                    <w:pStyle w:val="32"/>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由厂家回收</w:t>
                  </w:r>
                </w:p>
              </w:tc>
            </w:tr>
            <w:tr w14:paraId="1C6DD8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shd w:val="clear" w:color="auto" w:fill="auto"/>
                  <w:vAlign w:val="center"/>
                </w:tcPr>
                <w:p w14:paraId="1304DF32">
                  <w:pPr>
                    <w:pStyle w:val="32"/>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0"/>
                      <w:sz w:val="21"/>
                      <w:szCs w:val="21"/>
                      <w:lang w:val="en-US" w:eastAsia="zh-CN" w:bidi="ar-SA"/>
                    </w:rPr>
                  </w:pPr>
                  <w:r>
                    <w:rPr>
                      <w:rFonts w:hint="eastAsia"/>
                      <w:lang w:val="en-US" w:eastAsia="zh-CN"/>
                    </w:rPr>
                    <w:t>4</w:t>
                  </w:r>
                </w:p>
              </w:tc>
              <w:tc>
                <w:tcPr>
                  <w:tcW w:w="1049" w:type="dxa"/>
                  <w:vAlign w:val="center"/>
                </w:tcPr>
                <w:p w14:paraId="2E34146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废无尘布</w:t>
                  </w:r>
                </w:p>
              </w:tc>
              <w:tc>
                <w:tcPr>
                  <w:tcW w:w="1259" w:type="dxa"/>
                  <w:vAlign w:val="center"/>
                </w:tcPr>
                <w:p w14:paraId="145E15F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HW49</w:t>
                  </w:r>
                </w:p>
                <w:p w14:paraId="4C78CDA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900-041-49</w:t>
                  </w:r>
                </w:p>
              </w:tc>
              <w:tc>
                <w:tcPr>
                  <w:tcW w:w="925" w:type="dxa"/>
                  <w:vAlign w:val="center"/>
                </w:tcPr>
                <w:p w14:paraId="58EB037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0.05</w:t>
                  </w:r>
                </w:p>
              </w:tc>
              <w:tc>
                <w:tcPr>
                  <w:tcW w:w="1038" w:type="dxa"/>
                  <w:vAlign w:val="center"/>
                </w:tcPr>
                <w:p w14:paraId="79914D18">
                  <w:pPr>
                    <w:pStyle w:val="32"/>
                    <w:keepNext w:val="0"/>
                    <w:keepLines w:val="0"/>
                    <w:suppressLineNumbers w:val="0"/>
                    <w:spacing w:before="0" w:beforeAutospacing="0" w:after="0" w:afterAutospacing="0"/>
                    <w:ind w:left="0" w:right="0"/>
                    <w:rPr>
                      <w:rFonts w:hint="default"/>
                    </w:rPr>
                  </w:pPr>
                  <w:r>
                    <w:rPr>
                      <w:rFonts w:hint="default"/>
                    </w:rPr>
                    <w:t>准备、称量</w:t>
                  </w:r>
                </w:p>
              </w:tc>
              <w:tc>
                <w:tcPr>
                  <w:tcW w:w="825" w:type="dxa"/>
                  <w:vAlign w:val="center"/>
                </w:tcPr>
                <w:p w14:paraId="2AA9E198">
                  <w:pPr>
                    <w:pStyle w:val="32"/>
                    <w:keepNext w:val="0"/>
                    <w:keepLines w:val="0"/>
                    <w:suppressLineNumbers w:val="0"/>
                    <w:spacing w:before="0" w:beforeAutospacing="0" w:after="0" w:afterAutospacing="0"/>
                    <w:ind w:left="0" w:right="0"/>
                    <w:rPr>
                      <w:rFonts w:hint="default"/>
                    </w:rPr>
                  </w:pPr>
                  <w:r>
                    <w:rPr>
                      <w:rFonts w:hint="default"/>
                    </w:rPr>
                    <w:t>固态</w:t>
                  </w:r>
                </w:p>
              </w:tc>
              <w:tc>
                <w:tcPr>
                  <w:tcW w:w="868" w:type="dxa"/>
                  <w:vAlign w:val="center"/>
                </w:tcPr>
                <w:p w14:paraId="3ED68CD6">
                  <w:pPr>
                    <w:pStyle w:val="32"/>
                    <w:keepNext w:val="0"/>
                    <w:keepLines w:val="0"/>
                    <w:suppressLineNumbers w:val="0"/>
                    <w:spacing w:before="0" w:beforeAutospacing="0" w:after="0" w:afterAutospacing="0"/>
                    <w:ind w:left="0" w:right="0"/>
                    <w:rPr>
                      <w:rFonts w:hint="default"/>
                    </w:rPr>
                  </w:pPr>
                  <w:r>
                    <w:rPr>
                      <w:rFonts w:hint="default"/>
                    </w:rPr>
                    <w:t>布</w:t>
                  </w:r>
                </w:p>
              </w:tc>
              <w:tc>
                <w:tcPr>
                  <w:tcW w:w="457" w:type="dxa"/>
                  <w:vMerge w:val="restart"/>
                  <w:tcBorders>
                    <w:top w:val="single" w:color="auto" w:sz="4" w:space="0"/>
                  </w:tcBorders>
                  <w:vAlign w:val="center"/>
                </w:tcPr>
                <w:p w14:paraId="3DF91C13">
                  <w:pPr>
                    <w:pStyle w:val="32"/>
                    <w:keepNext w:val="0"/>
                    <w:keepLines w:val="0"/>
                    <w:suppressLineNumbers w:val="0"/>
                    <w:spacing w:before="0" w:beforeAutospacing="0" w:after="0" w:afterAutospacing="0"/>
                    <w:ind w:left="0" w:right="0"/>
                    <w:rPr>
                      <w:rFonts w:hint="default"/>
                    </w:rPr>
                  </w:pPr>
                  <w:r>
                    <w:rPr>
                      <w:rFonts w:hint="default"/>
                    </w:rPr>
                    <w:t>危险</w:t>
                  </w:r>
                  <w:r>
                    <w:rPr>
                      <w:rFonts w:hint="eastAsia"/>
                    </w:rPr>
                    <w:t>废物</w:t>
                  </w:r>
                </w:p>
              </w:tc>
              <w:tc>
                <w:tcPr>
                  <w:tcW w:w="766" w:type="dxa"/>
                  <w:vMerge w:val="restart"/>
                  <w:tcBorders>
                    <w:top w:val="single" w:color="auto" w:sz="4" w:space="0"/>
                  </w:tcBorders>
                  <w:vAlign w:val="center"/>
                </w:tcPr>
                <w:p w14:paraId="367FD5E1">
                  <w:pPr>
                    <w:pStyle w:val="32"/>
                    <w:keepNext w:val="0"/>
                    <w:keepLines w:val="0"/>
                    <w:suppressLineNumbers w:val="0"/>
                    <w:spacing w:before="0" w:beforeAutospacing="0" w:after="0" w:afterAutospacing="0"/>
                    <w:ind w:left="0" w:right="0"/>
                    <w:rPr>
                      <w:rFonts w:hint="default"/>
                    </w:rPr>
                  </w:pPr>
                  <w:r>
                    <w:rPr>
                      <w:rFonts w:hint="default"/>
                    </w:rPr>
                    <w:t>暂存于危险废物暂存间，定期委托有资质的单位处置</w:t>
                  </w:r>
                </w:p>
              </w:tc>
            </w:tr>
            <w:tr w14:paraId="1CBE24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shd w:val="clear" w:color="auto" w:fill="auto"/>
                  <w:vAlign w:val="center"/>
                </w:tcPr>
                <w:p w14:paraId="7A36D643">
                  <w:pPr>
                    <w:pStyle w:val="32"/>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0"/>
                      <w:sz w:val="21"/>
                      <w:szCs w:val="21"/>
                      <w:lang w:val="en-US" w:eastAsia="zh-CN" w:bidi="ar-SA"/>
                    </w:rPr>
                  </w:pPr>
                  <w:r>
                    <w:rPr>
                      <w:rFonts w:hint="eastAsia"/>
                      <w:lang w:val="en-US" w:eastAsia="zh-CN"/>
                    </w:rPr>
                    <w:t>5</w:t>
                  </w:r>
                </w:p>
              </w:tc>
              <w:tc>
                <w:tcPr>
                  <w:tcW w:w="1049" w:type="dxa"/>
                  <w:vAlign w:val="center"/>
                </w:tcPr>
                <w:p w14:paraId="0A0B107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废弃样品</w:t>
                  </w:r>
                </w:p>
              </w:tc>
              <w:tc>
                <w:tcPr>
                  <w:tcW w:w="1259" w:type="dxa"/>
                  <w:vAlign w:val="center"/>
                </w:tcPr>
                <w:p w14:paraId="04ED4AD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HW49</w:t>
                  </w:r>
                </w:p>
                <w:p w14:paraId="6CFD15C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900-041-49</w:t>
                  </w:r>
                </w:p>
              </w:tc>
              <w:tc>
                <w:tcPr>
                  <w:tcW w:w="925" w:type="dxa"/>
                  <w:vAlign w:val="center"/>
                </w:tcPr>
                <w:p w14:paraId="3983741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0.8</w:t>
                  </w:r>
                </w:p>
              </w:tc>
              <w:tc>
                <w:tcPr>
                  <w:tcW w:w="1038" w:type="dxa"/>
                  <w:vAlign w:val="center"/>
                </w:tcPr>
                <w:p w14:paraId="7EE9C0FC">
                  <w:pPr>
                    <w:pStyle w:val="32"/>
                    <w:keepNext w:val="0"/>
                    <w:keepLines w:val="0"/>
                    <w:suppressLineNumbers w:val="0"/>
                    <w:spacing w:before="0" w:beforeAutospacing="0" w:after="0" w:afterAutospacing="0"/>
                    <w:ind w:left="0" w:right="0"/>
                    <w:rPr>
                      <w:rFonts w:hint="default"/>
                    </w:rPr>
                  </w:pPr>
                  <w:r>
                    <w:rPr>
                      <w:rFonts w:hint="default"/>
                    </w:rPr>
                    <w:t>取样</w:t>
                  </w:r>
                </w:p>
              </w:tc>
              <w:tc>
                <w:tcPr>
                  <w:tcW w:w="825" w:type="dxa"/>
                  <w:vAlign w:val="center"/>
                </w:tcPr>
                <w:p w14:paraId="5F54753D">
                  <w:pPr>
                    <w:pStyle w:val="32"/>
                    <w:keepNext w:val="0"/>
                    <w:keepLines w:val="0"/>
                    <w:suppressLineNumbers w:val="0"/>
                    <w:spacing w:before="0" w:beforeAutospacing="0" w:after="0" w:afterAutospacing="0"/>
                    <w:ind w:left="0" w:right="0"/>
                    <w:rPr>
                      <w:rFonts w:hint="default"/>
                    </w:rPr>
                  </w:pPr>
                  <w:r>
                    <w:rPr>
                      <w:rFonts w:hint="default"/>
                    </w:rPr>
                    <w:t>固态</w:t>
                  </w:r>
                </w:p>
              </w:tc>
              <w:tc>
                <w:tcPr>
                  <w:tcW w:w="868" w:type="dxa"/>
                  <w:vAlign w:val="center"/>
                </w:tcPr>
                <w:p w14:paraId="76CB6A71">
                  <w:pPr>
                    <w:pStyle w:val="32"/>
                    <w:keepNext w:val="0"/>
                    <w:keepLines w:val="0"/>
                    <w:suppressLineNumbers w:val="0"/>
                    <w:spacing w:before="0" w:beforeAutospacing="0" w:after="0" w:afterAutospacing="0"/>
                    <w:ind w:left="0" w:right="0"/>
                    <w:rPr>
                      <w:rFonts w:hint="default"/>
                    </w:rPr>
                  </w:pPr>
                  <w:r>
                    <w:rPr>
                      <w:rFonts w:hint="default"/>
                    </w:rPr>
                    <w:t>微生物</w:t>
                  </w:r>
                </w:p>
              </w:tc>
              <w:tc>
                <w:tcPr>
                  <w:tcW w:w="457" w:type="dxa"/>
                  <w:vMerge w:val="continue"/>
                  <w:vAlign w:val="center"/>
                </w:tcPr>
                <w:p w14:paraId="3A1660F7">
                  <w:pPr>
                    <w:pStyle w:val="32"/>
                    <w:keepNext w:val="0"/>
                    <w:keepLines w:val="0"/>
                    <w:suppressLineNumbers w:val="0"/>
                    <w:spacing w:before="0" w:beforeAutospacing="0" w:after="0" w:afterAutospacing="0"/>
                    <w:ind w:left="0" w:right="0"/>
                    <w:rPr>
                      <w:rFonts w:hint="default"/>
                    </w:rPr>
                  </w:pPr>
                </w:p>
              </w:tc>
              <w:tc>
                <w:tcPr>
                  <w:tcW w:w="766" w:type="dxa"/>
                  <w:vMerge w:val="continue"/>
                  <w:vAlign w:val="center"/>
                </w:tcPr>
                <w:p w14:paraId="1762DE9B">
                  <w:pPr>
                    <w:pStyle w:val="32"/>
                    <w:keepNext w:val="0"/>
                    <w:keepLines w:val="0"/>
                    <w:suppressLineNumbers w:val="0"/>
                    <w:spacing w:before="0" w:beforeAutospacing="0" w:after="0" w:afterAutospacing="0"/>
                    <w:ind w:left="0" w:right="0"/>
                    <w:rPr>
                      <w:rFonts w:hint="default"/>
                    </w:rPr>
                  </w:pPr>
                </w:p>
              </w:tc>
            </w:tr>
            <w:tr w14:paraId="6EF256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shd w:val="clear" w:color="auto" w:fill="auto"/>
                  <w:vAlign w:val="center"/>
                </w:tcPr>
                <w:p w14:paraId="7D4C1054">
                  <w:pPr>
                    <w:pStyle w:val="32"/>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0"/>
                      <w:sz w:val="21"/>
                      <w:szCs w:val="21"/>
                      <w:lang w:val="en-US" w:eastAsia="zh-CN" w:bidi="ar-SA"/>
                    </w:rPr>
                  </w:pPr>
                  <w:r>
                    <w:rPr>
                      <w:rFonts w:hint="eastAsia"/>
                      <w:lang w:val="en-US" w:eastAsia="zh-CN"/>
                    </w:rPr>
                    <w:t>6</w:t>
                  </w:r>
                </w:p>
              </w:tc>
              <w:tc>
                <w:tcPr>
                  <w:tcW w:w="1049" w:type="dxa"/>
                  <w:vAlign w:val="center"/>
                </w:tcPr>
                <w:p w14:paraId="16E5F811">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实验废液</w:t>
                  </w:r>
                </w:p>
              </w:tc>
              <w:tc>
                <w:tcPr>
                  <w:tcW w:w="1259" w:type="dxa"/>
                  <w:vAlign w:val="center"/>
                </w:tcPr>
                <w:p w14:paraId="50AC60C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HW49</w:t>
                  </w:r>
                </w:p>
                <w:p w14:paraId="152C298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900-04</w:t>
                  </w:r>
                  <w:r>
                    <w:rPr>
                      <w:rFonts w:hint="eastAsia" w:ascii="Times New Roman" w:hAnsi="Times New Roman" w:eastAsia="宋体" w:cs="Times New Roman"/>
                      <w:szCs w:val="21"/>
                      <w:lang w:val="en-US" w:eastAsia="zh-CN"/>
                    </w:rPr>
                    <w:t>7</w:t>
                  </w:r>
                  <w:r>
                    <w:rPr>
                      <w:rFonts w:hint="default" w:ascii="Times New Roman" w:hAnsi="Times New Roman" w:eastAsia="宋体" w:cs="Times New Roman"/>
                      <w:szCs w:val="21"/>
                    </w:rPr>
                    <w:t>-49</w:t>
                  </w:r>
                </w:p>
              </w:tc>
              <w:tc>
                <w:tcPr>
                  <w:tcW w:w="925" w:type="dxa"/>
                  <w:vAlign w:val="center"/>
                </w:tcPr>
                <w:p w14:paraId="64166FB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c>
                <w:tcPr>
                  <w:tcW w:w="1038" w:type="dxa"/>
                  <w:vAlign w:val="center"/>
                </w:tcPr>
                <w:p w14:paraId="59A4424D">
                  <w:pPr>
                    <w:pStyle w:val="32"/>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样品前处理</w:t>
                  </w:r>
                </w:p>
              </w:tc>
              <w:tc>
                <w:tcPr>
                  <w:tcW w:w="825" w:type="dxa"/>
                  <w:vAlign w:val="center"/>
                </w:tcPr>
                <w:p w14:paraId="7402EDBC">
                  <w:pPr>
                    <w:pStyle w:val="32"/>
                    <w:keepNext w:val="0"/>
                    <w:keepLines w:val="0"/>
                    <w:suppressLineNumbers w:val="0"/>
                    <w:spacing w:before="0" w:beforeAutospacing="0" w:after="0" w:afterAutospacing="0"/>
                    <w:ind w:left="0" w:right="0"/>
                    <w:rPr>
                      <w:rFonts w:hint="eastAsia" w:eastAsia="宋体"/>
                      <w:lang w:val="en-US" w:eastAsia="zh-CN"/>
                    </w:rPr>
                  </w:pPr>
                  <w:r>
                    <w:rPr>
                      <w:rFonts w:hint="eastAsia"/>
                      <w:lang w:val="en-US" w:eastAsia="zh-CN"/>
                    </w:rPr>
                    <w:t>液态</w:t>
                  </w:r>
                </w:p>
              </w:tc>
              <w:tc>
                <w:tcPr>
                  <w:tcW w:w="868" w:type="dxa"/>
                  <w:vAlign w:val="center"/>
                </w:tcPr>
                <w:p w14:paraId="3A48AE46">
                  <w:pPr>
                    <w:pStyle w:val="32"/>
                    <w:keepNext w:val="0"/>
                    <w:keepLines w:val="0"/>
                    <w:suppressLineNumbers w:val="0"/>
                    <w:spacing w:before="0" w:beforeAutospacing="0" w:after="0" w:afterAutospacing="0"/>
                    <w:ind w:left="0" w:right="0"/>
                    <w:rPr>
                      <w:rFonts w:hint="eastAsia" w:eastAsia="宋体"/>
                      <w:lang w:val="en-US" w:eastAsia="zh-CN"/>
                    </w:rPr>
                  </w:pPr>
                  <w:r>
                    <w:rPr>
                      <w:rFonts w:hint="eastAsia"/>
                      <w:lang w:val="en-US" w:eastAsia="zh-CN"/>
                    </w:rPr>
                    <w:t>实验废液</w:t>
                  </w:r>
                </w:p>
              </w:tc>
              <w:tc>
                <w:tcPr>
                  <w:tcW w:w="457" w:type="dxa"/>
                  <w:vMerge w:val="continue"/>
                  <w:vAlign w:val="center"/>
                </w:tcPr>
                <w:p w14:paraId="5B83255E">
                  <w:pPr>
                    <w:pStyle w:val="32"/>
                    <w:keepNext w:val="0"/>
                    <w:keepLines w:val="0"/>
                    <w:suppressLineNumbers w:val="0"/>
                    <w:spacing w:before="0" w:beforeAutospacing="0" w:after="0" w:afterAutospacing="0"/>
                    <w:ind w:left="0" w:right="0"/>
                    <w:rPr>
                      <w:rFonts w:hint="default"/>
                    </w:rPr>
                  </w:pPr>
                </w:p>
              </w:tc>
              <w:tc>
                <w:tcPr>
                  <w:tcW w:w="766" w:type="dxa"/>
                  <w:vMerge w:val="continue"/>
                  <w:vAlign w:val="center"/>
                </w:tcPr>
                <w:p w14:paraId="0E23BC7C">
                  <w:pPr>
                    <w:pStyle w:val="32"/>
                    <w:keepNext w:val="0"/>
                    <w:keepLines w:val="0"/>
                    <w:suppressLineNumbers w:val="0"/>
                    <w:spacing w:before="0" w:beforeAutospacing="0" w:after="0" w:afterAutospacing="0"/>
                    <w:ind w:left="0" w:right="0"/>
                    <w:rPr>
                      <w:rFonts w:hint="default"/>
                    </w:rPr>
                  </w:pPr>
                </w:p>
              </w:tc>
            </w:tr>
            <w:tr w14:paraId="62A4BC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shd w:val="clear" w:color="auto" w:fill="auto"/>
                  <w:vAlign w:val="center"/>
                </w:tcPr>
                <w:p w14:paraId="11BC2B84">
                  <w:pPr>
                    <w:pStyle w:val="32"/>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0"/>
                      <w:sz w:val="21"/>
                      <w:szCs w:val="21"/>
                      <w:lang w:val="en-US" w:eastAsia="zh-CN" w:bidi="ar-SA"/>
                    </w:rPr>
                  </w:pPr>
                  <w:r>
                    <w:rPr>
                      <w:rFonts w:hint="eastAsia"/>
                      <w:lang w:val="en-US" w:eastAsia="zh-CN"/>
                    </w:rPr>
                    <w:t>7</w:t>
                  </w:r>
                </w:p>
              </w:tc>
              <w:tc>
                <w:tcPr>
                  <w:tcW w:w="1049" w:type="dxa"/>
                  <w:vAlign w:val="center"/>
                </w:tcPr>
                <w:p w14:paraId="6B8937D8">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废培养</w:t>
                  </w:r>
                  <w:r>
                    <w:rPr>
                      <w:rFonts w:hint="eastAsia" w:ascii="Times New Roman" w:hAnsi="Times New Roman" w:eastAsia="宋体" w:cs="Times New Roman"/>
                      <w:szCs w:val="21"/>
                      <w:lang w:val="en-US" w:eastAsia="zh-CN"/>
                    </w:rPr>
                    <w:t>基</w:t>
                  </w:r>
                </w:p>
              </w:tc>
              <w:tc>
                <w:tcPr>
                  <w:tcW w:w="1259" w:type="dxa"/>
                  <w:vAlign w:val="center"/>
                </w:tcPr>
                <w:p w14:paraId="14EBA52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HW49</w:t>
                  </w:r>
                </w:p>
                <w:p w14:paraId="53A0815A">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900-04</w:t>
                  </w:r>
                  <w:r>
                    <w:rPr>
                      <w:rFonts w:hint="eastAsia" w:ascii="Times New Roman" w:hAnsi="Times New Roman" w:eastAsia="宋体" w:cs="Times New Roman"/>
                      <w:szCs w:val="21"/>
                      <w:lang w:val="en-US" w:eastAsia="zh-CN"/>
                    </w:rPr>
                    <w:t>7</w:t>
                  </w:r>
                  <w:r>
                    <w:rPr>
                      <w:rFonts w:hint="default" w:ascii="Times New Roman" w:hAnsi="Times New Roman" w:eastAsia="宋体" w:cs="Times New Roman"/>
                      <w:szCs w:val="21"/>
                    </w:rPr>
                    <w:t>-49</w:t>
                  </w:r>
                </w:p>
              </w:tc>
              <w:tc>
                <w:tcPr>
                  <w:tcW w:w="925" w:type="dxa"/>
                  <w:vAlign w:val="center"/>
                </w:tcPr>
                <w:p w14:paraId="5ABACE03">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0.025</w:t>
                  </w:r>
                </w:p>
              </w:tc>
              <w:tc>
                <w:tcPr>
                  <w:tcW w:w="1038" w:type="dxa"/>
                  <w:vAlign w:val="center"/>
                </w:tcPr>
                <w:p w14:paraId="13D8BFEC">
                  <w:pPr>
                    <w:pStyle w:val="32"/>
                    <w:keepNext w:val="0"/>
                    <w:keepLines w:val="0"/>
                    <w:suppressLineNumbers w:val="0"/>
                    <w:spacing w:before="0" w:beforeAutospacing="0" w:after="0" w:afterAutospacing="0"/>
                    <w:ind w:left="0" w:leftChars="0" w:right="0" w:rightChars="0"/>
                    <w:rPr>
                      <w:rFonts w:hint="default"/>
                    </w:rPr>
                  </w:pPr>
                  <w:r>
                    <w:rPr>
                      <w:rFonts w:hint="default"/>
                    </w:rPr>
                    <w:t>培养、分析</w:t>
                  </w:r>
                </w:p>
              </w:tc>
              <w:tc>
                <w:tcPr>
                  <w:tcW w:w="825" w:type="dxa"/>
                  <w:vAlign w:val="center"/>
                </w:tcPr>
                <w:p w14:paraId="44EB318A">
                  <w:pPr>
                    <w:pStyle w:val="32"/>
                    <w:keepNext w:val="0"/>
                    <w:keepLines w:val="0"/>
                    <w:suppressLineNumbers w:val="0"/>
                    <w:spacing w:before="0" w:beforeAutospacing="0" w:after="0" w:afterAutospacing="0"/>
                    <w:ind w:left="0" w:leftChars="0" w:right="0" w:rightChars="0"/>
                    <w:rPr>
                      <w:rFonts w:hint="default"/>
                    </w:rPr>
                  </w:pPr>
                  <w:r>
                    <w:rPr>
                      <w:rFonts w:hint="eastAsia"/>
                    </w:rPr>
                    <w:t>固态</w:t>
                  </w:r>
                </w:p>
              </w:tc>
              <w:tc>
                <w:tcPr>
                  <w:tcW w:w="868" w:type="dxa"/>
                  <w:vAlign w:val="center"/>
                </w:tcPr>
                <w:p w14:paraId="09063EF1">
                  <w:pPr>
                    <w:pStyle w:val="32"/>
                    <w:keepNext w:val="0"/>
                    <w:keepLines w:val="0"/>
                    <w:suppressLineNumbers w:val="0"/>
                    <w:spacing w:before="0" w:beforeAutospacing="0" w:after="0" w:afterAutospacing="0"/>
                    <w:ind w:left="0" w:leftChars="0" w:right="0" w:rightChars="0"/>
                    <w:rPr>
                      <w:rFonts w:hint="default"/>
                    </w:rPr>
                  </w:pPr>
                  <w:r>
                    <w:rPr>
                      <w:rFonts w:hint="default"/>
                    </w:rPr>
                    <w:t>培养</w:t>
                  </w:r>
                  <w:r>
                    <w:rPr>
                      <w:rFonts w:hint="eastAsia"/>
                      <w:lang w:val="en-US" w:eastAsia="zh-CN"/>
                    </w:rPr>
                    <w:t>基</w:t>
                  </w:r>
                </w:p>
              </w:tc>
              <w:tc>
                <w:tcPr>
                  <w:tcW w:w="457" w:type="dxa"/>
                  <w:vMerge w:val="continue"/>
                  <w:vAlign w:val="center"/>
                </w:tcPr>
                <w:p w14:paraId="526DE9E6">
                  <w:pPr>
                    <w:pStyle w:val="32"/>
                    <w:keepNext w:val="0"/>
                    <w:keepLines w:val="0"/>
                    <w:suppressLineNumbers w:val="0"/>
                    <w:spacing w:before="0" w:beforeAutospacing="0" w:after="0" w:afterAutospacing="0"/>
                    <w:ind w:left="0" w:right="0"/>
                    <w:rPr>
                      <w:rFonts w:hint="default"/>
                    </w:rPr>
                  </w:pPr>
                </w:p>
              </w:tc>
              <w:tc>
                <w:tcPr>
                  <w:tcW w:w="766" w:type="dxa"/>
                  <w:vMerge w:val="continue"/>
                  <w:vAlign w:val="center"/>
                </w:tcPr>
                <w:p w14:paraId="5A22D40B">
                  <w:pPr>
                    <w:pStyle w:val="32"/>
                    <w:keepNext w:val="0"/>
                    <w:keepLines w:val="0"/>
                    <w:suppressLineNumbers w:val="0"/>
                    <w:spacing w:before="0" w:beforeAutospacing="0" w:after="0" w:afterAutospacing="0"/>
                    <w:ind w:left="0" w:right="0"/>
                    <w:rPr>
                      <w:rFonts w:hint="default"/>
                    </w:rPr>
                  </w:pPr>
                </w:p>
              </w:tc>
            </w:tr>
            <w:tr w14:paraId="06BEBF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shd w:val="clear" w:color="auto" w:fill="auto"/>
                  <w:vAlign w:val="center"/>
                </w:tcPr>
                <w:p w14:paraId="2096F4BB">
                  <w:pPr>
                    <w:pStyle w:val="32"/>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0"/>
                      <w:sz w:val="21"/>
                      <w:szCs w:val="21"/>
                      <w:lang w:val="en-US" w:eastAsia="zh-CN" w:bidi="ar-SA"/>
                    </w:rPr>
                  </w:pPr>
                  <w:r>
                    <w:rPr>
                      <w:rFonts w:hint="eastAsia"/>
                      <w:lang w:val="en-US" w:eastAsia="zh-CN"/>
                    </w:rPr>
                    <w:t>8</w:t>
                  </w:r>
                </w:p>
              </w:tc>
              <w:tc>
                <w:tcPr>
                  <w:tcW w:w="1049" w:type="dxa"/>
                  <w:vAlign w:val="center"/>
                </w:tcPr>
                <w:p w14:paraId="58E8423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一次、二次清洗废液</w:t>
                  </w:r>
                </w:p>
              </w:tc>
              <w:tc>
                <w:tcPr>
                  <w:tcW w:w="1259" w:type="dxa"/>
                  <w:vAlign w:val="center"/>
                </w:tcPr>
                <w:p w14:paraId="2F87FC8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HW49</w:t>
                  </w:r>
                </w:p>
                <w:p w14:paraId="5F863A6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900-047-49</w:t>
                  </w:r>
                </w:p>
              </w:tc>
              <w:tc>
                <w:tcPr>
                  <w:tcW w:w="925" w:type="dxa"/>
                  <w:vAlign w:val="center"/>
                </w:tcPr>
                <w:p w14:paraId="7A00B04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12</w:t>
                  </w:r>
                </w:p>
              </w:tc>
              <w:tc>
                <w:tcPr>
                  <w:tcW w:w="1038" w:type="dxa"/>
                  <w:vAlign w:val="center"/>
                </w:tcPr>
                <w:p w14:paraId="5E96EEB4">
                  <w:pPr>
                    <w:pStyle w:val="32"/>
                    <w:keepNext w:val="0"/>
                    <w:keepLines w:val="0"/>
                    <w:suppressLineNumbers w:val="0"/>
                    <w:spacing w:before="0" w:beforeAutospacing="0" w:after="0" w:afterAutospacing="0"/>
                    <w:ind w:left="0" w:right="0"/>
                    <w:rPr>
                      <w:rFonts w:hint="default"/>
                    </w:rPr>
                  </w:pPr>
                  <w:r>
                    <w:rPr>
                      <w:rFonts w:hint="default"/>
                    </w:rPr>
                    <w:t>器皿前段清洗</w:t>
                  </w:r>
                </w:p>
              </w:tc>
              <w:tc>
                <w:tcPr>
                  <w:tcW w:w="825" w:type="dxa"/>
                  <w:vAlign w:val="center"/>
                </w:tcPr>
                <w:p w14:paraId="4DE28370">
                  <w:pPr>
                    <w:pStyle w:val="32"/>
                    <w:keepNext w:val="0"/>
                    <w:keepLines w:val="0"/>
                    <w:suppressLineNumbers w:val="0"/>
                    <w:spacing w:before="0" w:beforeAutospacing="0" w:after="0" w:afterAutospacing="0"/>
                    <w:ind w:left="0" w:right="0"/>
                    <w:rPr>
                      <w:rFonts w:hint="default"/>
                    </w:rPr>
                  </w:pPr>
                  <w:r>
                    <w:rPr>
                      <w:rFonts w:hint="eastAsia"/>
                    </w:rPr>
                    <w:t>液态</w:t>
                  </w:r>
                </w:p>
              </w:tc>
              <w:tc>
                <w:tcPr>
                  <w:tcW w:w="868" w:type="dxa"/>
                  <w:vAlign w:val="center"/>
                </w:tcPr>
                <w:p w14:paraId="13B1737D">
                  <w:pPr>
                    <w:pStyle w:val="32"/>
                    <w:keepNext w:val="0"/>
                    <w:keepLines w:val="0"/>
                    <w:suppressLineNumbers w:val="0"/>
                    <w:spacing w:before="0" w:beforeAutospacing="0" w:after="0" w:afterAutospacing="0"/>
                    <w:ind w:left="0" w:right="0"/>
                    <w:rPr>
                      <w:rFonts w:hint="default"/>
                    </w:rPr>
                  </w:pPr>
                  <w:r>
                    <w:rPr>
                      <w:rFonts w:hint="default"/>
                    </w:rPr>
                    <w:t>清洗废液</w:t>
                  </w:r>
                </w:p>
              </w:tc>
              <w:tc>
                <w:tcPr>
                  <w:tcW w:w="457" w:type="dxa"/>
                  <w:vMerge w:val="continue"/>
                  <w:vAlign w:val="center"/>
                </w:tcPr>
                <w:p w14:paraId="567D6EBA">
                  <w:pPr>
                    <w:pStyle w:val="32"/>
                    <w:keepNext w:val="0"/>
                    <w:keepLines w:val="0"/>
                    <w:suppressLineNumbers w:val="0"/>
                    <w:spacing w:before="0" w:beforeAutospacing="0" w:after="0" w:afterAutospacing="0"/>
                    <w:ind w:left="0" w:right="0"/>
                    <w:rPr>
                      <w:rFonts w:hint="default"/>
                    </w:rPr>
                  </w:pPr>
                </w:p>
              </w:tc>
              <w:tc>
                <w:tcPr>
                  <w:tcW w:w="766" w:type="dxa"/>
                  <w:vMerge w:val="continue"/>
                  <w:vAlign w:val="center"/>
                </w:tcPr>
                <w:p w14:paraId="7532BC91">
                  <w:pPr>
                    <w:pStyle w:val="32"/>
                    <w:keepNext w:val="0"/>
                    <w:keepLines w:val="0"/>
                    <w:suppressLineNumbers w:val="0"/>
                    <w:spacing w:before="0" w:beforeAutospacing="0" w:after="0" w:afterAutospacing="0"/>
                    <w:ind w:left="0" w:right="0"/>
                    <w:rPr>
                      <w:rFonts w:hint="default"/>
                    </w:rPr>
                  </w:pPr>
                </w:p>
              </w:tc>
            </w:tr>
            <w:tr w14:paraId="109981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024788B4">
                  <w:pPr>
                    <w:pStyle w:val="32"/>
                    <w:keepNext w:val="0"/>
                    <w:keepLines w:val="0"/>
                    <w:suppressLineNumbers w:val="0"/>
                    <w:spacing w:before="0" w:beforeAutospacing="0" w:after="0" w:afterAutospacing="0"/>
                    <w:ind w:left="0" w:right="0"/>
                    <w:rPr>
                      <w:rFonts w:hint="eastAsia" w:eastAsia="宋体"/>
                      <w:lang w:val="en-US" w:eastAsia="zh-CN"/>
                    </w:rPr>
                  </w:pPr>
                  <w:r>
                    <w:rPr>
                      <w:rFonts w:hint="eastAsia"/>
                      <w:lang w:val="en-US" w:eastAsia="zh-CN"/>
                    </w:rPr>
                    <w:t>9</w:t>
                  </w:r>
                </w:p>
              </w:tc>
              <w:tc>
                <w:tcPr>
                  <w:tcW w:w="1049" w:type="dxa"/>
                  <w:vAlign w:val="center"/>
                </w:tcPr>
                <w:p w14:paraId="4832155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生活垃圾</w:t>
                  </w:r>
                </w:p>
              </w:tc>
              <w:tc>
                <w:tcPr>
                  <w:tcW w:w="1259" w:type="dxa"/>
                  <w:vAlign w:val="center"/>
                </w:tcPr>
                <w:p w14:paraId="0E3CA423">
                  <w:pPr>
                    <w:pStyle w:val="6"/>
                    <w:keepNext w:val="0"/>
                    <w:keepLines w:val="0"/>
                    <w:suppressLineNumbers w:val="0"/>
                    <w:spacing w:before="0" w:beforeAutospacing="0" w:after="0" w:afterAutospacing="0" w:line="276" w:lineRule="auto"/>
                    <w:ind w:left="0" w:right="0"/>
                    <w:jc w:val="center"/>
                    <w:rPr>
                      <w:rFonts w:hint="default" w:ascii="Times New Roman" w:hAnsi="Times New Roman"/>
                    </w:rPr>
                  </w:pPr>
                  <w:r>
                    <w:rPr>
                      <w:rFonts w:hint="eastAsia" w:ascii="Times New Roman" w:hAnsi="Times New Roman"/>
                    </w:rPr>
                    <w:t>SW64</w:t>
                  </w:r>
                </w:p>
                <w:p w14:paraId="26C3B5F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rPr>
                    <w:t>900-099-S64</w:t>
                  </w:r>
                </w:p>
              </w:tc>
              <w:tc>
                <w:tcPr>
                  <w:tcW w:w="925" w:type="dxa"/>
                  <w:vAlign w:val="center"/>
                </w:tcPr>
                <w:p w14:paraId="34EEDC1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2.25</w:t>
                  </w:r>
                </w:p>
              </w:tc>
              <w:tc>
                <w:tcPr>
                  <w:tcW w:w="1038" w:type="dxa"/>
                  <w:vAlign w:val="center"/>
                </w:tcPr>
                <w:p w14:paraId="01429E0B">
                  <w:pPr>
                    <w:pStyle w:val="32"/>
                    <w:keepNext w:val="0"/>
                    <w:keepLines w:val="0"/>
                    <w:suppressLineNumbers w:val="0"/>
                    <w:spacing w:before="0" w:beforeAutospacing="0" w:after="0" w:afterAutospacing="0"/>
                    <w:ind w:left="0" w:right="0"/>
                    <w:rPr>
                      <w:rFonts w:hint="default"/>
                    </w:rPr>
                  </w:pPr>
                  <w:r>
                    <w:rPr>
                      <w:rFonts w:hint="default"/>
                    </w:rPr>
                    <w:t>员工生活</w:t>
                  </w:r>
                </w:p>
              </w:tc>
              <w:tc>
                <w:tcPr>
                  <w:tcW w:w="825" w:type="dxa"/>
                  <w:vAlign w:val="center"/>
                </w:tcPr>
                <w:p w14:paraId="3B6F2BD0">
                  <w:pPr>
                    <w:pStyle w:val="32"/>
                    <w:keepNext w:val="0"/>
                    <w:keepLines w:val="0"/>
                    <w:suppressLineNumbers w:val="0"/>
                    <w:spacing w:before="0" w:beforeAutospacing="0" w:after="0" w:afterAutospacing="0"/>
                    <w:ind w:left="0" w:right="0"/>
                    <w:rPr>
                      <w:rFonts w:hint="default"/>
                    </w:rPr>
                  </w:pPr>
                  <w:r>
                    <w:rPr>
                      <w:rFonts w:hint="default"/>
                    </w:rPr>
                    <w:t>固态</w:t>
                  </w:r>
                </w:p>
              </w:tc>
              <w:tc>
                <w:tcPr>
                  <w:tcW w:w="868" w:type="dxa"/>
                  <w:vAlign w:val="center"/>
                </w:tcPr>
                <w:p w14:paraId="49E935DD">
                  <w:pPr>
                    <w:pStyle w:val="32"/>
                    <w:keepNext w:val="0"/>
                    <w:keepLines w:val="0"/>
                    <w:suppressLineNumbers w:val="0"/>
                    <w:spacing w:before="0" w:beforeAutospacing="0" w:after="0" w:afterAutospacing="0"/>
                    <w:ind w:left="0" w:right="0"/>
                    <w:rPr>
                      <w:rFonts w:hint="default"/>
                    </w:rPr>
                  </w:pPr>
                  <w:r>
                    <w:rPr>
                      <w:rFonts w:hint="default"/>
                    </w:rPr>
                    <w:t>/</w:t>
                  </w:r>
                </w:p>
              </w:tc>
              <w:tc>
                <w:tcPr>
                  <w:tcW w:w="457" w:type="dxa"/>
                  <w:vAlign w:val="center"/>
                </w:tcPr>
                <w:p w14:paraId="7E62817D">
                  <w:pPr>
                    <w:pStyle w:val="32"/>
                    <w:keepNext w:val="0"/>
                    <w:keepLines w:val="0"/>
                    <w:suppressLineNumbers w:val="0"/>
                    <w:spacing w:before="0" w:beforeAutospacing="0" w:after="0" w:afterAutospacing="0"/>
                    <w:ind w:left="0" w:right="0"/>
                    <w:rPr>
                      <w:rFonts w:hint="default"/>
                    </w:rPr>
                  </w:pPr>
                  <w:r>
                    <w:rPr>
                      <w:rFonts w:hint="default"/>
                    </w:rPr>
                    <w:t>/</w:t>
                  </w:r>
                </w:p>
              </w:tc>
              <w:tc>
                <w:tcPr>
                  <w:tcW w:w="766" w:type="dxa"/>
                  <w:vAlign w:val="center"/>
                </w:tcPr>
                <w:p w14:paraId="48A23733">
                  <w:pPr>
                    <w:pStyle w:val="32"/>
                    <w:keepNext w:val="0"/>
                    <w:keepLines w:val="0"/>
                    <w:suppressLineNumbers w:val="0"/>
                    <w:spacing w:before="0" w:beforeAutospacing="0" w:after="0" w:afterAutospacing="0"/>
                    <w:ind w:left="0" w:right="0"/>
                    <w:rPr>
                      <w:rFonts w:hint="default"/>
                    </w:rPr>
                  </w:pPr>
                  <w:r>
                    <w:rPr>
                      <w:rFonts w:hint="default"/>
                    </w:rPr>
                    <w:t>环卫部门清运</w:t>
                  </w:r>
                </w:p>
              </w:tc>
            </w:tr>
          </w:tbl>
          <w:p w14:paraId="28A757CB">
            <w:pPr>
              <w:keepNext w:val="0"/>
              <w:keepLines w:val="0"/>
              <w:suppressLineNumbers w:val="0"/>
              <w:spacing w:before="0" w:beforeAutospacing="0" w:after="0" w:afterAutospacing="0" w:line="360" w:lineRule="auto"/>
              <w:ind w:left="0" w:right="0"/>
              <w:jc w:val="center"/>
              <w:rPr>
                <w:rFonts w:hint="default"/>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rPr>
              <w:t xml:space="preserve">4-8  </w:t>
            </w:r>
            <w:r>
              <w:rPr>
                <w:rFonts w:hint="default" w:ascii="Times New Roman" w:hAnsi="Times New Roman" w:eastAsia="黑体" w:cs="Times New Roman"/>
                <w:sz w:val="24"/>
                <w:szCs w:val="24"/>
              </w:rPr>
              <w:t>项目</w:t>
            </w:r>
            <w:r>
              <w:rPr>
                <w:rFonts w:hint="eastAsia" w:ascii="Times New Roman" w:hAnsi="Times New Roman" w:eastAsia="黑体" w:cs="Times New Roman"/>
                <w:sz w:val="24"/>
                <w:szCs w:val="24"/>
              </w:rPr>
              <w:t>危险废物汇总表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17"/>
              <w:gridCol w:w="780"/>
              <w:gridCol w:w="1263"/>
              <w:gridCol w:w="684"/>
              <w:gridCol w:w="970"/>
              <w:gridCol w:w="1050"/>
              <w:gridCol w:w="683"/>
              <w:gridCol w:w="746"/>
            </w:tblGrid>
            <w:tr w14:paraId="599BA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48CC753E">
                  <w:pPr>
                    <w:pStyle w:val="39"/>
                    <w:keepNext w:val="0"/>
                    <w:keepLines w:val="0"/>
                    <w:suppressLineNumbers w:val="0"/>
                    <w:adjustRightInd/>
                    <w:snapToGrid/>
                    <w:spacing w:beforeAutospacing="0" w:after="0" w:afterAutospacing="0" w:line="276" w:lineRule="auto"/>
                    <w:ind w:left="0" w:right="0"/>
                    <w:rPr>
                      <w:rFonts w:hint="default"/>
                      <w:b/>
                      <w:bCs/>
                      <w:sz w:val="21"/>
                      <w:szCs w:val="21"/>
                    </w:rPr>
                  </w:pPr>
                  <w:r>
                    <w:rPr>
                      <w:rFonts w:hint="default"/>
                      <w:b/>
                      <w:bCs/>
                      <w:sz w:val="21"/>
                      <w:szCs w:val="21"/>
                    </w:rPr>
                    <w:t>序号</w:t>
                  </w:r>
                </w:p>
              </w:tc>
              <w:tc>
                <w:tcPr>
                  <w:tcW w:w="917" w:type="dxa"/>
                  <w:vAlign w:val="center"/>
                </w:tcPr>
                <w:p w14:paraId="0D08B6EF">
                  <w:pPr>
                    <w:pStyle w:val="39"/>
                    <w:keepNext w:val="0"/>
                    <w:keepLines w:val="0"/>
                    <w:suppressLineNumbers w:val="0"/>
                    <w:adjustRightInd/>
                    <w:snapToGrid/>
                    <w:spacing w:beforeAutospacing="0" w:after="0" w:afterAutospacing="0" w:line="276" w:lineRule="auto"/>
                    <w:ind w:left="0" w:right="0"/>
                    <w:rPr>
                      <w:rFonts w:hint="default"/>
                      <w:b/>
                      <w:bCs/>
                      <w:sz w:val="21"/>
                      <w:szCs w:val="21"/>
                    </w:rPr>
                  </w:pPr>
                  <w:r>
                    <w:rPr>
                      <w:rFonts w:hint="default"/>
                      <w:b/>
                      <w:bCs/>
                      <w:sz w:val="21"/>
                      <w:szCs w:val="21"/>
                    </w:rPr>
                    <w:t>危险废物名称</w:t>
                  </w:r>
                </w:p>
              </w:tc>
              <w:tc>
                <w:tcPr>
                  <w:tcW w:w="780" w:type="dxa"/>
                  <w:vAlign w:val="center"/>
                </w:tcPr>
                <w:p w14:paraId="7FEE90C8">
                  <w:pPr>
                    <w:pStyle w:val="39"/>
                    <w:keepNext w:val="0"/>
                    <w:keepLines w:val="0"/>
                    <w:suppressLineNumbers w:val="0"/>
                    <w:adjustRightInd/>
                    <w:snapToGrid/>
                    <w:spacing w:beforeAutospacing="0" w:after="0" w:afterAutospacing="0" w:line="276" w:lineRule="auto"/>
                    <w:ind w:left="0" w:right="0"/>
                    <w:rPr>
                      <w:rFonts w:hint="default"/>
                      <w:b/>
                      <w:bCs/>
                      <w:sz w:val="21"/>
                      <w:szCs w:val="21"/>
                    </w:rPr>
                  </w:pPr>
                  <w:r>
                    <w:rPr>
                      <w:rFonts w:hint="default"/>
                      <w:b/>
                      <w:bCs/>
                      <w:sz w:val="21"/>
                      <w:szCs w:val="21"/>
                    </w:rPr>
                    <w:t>废物类别</w:t>
                  </w:r>
                </w:p>
              </w:tc>
              <w:tc>
                <w:tcPr>
                  <w:tcW w:w="1263" w:type="dxa"/>
                  <w:vAlign w:val="center"/>
                </w:tcPr>
                <w:p w14:paraId="4D7EC7AD">
                  <w:pPr>
                    <w:pStyle w:val="39"/>
                    <w:keepNext w:val="0"/>
                    <w:keepLines w:val="0"/>
                    <w:suppressLineNumbers w:val="0"/>
                    <w:adjustRightInd/>
                    <w:snapToGrid/>
                    <w:spacing w:beforeAutospacing="0" w:after="0" w:afterAutospacing="0" w:line="276" w:lineRule="auto"/>
                    <w:ind w:left="0" w:right="0"/>
                    <w:rPr>
                      <w:rFonts w:hint="default"/>
                      <w:b/>
                      <w:bCs/>
                      <w:sz w:val="21"/>
                      <w:szCs w:val="21"/>
                    </w:rPr>
                  </w:pPr>
                  <w:r>
                    <w:rPr>
                      <w:rFonts w:hint="default"/>
                      <w:b/>
                      <w:bCs/>
                      <w:sz w:val="21"/>
                      <w:szCs w:val="21"/>
                    </w:rPr>
                    <w:t>废物</w:t>
                  </w:r>
                </w:p>
                <w:p w14:paraId="587EF257">
                  <w:pPr>
                    <w:pStyle w:val="39"/>
                    <w:keepNext w:val="0"/>
                    <w:keepLines w:val="0"/>
                    <w:suppressLineNumbers w:val="0"/>
                    <w:adjustRightInd/>
                    <w:snapToGrid/>
                    <w:spacing w:beforeAutospacing="0" w:after="0" w:afterAutospacing="0" w:line="276" w:lineRule="auto"/>
                    <w:ind w:left="0" w:right="0"/>
                    <w:rPr>
                      <w:rFonts w:hint="default"/>
                      <w:b/>
                      <w:bCs/>
                      <w:sz w:val="21"/>
                      <w:szCs w:val="21"/>
                    </w:rPr>
                  </w:pPr>
                  <w:r>
                    <w:rPr>
                      <w:rFonts w:hint="default"/>
                      <w:b/>
                      <w:bCs/>
                      <w:sz w:val="21"/>
                      <w:szCs w:val="21"/>
                    </w:rPr>
                    <w:t>代码</w:t>
                  </w:r>
                </w:p>
              </w:tc>
              <w:tc>
                <w:tcPr>
                  <w:tcW w:w="684" w:type="dxa"/>
                  <w:vAlign w:val="center"/>
                </w:tcPr>
                <w:p w14:paraId="36CF6B88">
                  <w:pPr>
                    <w:pStyle w:val="39"/>
                    <w:keepNext w:val="0"/>
                    <w:keepLines w:val="0"/>
                    <w:suppressLineNumbers w:val="0"/>
                    <w:adjustRightInd/>
                    <w:snapToGrid/>
                    <w:spacing w:beforeAutospacing="0" w:after="0" w:afterAutospacing="0" w:line="276" w:lineRule="auto"/>
                    <w:ind w:left="0" w:right="0"/>
                    <w:rPr>
                      <w:rFonts w:hint="default"/>
                      <w:b/>
                      <w:bCs/>
                      <w:sz w:val="21"/>
                      <w:szCs w:val="21"/>
                    </w:rPr>
                  </w:pPr>
                  <w:r>
                    <w:rPr>
                      <w:rFonts w:hint="default"/>
                      <w:b/>
                      <w:bCs/>
                      <w:sz w:val="21"/>
                      <w:szCs w:val="21"/>
                    </w:rPr>
                    <w:t>产生量（t）</w:t>
                  </w:r>
                </w:p>
              </w:tc>
              <w:tc>
                <w:tcPr>
                  <w:tcW w:w="970" w:type="dxa"/>
                  <w:vAlign w:val="center"/>
                </w:tcPr>
                <w:p w14:paraId="0A0B1AFC">
                  <w:pPr>
                    <w:pStyle w:val="39"/>
                    <w:keepNext w:val="0"/>
                    <w:keepLines w:val="0"/>
                    <w:suppressLineNumbers w:val="0"/>
                    <w:adjustRightInd/>
                    <w:snapToGrid/>
                    <w:spacing w:beforeAutospacing="0" w:after="0" w:afterAutospacing="0" w:line="276" w:lineRule="auto"/>
                    <w:ind w:left="0" w:right="0"/>
                    <w:rPr>
                      <w:rFonts w:hint="default"/>
                      <w:b/>
                      <w:bCs/>
                      <w:sz w:val="21"/>
                      <w:szCs w:val="21"/>
                    </w:rPr>
                  </w:pPr>
                  <w:r>
                    <w:rPr>
                      <w:rFonts w:hint="default"/>
                      <w:b/>
                      <w:bCs/>
                      <w:sz w:val="21"/>
                      <w:szCs w:val="21"/>
                    </w:rPr>
                    <w:t>贮存场所</w:t>
                  </w:r>
                  <w:r>
                    <w:rPr>
                      <w:rFonts w:hint="eastAsia"/>
                      <w:b/>
                      <w:bCs/>
                      <w:sz w:val="21"/>
                      <w:szCs w:val="21"/>
                    </w:rPr>
                    <w:t>（设施）名称</w:t>
                  </w:r>
                </w:p>
              </w:tc>
              <w:tc>
                <w:tcPr>
                  <w:tcW w:w="1050" w:type="dxa"/>
                  <w:vAlign w:val="center"/>
                </w:tcPr>
                <w:p w14:paraId="34F5E394">
                  <w:pPr>
                    <w:pStyle w:val="39"/>
                    <w:keepNext w:val="0"/>
                    <w:keepLines w:val="0"/>
                    <w:suppressLineNumbers w:val="0"/>
                    <w:adjustRightInd/>
                    <w:snapToGrid/>
                    <w:spacing w:beforeAutospacing="0" w:after="0" w:afterAutospacing="0" w:line="276" w:lineRule="auto"/>
                    <w:ind w:left="0" w:right="0"/>
                    <w:rPr>
                      <w:rFonts w:hint="default"/>
                      <w:b/>
                      <w:bCs/>
                      <w:sz w:val="21"/>
                      <w:szCs w:val="21"/>
                    </w:rPr>
                  </w:pPr>
                  <w:r>
                    <w:rPr>
                      <w:rFonts w:hint="default"/>
                      <w:b/>
                      <w:bCs/>
                      <w:sz w:val="21"/>
                      <w:szCs w:val="21"/>
                    </w:rPr>
                    <w:t>贮存能力（t）</w:t>
                  </w:r>
                </w:p>
              </w:tc>
              <w:tc>
                <w:tcPr>
                  <w:tcW w:w="683" w:type="dxa"/>
                  <w:vAlign w:val="center"/>
                </w:tcPr>
                <w:p w14:paraId="4448397F">
                  <w:pPr>
                    <w:pStyle w:val="39"/>
                    <w:keepNext w:val="0"/>
                    <w:keepLines w:val="0"/>
                    <w:suppressLineNumbers w:val="0"/>
                    <w:adjustRightInd/>
                    <w:snapToGrid/>
                    <w:spacing w:beforeAutospacing="0" w:after="0" w:afterAutospacing="0" w:line="276" w:lineRule="auto"/>
                    <w:ind w:left="0" w:right="0"/>
                    <w:rPr>
                      <w:rFonts w:hint="default"/>
                      <w:b/>
                      <w:bCs/>
                      <w:sz w:val="21"/>
                      <w:szCs w:val="21"/>
                    </w:rPr>
                  </w:pPr>
                  <w:r>
                    <w:rPr>
                      <w:rFonts w:hint="default"/>
                      <w:b/>
                      <w:bCs/>
                      <w:sz w:val="21"/>
                      <w:szCs w:val="21"/>
                    </w:rPr>
                    <w:t>贮存周期</w:t>
                  </w:r>
                </w:p>
              </w:tc>
              <w:tc>
                <w:tcPr>
                  <w:tcW w:w="746" w:type="dxa"/>
                  <w:vAlign w:val="center"/>
                </w:tcPr>
                <w:p w14:paraId="63EAFEA7">
                  <w:pPr>
                    <w:pStyle w:val="39"/>
                    <w:keepNext w:val="0"/>
                    <w:keepLines w:val="0"/>
                    <w:suppressLineNumbers w:val="0"/>
                    <w:adjustRightInd/>
                    <w:snapToGrid/>
                    <w:spacing w:beforeAutospacing="0" w:after="0" w:afterAutospacing="0" w:line="276" w:lineRule="auto"/>
                    <w:ind w:left="0" w:right="0"/>
                    <w:rPr>
                      <w:rFonts w:hint="default"/>
                      <w:b/>
                      <w:bCs/>
                      <w:sz w:val="21"/>
                      <w:szCs w:val="21"/>
                    </w:rPr>
                  </w:pPr>
                  <w:r>
                    <w:rPr>
                      <w:rFonts w:hint="default"/>
                      <w:b/>
                      <w:bCs/>
                      <w:sz w:val="21"/>
                      <w:szCs w:val="21"/>
                    </w:rPr>
                    <w:t>污染防治措施</w:t>
                  </w:r>
                </w:p>
              </w:tc>
            </w:tr>
            <w:tr w14:paraId="6ACB3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B6875AA">
                  <w:pPr>
                    <w:pStyle w:val="39"/>
                    <w:keepNext w:val="0"/>
                    <w:keepLines w:val="0"/>
                    <w:suppressLineNumbers w:val="0"/>
                    <w:adjustRightInd/>
                    <w:snapToGrid/>
                    <w:spacing w:beforeAutospacing="0" w:after="0" w:afterAutospacing="0" w:line="276" w:lineRule="auto"/>
                    <w:ind w:left="0" w:right="0"/>
                    <w:rPr>
                      <w:rFonts w:hint="default"/>
                      <w:sz w:val="21"/>
                      <w:szCs w:val="21"/>
                    </w:rPr>
                  </w:pPr>
                  <w:r>
                    <w:rPr>
                      <w:rFonts w:hint="eastAsia"/>
                      <w:sz w:val="21"/>
                      <w:szCs w:val="21"/>
                    </w:rPr>
                    <w:t>1</w:t>
                  </w:r>
                </w:p>
              </w:tc>
              <w:tc>
                <w:tcPr>
                  <w:tcW w:w="917" w:type="dxa"/>
                  <w:vAlign w:val="center"/>
                </w:tcPr>
                <w:p w14:paraId="310E165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废无尘布</w:t>
                  </w:r>
                </w:p>
              </w:tc>
              <w:tc>
                <w:tcPr>
                  <w:tcW w:w="780" w:type="dxa"/>
                  <w:shd w:val="clear" w:color="auto" w:fill="auto"/>
                  <w:vAlign w:val="center"/>
                </w:tcPr>
                <w:p w14:paraId="3BD0F3C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HW49</w:t>
                  </w:r>
                </w:p>
              </w:tc>
              <w:tc>
                <w:tcPr>
                  <w:tcW w:w="1263" w:type="dxa"/>
                  <w:shd w:val="clear" w:color="auto" w:fill="auto"/>
                  <w:vAlign w:val="center"/>
                </w:tcPr>
                <w:p w14:paraId="595C543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900-041-49</w:t>
                  </w:r>
                </w:p>
              </w:tc>
              <w:tc>
                <w:tcPr>
                  <w:tcW w:w="684" w:type="dxa"/>
                  <w:vAlign w:val="center"/>
                </w:tcPr>
                <w:p w14:paraId="228B3AC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0.05</w:t>
                  </w:r>
                </w:p>
              </w:tc>
              <w:tc>
                <w:tcPr>
                  <w:tcW w:w="970" w:type="dxa"/>
                  <w:vMerge w:val="restart"/>
                  <w:vAlign w:val="center"/>
                </w:tcPr>
                <w:p w14:paraId="5FD9CDC5">
                  <w:pPr>
                    <w:pStyle w:val="39"/>
                    <w:keepNext w:val="0"/>
                    <w:keepLines w:val="0"/>
                    <w:suppressLineNumbers w:val="0"/>
                    <w:adjustRightInd/>
                    <w:snapToGrid/>
                    <w:spacing w:beforeAutospacing="0" w:after="0" w:afterAutospacing="0" w:line="276" w:lineRule="auto"/>
                    <w:ind w:left="0" w:right="0"/>
                    <w:rPr>
                      <w:rFonts w:hint="default"/>
                      <w:sz w:val="21"/>
                      <w:szCs w:val="21"/>
                    </w:rPr>
                  </w:pPr>
                  <w:r>
                    <w:rPr>
                      <w:rFonts w:hint="eastAsia"/>
                      <w:sz w:val="21"/>
                      <w:szCs w:val="21"/>
                    </w:rPr>
                    <w:t>危废暂存间</w:t>
                  </w:r>
                </w:p>
              </w:tc>
              <w:tc>
                <w:tcPr>
                  <w:tcW w:w="1050" w:type="dxa"/>
                  <w:vAlign w:val="center"/>
                </w:tcPr>
                <w:p w14:paraId="7CF9860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0.02</w:t>
                  </w:r>
                </w:p>
              </w:tc>
              <w:tc>
                <w:tcPr>
                  <w:tcW w:w="683" w:type="dxa"/>
                  <w:vAlign w:val="center"/>
                </w:tcPr>
                <w:p w14:paraId="1F8021A9">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4个月</w:t>
                  </w:r>
                </w:p>
              </w:tc>
              <w:tc>
                <w:tcPr>
                  <w:tcW w:w="746" w:type="dxa"/>
                  <w:vMerge w:val="restart"/>
                  <w:vAlign w:val="center"/>
                </w:tcPr>
                <w:p w14:paraId="75E620F1">
                  <w:pPr>
                    <w:pStyle w:val="39"/>
                    <w:keepNext w:val="0"/>
                    <w:keepLines w:val="0"/>
                    <w:suppressLineNumbers w:val="0"/>
                    <w:adjustRightInd/>
                    <w:snapToGrid/>
                    <w:spacing w:beforeAutospacing="0" w:after="0" w:afterAutospacing="0" w:line="276" w:lineRule="auto"/>
                    <w:ind w:left="0" w:right="0"/>
                    <w:rPr>
                      <w:rFonts w:hint="default"/>
                      <w:sz w:val="21"/>
                      <w:szCs w:val="21"/>
                    </w:rPr>
                  </w:pPr>
                  <w:r>
                    <w:rPr>
                      <w:rFonts w:hint="default"/>
                      <w:sz w:val="21"/>
                      <w:szCs w:val="21"/>
                    </w:rPr>
                    <w:t>委托有资质单位定期处置</w:t>
                  </w:r>
                </w:p>
              </w:tc>
            </w:tr>
            <w:tr w14:paraId="6E301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5489569">
                  <w:pPr>
                    <w:pStyle w:val="39"/>
                    <w:keepNext w:val="0"/>
                    <w:keepLines w:val="0"/>
                    <w:suppressLineNumbers w:val="0"/>
                    <w:adjustRightInd/>
                    <w:snapToGrid/>
                    <w:spacing w:beforeAutospacing="0" w:after="0" w:afterAutospacing="0" w:line="276" w:lineRule="auto"/>
                    <w:ind w:left="0" w:right="0"/>
                    <w:rPr>
                      <w:rFonts w:hint="default"/>
                      <w:sz w:val="21"/>
                      <w:szCs w:val="21"/>
                    </w:rPr>
                  </w:pPr>
                  <w:r>
                    <w:rPr>
                      <w:rFonts w:hint="eastAsia"/>
                      <w:sz w:val="21"/>
                      <w:szCs w:val="21"/>
                    </w:rPr>
                    <w:t>2</w:t>
                  </w:r>
                </w:p>
              </w:tc>
              <w:tc>
                <w:tcPr>
                  <w:tcW w:w="917" w:type="dxa"/>
                  <w:vAlign w:val="center"/>
                </w:tcPr>
                <w:p w14:paraId="3C153C3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废弃样品</w:t>
                  </w:r>
                </w:p>
              </w:tc>
              <w:tc>
                <w:tcPr>
                  <w:tcW w:w="780" w:type="dxa"/>
                  <w:shd w:val="clear" w:color="auto" w:fill="auto"/>
                  <w:vAlign w:val="center"/>
                </w:tcPr>
                <w:p w14:paraId="22944B6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HW49</w:t>
                  </w:r>
                </w:p>
              </w:tc>
              <w:tc>
                <w:tcPr>
                  <w:tcW w:w="1263" w:type="dxa"/>
                  <w:shd w:val="clear" w:color="auto" w:fill="auto"/>
                  <w:vAlign w:val="center"/>
                </w:tcPr>
                <w:p w14:paraId="2214818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900-041-49</w:t>
                  </w:r>
                </w:p>
              </w:tc>
              <w:tc>
                <w:tcPr>
                  <w:tcW w:w="684" w:type="dxa"/>
                  <w:vAlign w:val="center"/>
                </w:tcPr>
                <w:p w14:paraId="5A7B741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0.8</w:t>
                  </w:r>
                </w:p>
              </w:tc>
              <w:tc>
                <w:tcPr>
                  <w:tcW w:w="970" w:type="dxa"/>
                  <w:vMerge w:val="continue"/>
                  <w:vAlign w:val="center"/>
                </w:tcPr>
                <w:p w14:paraId="1511B277">
                  <w:pPr>
                    <w:pStyle w:val="39"/>
                    <w:keepNext w:val="0"/>
                    <w:keepLines w:val="0"/>
                    <w:suppressLineNumbers w:val="0"/>
                    <w:adjustRightInd/>
                    <w:snapToGrid/>
                    <w:spacing w:beforeAutospacing="0" w:after="0" w:afterAutospacing="0" w:line="276" w:lineRule="auto"/>
                    <w:ind w:left="0" w:right="0"/>
                    <w:rPr>
                      <w:rFonts w:hint="default"/>
                      <w:sz w:val="21"/>
                      <w:szCs w:val="21"/>
                    </w:rPr>
                  </w:pPr>
                </w:p>
              </w:tc>
              <w:tc>
                <w:tcPr>
                  <w:tcW w:w="1050" w:type="dxa"/>
                  <w:vAlign w:val="center"/>
                </w:tcPr>
                <w:p w14:paraId="6E24D37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0.2</w:t>
                  </w:r>
                </w:p>
              </w:tc>
              <w:tc>
                <w:tcPr>
                  <w:tcW w:w="683" w:type="dxa"/>
                  <w:vAlign w:val="center"/>
                </w:tcPr>
                <w:p w14:paraId="417F271C">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w:t>
                  </w:r>
                  <w:r>
                    <w:rPr>
                      <w:rFonts w:hint="default" w:ascii="Times New Roman" w:cs="Times New Roman"/>
                    </w:rPr>
                    <w:t>个月</w:t>
                  </w:r>
                </w:p>
              </w:tc>
              <w:tc>
                <w:tcPr>
                  <w:tcW w:w="746" w:type="dxa"/>
                  <w:vMerge w:val="continue"/>
                  <w:vAlign w:val="center"/>
                </w:tcPr>
                <w:p w14:paraId="4815D157">
                  <w:pPr>
                    <w:pStyle w:val="39"/>
                    <w:keepNext w:val="0"/>
                    <w:keepLines w:val="0"/>
                    <w:suppressLineNumbers w:val="0"/>
                    <w:adjustRightInd/>
                    <w:snapToGrid/>
                    <w:spacing w:beforeAutospacing="0" w:after="0" w:afterAutospacing="0" w:line="276" w:lineRule="auto"/>
                    <w:ind w:left="0" w:right="0"/>
                    <w:rPr>
                      <w:rFonts w:hint="default"/>
                      <w:sz w:val="21"/>
                      <w:szCs w:val="21"/>
                    </w:rPr>
                  </w:pPr>
                </w:p>
              </w:tc>
            </w:tr>
            <w:tr w14:paraId="21673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48BCBB8E">
                  <w:pPr>
                    <w:pStyle w:val="39"/>
                    <w:keepNext w:val="0"/>
                    <w:keepLines w:val="0"/>
                    <w:suppressLineNumbers w:val="0"/>
                    <w:adjustRightInd/>
                    <w:snapToGrid/>
                    <w:spacing w:beforeAutospacing="0" w:after="0" w:afterAutospacing="0" w:line="276" w:lineRule="auto"/>
                    <w:ind w:left="0" w:right="0"/>
                    <w:rPr>
                      <w:rFonts w:hint="eastAsia" w:eastAsia="宋体"/>
                      <w:sz w:val="21"/>
                      <w:szCs w:val="21"/>
                      <w:lang w:val="en-US" w:eastAsia="zh-CN"/>
                    </w:rPr>
                  </w:pPr>
                  <w:r>
                    <w:rPr>
                      <w:rFonts w:hint="eastAsia"/>
                      <w:sz w:val="21"/>
                      <w:szCs w:val="21"/>
                      <w:lang w:val="en-US" w:eastAsia="zh-CN"/>
                    </w:rPr>
                    <w:t>3</w:t>
                  </w:r>
                </w:p>
              </w:tc>
              <w:tc>
                <w:tcPr>
                  <w:tcW w:w="917" w:type="dxa"/>
                  <w:vAlign w:val="center"/>
                </w:tcPr>
                <w:p w14:paraId="34A2E152">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实验废液</w:t>
                  </w:r>
                </w:p>
              </w:tc>
              <w:tc>
                <w:tcPr>
                  <w:tcW w:w="780" w:type="dxa"/>
                  <w:shd w:val="clear" w:color="auto" w:fill="auto"/>
                  <w:vAlign w:val="center"/>
                </w:tcPr>
                <w:p w14:paraId="0D298AD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HW49</w:t>
                  </w:r>
                </w:p>
              </w:tc>
              <w:tc>
                <w:tcPr>
                  <w:tcW w:w="1263" w:type="dxa"/>
                  <w:shd w:val="clear" w:color="auto" w:fill="auto"/>
                  <w:vAlign w:val="center"/>
                </w:tcPr>
                <w:p w14:paraId="4B16D051">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900-04</w:t>
                  </w:r>
                  <w:r>
                    <w:rPr>
                      <w:rFonts w:hint="eastAsia" w:ascii="Times New Roman" w:hAnsi="Times New Roman" w:eastAsia="宋体" w:cs="Times New Roman"/>
                      <w:szCs w:val="21"/>
                      <w:lang w:val="en-US" w:eastAsia="zh-CN"/>
                    </w:rPr>
                    <w:t>7</w:t>
                  </w:r>
                  <w:r>
                    <w:rPr>
                      <w:rFonts w:hint="default" w:ascii="Times New Roman" w:hAnsi="Times New Roman" w:eastAsia="宋体" w:cs="Times New Roman"/>
                      <w:szCs w:val="21"/>
                    </w:rPr>
                    <w:t>-49</w:t>
                  </w:r>
                </w:p>
              </w:tc>
              <w:tc>
                <w:tcPr>
                  <w:tcW w:w="684" w:type="dxa"/>
                  <w:vAlign w:val="center"/>
                </w:tcPr>
                <w:p w14:paraId="2841292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1.5</w:t>
                  </w:r>
                </w:p>
              </w:tc>
              <w:tc>
                <w:tcPr>
                  <w:tcW w:w="970" w:type="dxa"/>
                  <w:vMerge w:val="continue"/>
                  <w:vAlign w:val="center"/>
                </w:tcPr>
                <w:p w14:paraId="5887EBB4">
                  <w:pPr>
                    <w:pStyle w:val="39"/>
                    <w:keepNext w:val="0"/>
                    <w:keepLines w:val="0"/>
                    <w:suppressLineNumbers w:val="0"/>
                    <w:adjustRightInd/>
                    <w:snapToGrid/>
                    <w:spacing w:beforeAutospacing="0" w:after="0" w:afterAutospacing="0" w:line="276" w:lineRule="auto"/>
                    <w:ind w:left="0" w:right="0"/>
                    <w:rPr>
                      <w:rFonts w:hint="default"/>
                      <w:sz w:val="21"/>
                      <w:szCs w:val="21"/>
                    </w:rPr>
                  </w:pPr>
                </w:p>
              </w:tc>
              <w:tc>
                <w:tcPr>
                  <w:tcW w:w="1050" w:type="dxa"/>
                  <w:vAlign w:val="center"/>
                </w:tcPr>
                <w:p w14:paraId="3427FAE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0.375</w:t>
                  </w:r>
                </w:p>
              </w:tc>
              <w:tc>
                <w:tcPr>
                  <w:tcW w:w="683" w:type="dxa"/>
                  <w:vAlign w:val="center"/>
                </w:tcPr>
                <w:p w14:paraId="5674672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3个月</w:t>
                  </w:r>
                </w:p>
              </w:tc>
              <w:tc>
                <w:tcPr>
                  <w:tcW w:w="746" w:type="dxa"/>
                  <w:vMerge w:val="continue"/>
                  <w:vAlign w:val="center"/>
                </w:tcPr>
                <w:p w14:paraId="085624E0">
                  <w:pPr>
                    <w:pStyle w:val="39"/>
                    <w:keepNext w:val="0"/>
                    <w:keepLines w:val="0"/>
                    <w:suppressLineNumbers w:val="0"/>
                    <w:adjustRightInd/>
                    <w:snapToGrid/>
                    <w:spacing w:beforeAutospacing="0" w:after="0" w:afterAutospacing="0" w:line="276" w:lineRule="auto"/>
                    <w:ind w:left="0" w:right="0"/>
                    <w:rPr>
                      <w:rFonts w:hint="default"/>
                      <w:sz w:val="21"/>
                      <w:szCs w:val="21"/>
                    </w:rPr>
                  </w:pPr>
                </w:p>
              </w:tc>
            </w:tr>
            <w:tr w14:paraId="5E7B7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112CB8E7">
                  <w:pPr>
                    <w:pStyle w:val="39"/>
                    <w:keepNext w:val="0"/>
                    <w:keepLines w:val="0"/>
                    <w:suppressLineNumbers w:val="0"/>
                    <w:adjustRightInd/>
                    <w:snapToGrid/>
                    <w:spacing w:beforeAutospacing="0" w:after="0" w:afterAutospacing="0" w:line="276" w:lineRule="auto"/>
                    <w:ind w:left="0" w:right="0"/>
                    <w:rPr>
                      <w:rFonts w:hint="eastAsia" w:eastAsia="宋体"/>
                      <w:sz w:val="21"/>
                      <w:szCs w:val="21"/>
                      <w:lang w:val="en-US" w:eastAsia="zh-CN"/>
                    </w:rPr>
                  </w:pPr>
                  <w:r>
                    <w:rPr>
                      <w:rFonts w:hint="eastAsia"/>
                      <w:sz w:val="21"/>
                      <w:szCs w:val="21"/>
                      <w:lang w:val="en-US" w:eastAsia="zh-CN"/>
                    </w:rPr>
                    <w:t>4</w:t>
                  </w:r>
                </w:p>
              </w:tc>
              <w:tc>
                <w:tcPr>
                  <w:tcW w:w="917" w:type="dxa"/>
                  <w:vAlign w:val="center"/>
                </w:tcPr>
                <w:p w14:paraId="41B9CD67">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废培养</w:t>
                  </w:r>
                  <w:r>
                    <w:rPr>
                      <w:rFonts w:hint="eastAsia" w:ascii="Times New Roman" w:hAnsi="Times New Roman" w:eastAsia="宋体" w:cs="Times New Roman"/>
                      <w:szCs w:val="21"/>
                      <w:lang w:val="en-US" w:eastAsia="zh-CN"/>
                    </w:rPr>
                    <w:t>基</w:t>
                  </w:r>
                </w:p>
              </w:tc>
              <w:tc>
                <w:tcPr>
                  <w:tcW w:w="780" w:type="dxa"/>
                  <w:shd w:val="clear" w:color="auto" w:fill="auto"/>
                  <w:vAlign w:val="center"/>
                </w:tcPr>
                <w:p w14:paraId="0906B14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HW49</w:t>
                  </w:r>
                </w:p>
              </w:tc>
              <w:tc>
                <w:tcPr>
                  <w:tcW w:w="1263" w:type="dxa"/>
                  <w:shd w:val="clear" w:color="auto" w:fill="auto"/>
                  <w:vAlign w:val="center"/>
                </w:tcPr>
                <w:p w14:paraId="04CF0867">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900-04</w:t>
                  </w:r>
                  <w:r>
                    <w:rPr>
                      <w:rFonts w:hint="eastAsia" w:ascii="Times New Roman" w:hAnsi="Times New Roman" w:eastAsia="宋体" w:cs="Times New Roman"/>
                      <w:szCs w:val="21"/>
                      <w:lang w:val="en-US" w:eastAsia="zh-CN"/>
                    </w:rPr>
                    <w:t>7</w:t>
                  </w:r>
                  <w:r>
                    <w:rPr>
                      <w:rFonts w:hint="default" w:ascii="Times New Roman" w:hAnsi="Times New Roman" w:eastAsia="宋体" w:cs="Times New Roman"/>
                      <w:szCs w:val="21"/>
                    </w:rPr>
                    <w:t>-49</w:t>
                  </w:r>
                </w:p>
              </w:tc>
              <w:tc>
                <w:tcPr>
                  <w:tcW w:w="684" w:type="dxa"/>
                  <w:vAlign w:val="center"/>
                </w:tcPr>
                <w:p w14:paraId="0114C18D">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0.025</w:t>
                  </w:r>
                </w:p>
              </w:tc>
              <w:tc>
                <w:tcPr>
                  <w:tcW w:w="970" w:type="dxa"/>
                  <w:vMerge w:val="continue"/>
                  <w:vAlign w:val="center"/>
                </w:tcPr>
                <w:p w14:paraId="22D68F9E">
                  <w:pPr>
                    <w:pStyle w:val="39"/>
                    <w:keepNext w:val="0"/>
                    <w:keepLines w:val="0"/>
                    <w:suppressLineNumbers w:val="0"/>
                    <w:adjustRightInd/>
                    <w:snapToGrid/>
                    <w:spacing w:beforeAutospacing="0" w:after="0" w:afterAutospacing="0" w:line="276" w:lineRule="auto"/>
                    <w:ind w:left="0" w:right="0"/>
                    <w:rPr>
                      <w:rFonts w:hint="default"/>
                      <w:sz w:val="21"/>
                      <w:szCs w:val="21"/>
                    </w:rPr>
                  </w:pPr>
                </w:p>
              </w:tc>
              <w:tc>
                <w:tcPr>
                  <w:tcW w:w="1050" w:type="dxa"/>
                  <w:vAlign w:val="center"/>
                </w:tcPr>
                <w:p w14:paraId="19C9819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0.00625</w:t>
                  </w:r>
                </w:p>
              </w:tc>
              <w:tc>
                <w:tcPr>
                  <w:tcW w:w="683" w:type="dxa"/>
                  <w:vAlign w:val="center"/>
                </w:tcPr>
                <w:p w14:paraId="58C1C1F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3个月</w:t>
                  </w:r>
                </w:p>
              </w:tc>
              <w:tc>
                <w:tcPr>
                  <w:tcW w:w="746" w:type="dxa"/>
                  <w:vMerge w:val="continue"/>
                  <w:vAlign w:val="center"/>
                </w:tcPr>
                <w:p w14:paraId="2DE5C714">
                  <w:pPr>
                    <w:pStyle w:val="39"/>
                    <w:keepNext w:val="0"/>
                    <w:keepLines w:val="0"/>
                    <w:suppressLineNumbers w:val="0"/>
                    <w:adjustRightInd/>
                    <w:snapToGrid/>
                    <w:spacing w:beforeAutospacing="0" w:after="0" w:afterAutospacing="0" w:line="276" w:lineRule="auto"/>
                    <w:ind w:left="0" w:right="0"/>
                    <w:rPr>
                      <w:rFonts w:hint="default"/>
                      <w:sz w:val="21"/>
                      <w:szCs w:val="21"/>
                    </w:rPr>
                  </w:pPr>
                </w:p>
              </w:tc>
            </w:tr>
            <w:tr w14:paraId="0A571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628E3DF8">
                  <w:pPr>
                    <w:pStyle w:val="39"/>
                    <w:keepNext w:val="0"/>
                    <w:keepLines w:val="0"/>
                    <w:suppressLineNumbers w:val="0"/>
                    <w:adjustRightInd/>
                    <w:snapToGrid/>
                    <w:spacing w:beforeAutospacing="0" w:after="0" w:afterAutospacing="0" w:line="276" w:lineRule="auto"/>
                    <w:ind w:left="0" w:right="0"/>
                    <w:rPr>
                      <w:rFonts w:hint="default"/>
                      <w:sz w:val="21"/>
                      <w:szCs w:val="21"/>
                    </w:rPr>
                  </w:pPr>
                  <w:r>
                    <w:rPr>
                      <w:rFonts w:hint="eastAsia"/>
                      <w:sz w:val="21"/>
                      <w:szCs w:val="21"/>
                      <w:lang w:val="en-US" w:eastAsia="zh-CN"/>
                    </w:rPr>
                    <w:t>5</w:t>
                  </w:r>
                </w:p>
              </w:tc>
              <w:tc>
                <w:tcPr>
                  <w:tcW w:w="917" w:type="dxa"/>
                  <w:vAlign w:val="center"/>
                </w:tcPr>
                <w:p w14:paraId="71C4EC2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一次、二次清洗废液</w:t>
                  </w:r>
                </w:p>
              </w:tc>
              <w:tc>
                <w:tcPr>
                  <w:tcW w:w="780" w:type="dxa"/>
                  <w:shd w:val="clear" w:color="auto" w:fill="auto"/>
                  <w:vAlign w:val="center"/>
                </w:tcPr>
                <w:p w14:paraId="08C3159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HW49</w:t>
                  </w:r>
                </w:p>
              </w:tc>
              <w:tc>
                <w:tcPr>
                  <w:tcW w:w="1263" w:type="dxa"/>
                  <w:shd w:val="clear" w:color="auto" w:fill="auto"/>
                  <w:vAlign w:val="center"/>
                </w:tcPr>
                <w:p w14:paraId="3BEDC5D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900-047-49</w:t>
                  </w:r>
                </w:p>
              </w:tc>
              <w:tc>
                <w:tcPr>
                  <w:tcW w:w="684" w:type="dxa"/>
                  <w:vAlign w:val="center"/>
                </w:tcPr>
                <w:p w14:paraId="3AA0A15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12</w:t>
                  </w:r>
                </w:p>
              </w:tc>
              <w:tc>
                <w:tcPr>
                  <w:tcW w:w="970" w:type="dxa"/>
                  <w:vMerge w:val="continue"/>
                  <w:vAlign w:val="center"/>
                </w:tcPr>
                <w:p w14:paraId="44DD3D55">
                  <w:pPr>
                    <w:pStyle w:val="39"/>
                    <w:keepNext w:val="0"/>
                    <w:keepLines w:val="0"/>
                    <w:suppressLineNumbers w:val="0"/>
                    <w:adjustRightInd/>
                    <w:snapToGrid/>
                    <w:spacing w:beforeAutospacing="0" w:after="0" w:afterAutospacing="0" w:line="276" w:lineRule="auto"/>
                    <w:ind w:left="0" w:right="0"/>
                    <w:rPr>
                      <w:rFonts w:hint="default"/>
                      <w:sz w:val="21"/>
                      <w:szCs w:val="21"/>
                    </w:rPr>
                  </w:pPr>
                </w:p>
              </w:tc>
              <w:tc>
                <w:tcPr>
                  <w:tcW w:w="1050" w:type="dxa"/>
                  <w:vAlign w:val="center"/>
                </w:tcPr>
                <w:p w14:paraId="624F75C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w:t>
                  </w:r>
                </w:p>
              </w:tc>
              <w:tc>
                <w:tcPr>
                  <w:tcW w:w="683" w:type="dxa"/>
                  <w:vAlign w:val="center"/>
                </w:tcPr>
                <w:p w14:paraId="38096639">
                  <w:pPr>
                    <w:keepNext w:val="0"/>
                    <w:keepLines w:val="0"/>
                    <w:suppressLineNumbers w:val="0"/>
                    <w:spacing w:before="0" w:beforeAutospacing="0" w:after="0" w:afterAutospacing="0"/>
                    <w:ind w:left="0" w:right="0"/>
                    <w:jc w:val="center"/>
                    <w:rPr>
                      <w:rFonts w:hint="default"/>
                    </w:rPr>
                  </w:pPr>
                  <w:r>
                    <w:rPr>
                      <w:rFonts w:hint="eastAsia" w:ascii="Times New Roman" w:hAnsi="Times New Roman" w:cs="Times New Roman"/>
                    </w:rPr>
                    <w:t>1</w:t>
                  </w:r>
                  <w:r>
                    <w:rPr>
                      <w:rFonts w:hint="default" w:ascii="Times New Roman" w:hAnsi="Times New Roman" w:cs="Times New Roman"/>
                    </w:rPr>
                    <w:t>个月</w:t>
                  </w:r>
                </w:p>
              </w:tc>
              <w:tc>
                <w:tcPr>
                  <w:tcW w:w="746" w:type="dxa"/>
                  <w:vMerge w:val="continue"/>
                  <w:vAlign w:val="center"/>
                </w:tcPr>
                <w:p w14:paraId="55344AB2">
                  <w:pPr>
                    <w:pStyle w:val="39"/>
                    <w:keepNext w:val="0"/>
                    <w:keepLines w:val="0"/>
                    <w:suppressLineNumbers w:val="0"/>
                    <w:adjustRightInd/>
                    <w:snapToGrid/>
                    <w:spacing w:beforeAutospacing="0" w:after="0" w:afterAutospacing="0" w:line="276" w:lineRule="auto"/>
                    <w:ind w:left="0" w:right="0"/>
                    <w:rPr>
                      <w:rFonts w:hint="default"/>
                      <w:sz w:val="21"/>
                      <w:szCs w:val="21"/>
                    </w:rPr>
                  </w:pPr>
                </w:p>
              </w:tc>
            </w:tr>
          </w:tbl>
          <w:p w14:paraId="368FD7B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2、运营期固废环境保护措施</w:t>
            </w:r>
          </w:p>
          <w:p w14:paraId="3AFAD85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（1）贮存场所（设施）污染防治设施</w:t>
            </w:r>
          </w:p>
          <w:p w14:paraId="1145C5D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1）一般固废暂存场所</w:t>
            </w:r>
          </w:p>
          <w:p w14:paraId="2A8F2F3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rPr>
              <w:t>一般工业固体废物暂存间按照《一般工业固体废物贮存和填埋污染控制标准》(GB18599-2020)要求设置，一般工业固体废物不得露天堆放，应做好防风、防雨、防晒设施，防外水入侵要求。</w:t>
            </w:r>
          </w:p>
          <w:p w14:paraId="4C7FA00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2）危险废物暂存场所</w:t>
            </w:r>
          </w:p>
          <w:p w14:paraId="7AD189B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宋体"/>
                <w:sz w:val="24"/>
              </w:rPr>
              <w:t>①</w:t>
            </w:r>
            <w:r>
              <w:rPr>
                <w:rFonts w:hint="default" w:ascii="Times New Roman" w:hAnsi="Times New Roman" w:eastAsia="宋体" w:cs="Times New Roman"/>
                <w:sz w:val="24"/>
              </w:rPr>
              <w:t>库房内部各类危废划区堆放；同时应建有堵截泄漏的裙脚；地面与裙脚要用坚固防渗的材料建造；应有隔离设施、报警装置和防风、防晒、防雨设施</w:t>
            </w:r>
            <w:r>
              <w:rPr>
                <w:rFonts w:hint="eastAsia" w:ascii="Times New Roman" w:hAnsi="Times New Roman" w:eastAsia="宋体" w:cs="Times New Roman"/>
                <w:sz w:val="24"/>
              </w:rPr>
              <w:t>，液态危险物质采取桶装放置于防渗托盘，设置导流沟、集液槽</w:t>
            </w:r>
            <w:r>
              <w:rPr>
                <w:rFonts w:hint="default" w:ascii="Times New Roman" w:hAnsi="Times New Roman" w:eastAsia="宋体" w:cs="Times New Roman"/>
                <w:sz w:val="24"/>
              </w:rPr>
              <w:t>。</w:t>
            </w:r>
          </w:p>
          <w:p w14:paraId="4F01133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宋体"/>
                <w:sz w:val="24"/>
              </w:rPr>
              <w:t>②</w:t>
            </w:r>
            <w:r>
              <w:rPr>
                <w:rFonts w:hint="default" w:ascii="Times New Roman" w:hAnsi="Times New Roman" w:eastAsia="宋体" w:cs="Times New Roman"/>
                <w:sz w:val="24"/>
              </w:rPr>
              <w:t>各类危废干湿分区，不同化学属性的固废间采用实体墙隔离，不同种类危废存放区域贴/挂</w:t>
            </w:r>
            <w:r>
              <w:rPr>
                <w:rFonts w:hint="eastAsia" w:ascii="Times New Roman" w:hAnsi="Times New Roman" w:eastAsia="宋体" w:cs="Times New Roman"/>
                <w:sz w:val="24"/>
                <w:lang w:val="en-US" w:eastAsia="zh-CN"/>
              </w:rPr>
              <w:t>标识</w:t>
            </w:r>
            <w:r>
              <w:rPr>
                <w:rFonts w:hint="default" w:ascii="Times New Roman" w:hAnsi="Times New Roman" w:eastAsia="宋体" w:cs="Times New Roman"/>
                <w:sz w:val="24"/>
              </w:rPr>
              <w:t>标牌。</w:t>
            </w:r>
          </w:p>
          <w:p w14:paraId="76091CE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宋体"/>
                <w:sz w:val="24"/>
              </w:rPr>
              <w:t>③</w:t>
            </w:r>
            <w:r>
              <w:rPr>
                <w:rFonts w:hint="default" w:ascii="Times New Roman" w:hAnsi="Times New Roman" w:eastAsia="宋体" w:cs="Times New Roman"/>
                <w:sz w:val="24"/>
              </w:rPr>
              <w:t>干区进行地面硬化；湿区地面进行防腐、防渗处理，参照《危险废物贮存污染控制标准》（GB18597-2023）相关要求，基础防渗层为黏土层时，其厚度应达1m以上，渗透系数应小于10</w:t>
            </w:r>
            <w:r>
              <w:rPr>
                <w:rFonts w:hint="default" w:ascii="Times New Roman" w:hAnsi="Times New Roman" w:eastAsia="宋体" w:cs="Times New Roman"/>
                <w:sz w:val="24"/>
                <w:vertAlign w:val="superscript"/>
              </w:rPr>
              <w:t>-7</w:t>
            </w:r>
            <w:r>
              <w:rPr>
                <w:rFonts w:hint="default" w:ascii="Times New Roman" w:hAnsi="Times New Roman" w:eastAsia="宋体" w:cs="Times New Roman"/>
                <w:sz w:val="24"/>
              </w:rPr>
              <w:t>cm/s；基础防渗层亦可用厚度2mm以上的高密度聚乙烯和其他人工防渗材料组成，渗透系数应小于10</w:t>
            </w:r>
            <w:r>
              <w:rPr>
                <w:rFonts w:hint="default" w:ascii="Times New Roman" w:hAnsi="Times New Roman" w:eastAsia="宋体" w:cs="Times New Roman"/>
                <w:sz w:val="24"/>
                <w:vertAlign w:val="superscript"/>
              </w:rPr>
              <w:t>-1</w:t>
            </w:r>
            <w:r>
              <w:rPr>
                <w:rFonts w:hint="eastAsia" w:ascii="Times New Roman" w:hAnsi="Times New Roman" w:eastAsia="宋体" w:cs="Times New Roman"/>
                <w:sz w:val="24"/>
                <w:vertAlign w:val="superscript"/>
              </w:rPr>
              <w:t>0</w:t>
            </w:r>
            <w:r>
              <w:rPr>
                <w:rFonts w:hint="default" w:ascii="Times New Roman" w:hAnsi="Times New Roman" w:eastAsia="宋体" w:cs="Times New Roman"/>
                <w:sz w:val="24"/>
              </w:rPr>
              <w:t>cm/s。</w:t>
            </w:r>
          </w:p>
          <w:p w14:paraId="52203F1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宋体"/>
                <w:sz w:val="24"/>
              </w:rPr>
              <w:t>④</w:t>
            </w:r>
            <w:r>
              <w:rPr>
                <w:rFonts w:hint="default" w:ascii="Times New Roman" w:hAnsi="Times New Roman" w:eastAsia="宋体" w:cs="Times New Roman"/>
                <w:sz w:val="24"/>
              </w:rPr>
              <w:t>暂存区外围周边贴挂明的标示标牌，注明主要暂存危废的种类、数量、危废编号等信息。</w:t>
            </w:r>
          </w:p>
          <w:p w14:paraId="074C8F8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宋体"/>
                <w:sz w:val="24"/>
              </w:rPr>
              <w:t>⑤</w:t>
            </w:r>
            <w:r>
              <w:rPr>
                <w:rFonts w:hint="default" w:ascii="Times New Roman" w:hAnsi="Times New Roman" w:eastAsia="宋体" w:cs="Times New Roman"/>
                <w:sz w:val="24"/>
              </w:rPr>
              <w:t>合理选择危废包装物。危废贮存容器、材质满足相应的强度要求，日常确保完好无损；容器材质和衬里与危险废物相容；盛装液体废物的桶开孔直径应不超过70mm，并有放气孔。</w:t>
            </w:r>
          </w:p>
          <w:p w14:paraId="07FADAE8">
            <w:pPr>
              <w:pStyle w:val="3"/>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sz w:val="24"/>
                <w:szCs w:val="22"/>
              </w:rPr>
            </w:pPr>
            <w:r>
              <w:rPr>
                <w:rFonts w:hint="eastAsia" w:ascii="Times New Roman" w:hAnsi="Times New Roman" w:eastAsia="宋体" w:cs="Times New Roman"/>
                <w:b w:val="0"/>
                <w:bCs w:val="0"/>
                <w:sz w:val="24"/>
                <w:szCs w:val="22"/>
              </w:rPr>
              <w:t>⑥</w:t>
            </w:r>
            <w:r>
              <w:rPr>
                <w:rFonts w:hint="default" w:ascii="Times New Roman" w:hAnsi="Times New Roman" w:eastAsia="宋体" w:cs="Times New Roman"/>
                <w:b w:val="0"/>
                <w:bCs w:val="0"/>
                <w:sz w:val="24"/>
                <w:szCs w:val="22"/>
              </w:rPr>
              <w:t>建立档案制度，对暂存的废物种类、数量、特性、包装容器类别、存放库位、存入日期、运出日期等详细记录在案并长期保存。</w:t>
            </w:r>
          </w:p>
          <w:p w14:paraId="36FD8C7A">
            <w:pPr>
              <w:pStyle w:val="3"/>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sz w:val="24"/>
                <w:szCs w:val="22"/>
              </w:rPr>
            </w:pPr>
            <w:r>
              <w:rPr>
                <w:rFonts w:hint="eastAsia" w:ascii="宋体" w:hAnsi="宋体" w:eastAsia="宋体" w:cs="宋体"/>
                <w:b w:val="0"/>
                <w:bCs w:val="0"/>
                <w:sz w:val="24"/>
                <w:szCs w:val="22"/>
              </w:rPr>
              <w:t>⑦</w:t>
            </w:r>
            <w:r>
              <w:rPr>
                <w:rFonts w:hint="default" w:ascii="Times New Roman" w:hAnsi="Times New Roman" w:eastAsia="宋体" w:cs="Times New Roman"/>
                <w:b w:val="0"/>
                <w:bCs w:val="0"/>
                <w:sz w:val="24"/>
                <w:szCs w:val="22"/>
              </w:rPr>
              <w:t>贮存区符合消防要求。</w:t>
            </w:r>
          </w:p>
          <w:p w14:paraId="62F3B2BF">
            <w:pPr>
              <w:pStyle w:val="3"/>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sz w:val="24"/>
                <w:szCs w:val="22"/>
              </w:rPr>
            </w:pPr>
            <w:r>
              <w:rPr>
                <w:rFonts w:hint="eastAsia" w:ascii="宋体" w:hAnsi="宋体" w:eastAsia="宋体" w:cs="宋体"/>
                <w:b w:val="0"/>
                <w:bCs w:val="0"/>
                <w:sz w:val="24"/>
                <w:szCs w:val="22"/>
              </w:rPr>
              <w:t>⑧</w:t>
            </w:r>
            <w:r>
              <w:rPr>
                <w:rFonts w:hint="default" w:ascii="Times New Roman" w:hAnsi="Times New Roman" w:eastAsia="宋体" w:cs="Times New Roman"/>
                <w:b w:val="0"/>
                <w:bCs w:val="0"/>
                <w:sz w:val="24"/>
                <w:szCs w:val="22"/>
              </w:rPr>
              <w:t>建立定期巡查、维护制度</w:t>
            </w:r>
            <w:r>
              <w:rPr>
                <w:rFonts w:hint="eastAsia" w:ascii="Times New Roman" w:hAnsi="Times New Roman" w:eastAsia="宋体" w:cs="Times New Roman"/>
                <w:b w:val="0"/>
                <w:bCs w:val="0"/>
                <w:sz w:val="24"/>
                <w:szCs w:val="22"/>
              </w:rPr>
              <w:t>。</w:t>
            </w:r>
          </w:p>
          <w:p w14:paraId="12902D9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（2）运输过程污染防治措施</w:t>
            </w:r>
          </w:p>
          <w:p w14:paraId="4CF0190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项目所处理的危险废物采用专门的车辆，密闭运输，严格禁止抛洒滴漏，杜绝在运输过程中造成环境的二次污染。在危险废物的运输中执行《危险废物转移联单管理办法》中有关的规定和要求。</w:t>
            </w:r>
          </w:p>
          <w:p w14:paraId="279171A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（3）日常管理要求</w:t>
            </w:r>
          </w:p>
          <w:p w14:paraId="322A986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项目固废处置时，尽可能采用减量化、资源化利用措施。委托处置的应与</w:t>
            </w:r>
            <w:r>
              <w:rPr>
                <w:rFonts w:hint="eastAsia" w:ascii="Times New Roman" w:hAnsi="Times New Roman" w:eastAsia="宋体" w:cs="Times New Roman"/>
                <w:sz w:val="24"/>
              </w:rPr>
              <w:t>有资质</w:t>
            </w:r>
            <w:r>
              <w:rPr>
                <w:rFonts w:hint="default" w:ascii="Times New Roman" w:hAnsi="Times New Roman" w:eastAsia="宋体" w:cs="Times New Roman"/>
                <w:sz w:val="24"/>
              </w:rPr>
              <w:t>单位签订委托</w:t>
            </w:r>
            <w:r>
              <w:rPr>
                <w:rFonts w:hint="eastAsia" w:ascii="Times New Roman" w:hAnsi="Times New Roman" w:eastAsia="宋体" w:cs="Times New Roman"/>
                <w:sz w:val="24"/>
              </w:rPr>
              <w:t>处置</w:t>
            </w:r>
            <w:r>
              <w:rPr>
                <w:rFonts w:hint="default" w:ascii="Times New Roman" w:hAnsi="Times New Roman" w:eastAsia="宋体" w:cs="Times New Roman"/>
                <w:sz w:val="24"/>
              </w:rPr>
              <w:t>合同，报生态环境主管部门备案。危险废物转移需执行报批和转移联单等制度。</w:t>
            </w:r>
            <w:r>
              <w:rPr>
                <w:rFonts w:hint="eastAsia" w:ascii="Times New Roman" w:hAnsi="Times New Roman" w:eastAsia="宋体" w:cs="Times New Roman"/>
                <w:sz w:val="24"/>
              </w:rPr>
              <w:t>各类固废</w:t>
            </w:r>
            <w:r>
              <w:rPr>
                <w:rFonts w:hint="default" w:ascii="Times New Roman" w:hAnsi="Times New Roman" w:eastAsia="宋体" w:cs="Times New Roman"/>
                <w:sz w:val="24"/>
              </w:rPr>
              <w:t>在外运处置前，须在厂内安全暂存，确保固废不产生二次污染。</w:t>
            </w:r>
          </w:p>
          <w:p w14:paraId="2E9BC71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1）履行申报登记制度；</w:t>
            </w:r>
          </w:p>
          <w:p w14:paraId="0174289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2）建立台账管理制度，企业须做好危险废物情况的记录，记录上需注明危险废物的名称、来源、数量、特性和包装容器的类别；</w:t>
            </w:r>
          </w:p>
          <w:p w14:paraId="73BA4E9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3）委托处置应执行报批和转移联单等制度；</w:t>
            </w:r>
          </w:p>
          <w:p w14:paraId="5D742FC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4）定期对暂存的危险废物包装容器及贮存设施进行检查，及早发现破损，及时采取措施清理更换；</w:t>
            </w:r>
          </w:p>
          <w:p w14:paraId="1348155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5）固废贮存（处置）场所规范化设置，固体废物贮存(处置)场所应在醒目处设置标志牌；</w:t>
            </w:r>
          </w:p>
          <w:p w14:paraId="3BB11CF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rPr>
              <w:t>6</w:t>
            </w:r>
            <w:r>
              <w:rPr>
                <w:rFonts w:hint="default" w:ascii="Times New Roman" w:hAnsi="Times New Roman" w:eastAsia="宋体" w:cs="Times New Roman"/>
                <w:sz w:val="24"/>
              </w:rPr>
              <w:t>）危废应根据其化学特性选择合适的容器和存放地点，通过密闭容器存放，不可混合贮存，容器标签必须标明废物种类、贮存时间，定期处理</w:t>
            </w:r>
            <w:r>
              <w:rPr>
                <w:rFonts w:hint="eastAsia" w:ascii="Times New Roman" w:hAnsi="Times New Roman" w:eastAsia="宋体" w:cs="Times New Roman"/>
                <w:sz w:val="24"/>
              </w:rPr>
              <w:t>。</w:t>
            </w:r>
          </w:p>
          <w:p w14:paraId="1BCD21C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snapToGrid w:val="0"/>
                <w:sz w:val="24"/>
                <w:szCs w:val="24"/>
              </w:rPr>
            </w:pPr>
            <w:r>
              <w:rPr>
                <w:rFonts w:hint="eastAsia" w:ascii="Times New Roman" w:hAnsi="Times New Roman" w:eastAsia="宋体" w:cs="Times New Roman"/>
                <w:b/>
                <w:snapToGrid w:val="0"/>
                <w:sz w:val="24"/>
                <w:szCs w:val="24"/>
              </w:rPr>
              <w:t>五、土壤、</w:t>
            </w:r>
            <w:r>
              <w:rPr>
                <w:rFonts w:hint="eastAsia" w:ascii="Times New Roman" w:hAnsi="Times New Roman" w:eastAsia="宋体" w:cs="Times New Roman"/>
                <w:b/>
                <w:sz w:val="24"/>
                <w:szCs w:val="24"/>
              </w:rPr>
              <w:t>地下水环境影响和保护措施</w:t>
            </w:r>
          </w:p>
          <w:p w14:paraId="3AA8EB57">
            <w:pPr>
              <w:keepNext w:val="0"/>
              <w:keepLines w:val="0"/>
              <w:suppressLineNumbers w:val="0"/>
              <w:spacing w:before="0" w:beforeAutospacing="0" w:after="0" w:afterAutospacing="0" w:line="360" w:lineRule="auto"/>
              <w:ind w:left="0" w:right="0" w:firstLine="480" w:firstLineChars="200"/>
              <w:rPr>
                <w:rFonts w:hint="default" w:ascii="Times New Roman" w:hAnsi="Times New Roman"/>
                <w:bCs/>
                <w:sz w:val="24"/>
                <w:szCs w:val="24"/>
                <w:lang w:val="en-GB"/>
              </w:rPr>
            </w:pPr>
            <w:r>
              <w:rPr>
                <w:rFonts w:hint="default" w:ascii="Times New Roman" w:hAnsi="Times New Roman"/>
                <w:sz w:val="24"/>
                <w:szCs w:val="24"/>
              </w:rPr>
              <w:t>项目正常生产情况下，</w:t>
            </w:r>
            <w:r>
              <w:rPr>
                <w:rFonts w:hint="eastAsia" w:ascii="Times New Roman" w:hAnsi="Times New Roman"/>
                <w:sz w:val="24"/>
                <w:szCs w:val="24"/>
              </w:rPr>
              <w:t>雨水</w:t>
            </w:r>
            <w:r>
              <w:rPr>
                <w:rFonts w:hint="default" w:ascii="Times New Roman" w:hAnsi="Times New Roman"/>
                <w:sz w:val="24"/>
                <w:szCs w:val="24"/>
              </w:rPr>
              <w:t>进入市政雨水管网，</w:t>
            </w:r>
            <w:r>
              <w:rPr>
                <w:rFonts w:hint="default" w:ascii="Times New Roman" w:hAnsi="Times New Roman"/>
                <w:bCs/>
                <w:sz w:val="24"/>
                <w:lang w:val="en-GB"/>
              </w:rPr>
              <w:t>生活污水</w:t>
            </w:r>
            <w:r>
              <w:rPr>
                <w:rFonts w:hint="eastAsia" w:ascii="Times New Roman" w:hAnsi="Times New Roman"/>
                <w:kern w:val="0"/>
                <w:sz w:val="24"/>
                <w:szCs w:val="24"/>
              </w:rPr>
              <w:t>经化粪池</w:t>
            </w:r>
            <w:r>
              <w:rPr>
                <w:rFonts w:hint="eastAsia" w:ascii="Times New Roman" w:hAnsi="Times New Roman"/>
                <w:bCs/>
                <w:sz w:val="24"/>
              </w:rPr>
              <w:t>收集</w:t>
            </w:r>
            <w:r>
              <w:rPr>
                <w:rFonts w:hint="default" w:ascii="Times New Roman" w:hAnsi="Times New Roman"/>
                <w:bCs/>
                <w:sz w:val="24"/>
                <w:lang w:val="en-GB"/>
              </w:rPr>
              <w:t>后</w:t>
            </w:r>
            <w:r>
              <w:rPr>
                <w:rFonts w:hint="eastAsia" w:ascii="Times New Roman" w:hAnsi="Times New Roman"/>
                <w:bCs/>
                <w:sz w:val="24"/>
              </w:rPr>
              <w:t>与经pH调节后的保洁废水、后段清洗废水排入山南新区污水处理厂</w:t>
            </w:r>
            <w:r>
              <w:rPr>
                <w:rFonts w:hint="eastAsia" w:ascii="Times New Roman" w:hAnsi="Times New Roman"/>
                <w:bCs/>
                <w:sz w:val="24"/>
                <w:szCs w:val="24"/>
                <w:lang w:val="en-GB"/>
              </w:rPr>
              <w:t>。</w:t>
            </w:r>
          </w:p>
          <w:p w14:paraId="103C1331">
            <w:pPr>
              <w:keepNext w:val="0"/>
              <w:keepLines w:val="0"/>
              <w:suppressLineNumbers w:val="0"/>
              <w:spacing w:before="0" w:beforeAutospacing="0" w:after="0" w:afterAutospacing="0" w:line="360" w:lineRule="auto"/>
              <w:ind w:left="0" w:right="0" w:firstLine="480" w:firstLineChars="200"/>
              <w:rPr>
                <w:rFonts w:hint="default" w:ascii="Times New Roman" w:hAnsi="Times New Roman"/>
                <w:snapToGrid w:val="0"/>
                <w:sz w:val="24"/>
              </w:rPr>
            </w:pPr>
            <w:r>
              <w:rPr>
                <w:rFonts w:hint="default" w:ascii="Times New Roman" w:hAnsi="Times New Roman"/>
                <w:snapToGrid w:val="0"/>
                <w:sz w:val="24"/>
              </w:rPr>
              <w:t>为防止本项目污染地下水、土壤，在项目设计和施工过程中，应对厂区进行专项防渗设计和分区防渗处理。根据《环境影响评价技术导则</w:t>
            </w:r>
            <w:r>
              <w:rPr>
                <w:rFonts w:hint="eastAsia" w:ascii="Times New Roman" w:hAnsi="Times New Roman"/>
                <w:snapToGrid w:val="0"/>
                <w:sz w:val="24"/>
              </w:rPr>
              <w:t xml:space="preserve"> </w:t>
            </w:r>
            <w:r>
              <w:rPr>
                <w:rFonts w:hint="default" w:ascii="Times New Roman" w:hAnsi="Times New Roman"/>
                <w:snapToGrid w:val="0"/>
                <w:sz w:val="24"/>
              </w:rPr>
              <w:t>地下水环境》</w:t>
            </w:r>
            <w:r>
              <w:rPr>
                <w:rFonts w:hint="eastAsia" w:ascii="Times New Roman" w:hAnsi="Times New Roman"/>
                <w:snapToGrid w:val="0"/>
                <w:sz w:val="24"/>
              </w:rPr>
              <w:t>（</w:t>
            </w:r>
            <w:r>
              <w:rPr>
                <w:rFonts w:hint="default" w:ascii="Times New Roman" w:hAnsi="Times New Roman"/>
                <w:snapToGrid w:val="0"/>
                <w:sz w:val="24"/>
              </w:rPr>
              <w:t>HJ 610-2016</w:t>
            </w:r>
            <w:r>
              <w:rPr>
                <w:rFonts w:hint="eastAsia" w:ascii="Times New Roman" w:hAnsi="Times New Roman"/>
                <w:snapToGrid w:val="0"/>
                <w:sz w:val="24"/>
              </w:rPr>
              <w:t>）</w:t>
            </w:r>
            <w:r>
              <w:rPr>
                <w:rFonts w:hint="default" w:ascii="Times New Roman" w:hAnsi="Times New Roman"/>
                <w:snapToGrid w:val="0"/>
                <w:sz w:val="24"/>
              </w:rPr>
              <w:t>，污染防治区可分为重点防渗区和</w:t>
            </w:r>
            <w:r>
              <w:rPr>
                <w:rFonts w:hint="eastAsia" w:ascii="Times New Roman" w:hAnsi="Times New Roman"/>
                <w:snapToGrid w:val="0"/>
                <w:sz w:val="24"/>
              </w:rPr>
              <w:t>一般防渗</w:t>
            </w:r>
            <w:r>
              <w:rPr>
                <w:rFonts w:hint="default" w:ascii="Times New Roman" w:hAnsi="Times New Roman"/>
                <w:snapToGrid w:val="0"/>
                <w:sz w:val="24"/>
              </w:rPr>
              <w:t>区。</w:t>
            </w:r>
          </w:p>
          <w:p w14:paraId="2077C321">
            <w:pPr>
              <w:keepNext w:val="0"/>
              <w:keepLines w:val="0"/>
              <w:suppressLineNumbers w:val="0"/>
              <w:spacing w:before="0" w:beforeAutospacing="0" w:after="0" w:afterAutospacing="0" w:line="360" w:lineRule="auto"/>
              <w:ind w:left="0" w:right="0" w:firstLine="480" w:firstLineChars="200"/>
              <w:rPr>
                <w:rFonts w:hint="default" w:ascii="Times New Roman" w:hAnsi="Times New Roman"/>
                <w:snapToGrid w:val="0"/>
                <w:sz w:val="24"/>
              </w:rPr>
            </w:pPr>
            <w:r>
              <w:rPr>
                <w:rFonts w:hint="default" w:ascii="Times New Roman" w:hAnsi="Times New Roman"/>
                <w:snapToGrid w:val="0"/>
                <w:sz w:val="24"/>
              </w:rPr>
              <w:t>参照（HJ 610-2016）要求，并根据厂区可能</w:t>
            </w:r>
            <w:r>
              <w:rPr>
                <w:rFonts w:hint="eastAsia" w:ascii="Times New Roman" w:hAnsi="Times New Roman"/>
                <w:snapToGrid w:val="0"/>
                <w:sz w:val="24"/>
              </w:rPr>
              <w:t>泄漏</w:t>
            </w:r>
            <w:r>
              <w:rPr>
                <w:rFonts w:hint="default" w:ascii="Times New Roman" w:hAnsi="Times New Roman"/>
                <w:snapToGrid w:val="0"/>
                <w:sz w:val="24"/>
              </w:rPr>
              <w:t>至地面区域污染物的性质以及各设施及建构筑物污染物难易控制程度进行分级，本项目分区防渗情况如下。</w:t>
            </w:r>
          </w:p>
          <w:p w14:paraId="20D31C0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重点防渗区：重点防渗区指可能会对地下水和土壤造成污染，风险程度较高，需要重点防治的区域，主要为危险废物暂存间、</w:t>
            </w:r>
            <w:r>
              <w:rPr>
                <w:rFonts w:hint="eastAsia" w:ascii="Times New Roman" w:hAnsi="Times New Roman" w:eastAsia="宋体" w:cs="Times New Roman"/>
                <w:sz w:val="24"/>
                <w:szCs w:val="20"/>
                <w:lang w:eastAsia="zh-CN"/>
              </w:rPr>
              <w:t>质检室、</w:t>
            </w:r>
            <w:r>
              <w:rPr>
                <w:rFonts w:hint="eastAsia" w:ascii="Times New Roman" w:hAnsi="Times New Roman" w:eastAsia="宋体" w:cs="Times New Roman"/>
                <w:sz w:val="24"/>
                <w:szCs w:val="20"/>
                <w:lang w:val="en-US" w:eastAsia="zh-CN"/>
              </w:rPr>
              <w:t>pH调节池</w:t>
            </w:r>
            <w:r>
              <w:rPr>
                <w:rFonts w:hint="default" w:ascii="Times New Roman" w:hAnsi="Times New Roman" w:eastAsia="宋体" w:cs="Times New Roman"/>
                <w:sz w:val="24"/>
                <w:szCs w:val="20"/>
              </w:rPr>
              <w:t>区域。重点防渗区的防渗技术要求为等效黏土防渗层Mb≥6.0m，K≤10</w:t>
            </w:r>
            <w:r>
              <w:rPr>
                <w:rFonts w:hint="default" w:ascii="Times New Roman" w:hAnsi="Times New Roman" w:eastAsia="宋体" w:cs="Times New Roman"/>
                <w:sz w:val="24"/>
                <w:szCs w:val="20"/>
                <w:vertAlign w:val="superscript"/>
              </w:rPr>
              <w:t>-7</w:t>
            </w:r>
            <w:r>
              <w:rPr>
                <w:rFonts w:hint="default" w:ascii="Times New Roman" w:hAnsi="Times New Roman" w:eastAsia="宋体" w:cs="Times New Roman"/>
                <w:sz w:val="24"/>
                <w:szCs w:val="20"/>
              </w:rPr>
              <w:t>cm/s。其中危险废物暂存间还需要满足《危险废物贮存污染控制标准》（GB18597-2023）中防渗要求：基础必须防渗，防渗层为至少1m厚粘土层（渗透系数K≤10</w:t>
            </w:r>
            <w:r>
              <w:rPr>
                <w:rFonts w:hint="default" w:ascii="Times New Roman" w:hAnsi="Times New Roman" w:eastAsia="宋体" w:cs="Times New Roman"/>
                <w:sz w:val="24"/>
                <w:szCs w:val="20"/>
                <w:vertAlign w:val="superscript"/>
              </w:rPr>
              <w:t>-7</w:t>
            </w:r>
            <w:r>
              <w:rPr>
                <w:rFonts w:hint="default" w:ascii="Times New Roman" w:hAnsi="Times New Roman" w:eastAsia="宋体" w:cs="Times New Roman"/>
                <w:sz w:val="24"/>
                <w:szCs w:val="20"/>
              </w:rPr>
              <w:t>cm/s），或2mm厚高密度聚乙烯，或至少2mm厚的其它人工材料，渗透系数K≤10</w:t>
            </w:r>
            <w:r>
              <w:rPr>
                <w:rFonts w:hint="default" w:ascii="Times New Roman" w:hAnsi="Times New Roman" w:eastAsia="宋体" w:cs="Times New Roman"/>
                <w:sz w:val="24"/>
                <w:szCs w:val="20"/>
                <w:vertAlign w:val="superscript"/>
              </w:rPr>
              <w:t>-10</w:t>
            </w:r>
            <w:r>
              <w:rPr>
                <w:rFonts w:hint="default" w:ascii="Times New Roman" w:hAnsi="Times New Roman" w:eastAsia="宋体" w:cs="Times New Roman"/>
                <w:sz w:val="24"/>
                <w:szCs w:val="20"/>
              </w:rPr>
              <w:t>cm/s。</w:t>
            </w:r>
          </w:p>
          <w:p w14:paraId="71ADBD8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一般防渗区：一般防渗区是指可能会对地下水和土壤造成污染，但危害性或风险程度相对较低的区域，本项目将除重点防渗区外的其他区域均设为一般防渗区。一般防渗区的防渗技术要求：等效黏土防渗层Mb≥1.5m，K≤10</w:t>
            </w:r>
            <w:r>
              <w:rPr>
                <w:rFonts w:hint="default" w:ascii="Times New Roman" w:hAnsi="Times New Roman" w:eastAsia="宋体" w:cs="Times New Roman"/>
                <w:sz w:val="24"/>
                <w:szCs w:val="20"/>
                <w:vertAlign w:val="superscript"/>
              </w:rPr>
              <w:t>-7</w:t>
            </w:r>
            <w:r>
              <w:rPr>
                <w:rFonts w:hint="default" w:ascii="Times New Roman" w:hAnsi="Times New Roman" w:eastAsia="宋体" w:cs="Times New Roman"/>
                <w:sz w:val="24"/>
                <w:szCs w:val="20"/>
              </w:rPr>
              <w:t>cm/s。</w:t>
            </w:r>
          </w:p>
          <w:p w14:paraId="0AAB78CF">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sz w:val="24"/>
                <w:szCs w:val="24"/>
              </w:rPr>
            </w:pPr>
            <w:r>
              <w:rPr>
                <w:rFonts w:hint="eastAsia" w:ascii="Times New Roman" w:hAnsi="Times New Roman" w:eastAsia="宋体" w:cs="Times New Roman"/>
                <w:kern w:val="0"/>
                <w:sz w:val="24"/>
                <w:szCs w:val="24"/>
              </w:rPr>
              <w:t>本项目位于</w:t>
            </w:r>
            <w:r>
              <w:rPr>
                <w:rFonts w:hint="eastAsia" w:ascii="Times New Roman" w:hAnsi="Times New Roman" w:eastAsia="宋体" w:cs="Times New Roman"/>
                <w:bCs/>
                <w:kern w:val="0"/>
                <w:sz w:val="24"/>
                <w:szCs w:val="24"/>
              </w:rPr>
              <w:t>淮南高新技术产业开发区科技信息产业园5号楼</w:t>
            </w:r>
            <w:r>
              <w:rPr>
                <w:rFonts w:hint="eastAsia" w:ascii="Times New Roman" w:hAnsi="Times New Roman" w:cs="Times New Roman"/>
                <w:sz w:val="24"/>
                <w:szCs w:val="24"/>
              </w:rPr>
              <w:t>，根据现场调查，租赁厂房附近地面均已硬化，属于一般防渗。</w:t>
            </w:r>
          </w:p>
          <w:p w14:paraId="63FD360A">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针对不同区域采取相应的防渗措施，具体见下表。</w:t>
            </w:r>
          </w:p>
          <w:p w14:paraId="576E1613">
            <w:pPr>
              <w:keepNext w:val="0"/>
              <w:keepLines w:val="0"/>
              <w:suppressLineNumbers w:val="0"/>
              <w:spacing w:before="0" w:beforeAutospacing="0" w:after="0" w:afterAutospacing="0" w:line="360" w:lineRule="auto"/>
              <w:ind w:left="0" w:right="0"/>
              <w:jc w:val="center"/>
              <w:rPr>
                <w:rFonts w:hint="default" w:ascii="Times New Roman" w:hAnsi="Times New Roman" w:eastAsia="黑体"/>
                <w:sz w:val="24"/>
              </w:rPr>
            </w:pPr>
            <w:r>
              <w:rPr>
                <w:rFonts w:hint="default" w:ascii="Times New Roman" w:hAnsi="Times New Roman" w:eastAsia="黑体"/>
                <w:sz w:val="24"/>
              </w:rPr>
              <w:t>表</w:t>
            </w:r>
            <w:r>
              <w:rPr>
                <w:rFonts w:hint="default" w:ascii="Times New Roman" w:hAnsi="Times New Roman" w:eastAsia="黑体" w:cs="Times New Roman"/>
                <w:sz w:val="24"/>
              </w:rPr>
              <w:t>4-</w:t>
            </w:r>
            <w:r>
              <w:rPr>
                <w:rFonts w:hint="eastAsia" w:ascii="Times New Roman" w:hAnsi="Times New Roman" w:eastAsia="黑体" w:cs="Times New Roman"/>
                <w:sz w:val="24"/>
              </w:rPr>
              <w:t xml:space="preserve">9  </w:t>
            </w:r>
            <w:r>
              <w:rPr>
                <w:rFonts w:hint="default" w:ascii="Times New Roman" w:hAnsi="Times New Roman" w:eastAsia="黑体"/>
                <w:sz w:val="24"/>
              </w:rPr>
              <w:t>本项目分区防渗一览表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1"/>
              <w:gridCol w:w="1187"/>
              <w:gridCol w:w="2731"/>
              <w:gridCol w:w="2399"/>
            </w:tblGrid>
            <w:tr w14:paraId="6B82AB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2" w:type="pct"/>
                  <w:vAlign w:val="center"/>
                </w:tcPr>
                <w:p w14:paraId="085D784A">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b/>
                      <w:kern w:val="0"/>
                      <w:szCs w:val="23"/>
                    </w:rPr>
                  </w:pPr>
                  <w:r>
                    <w:rPr>
                      <w:rFonts w:hint="default" w:ascii="Times New Roman" w:hAnsi="Times New Roman" w:cs="Times New Roman"/>
                      <w:b/>
                      <w:kern w:val="0"/>
                      <w:szCs w:val="23"/>
                    </w:rPr>
                    <w:t>区域</w:t>
                  </w:r>
                </w:p>
              </w:tc>
              <w:tc>
                <w:tcPr>
                  <w:tcW w:w="783" w:type="pct"/>
                  <w:vAlign w:val="center"/>
                </w:tcPr>
                <w:p w14:paraId="0F00E73B">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b/>
                      <w:kern w:val="0"/>
                      <w:szCs w:val="23"/>
                    </w:rPr>
                  </w:pPr>
                  <w:r>
                    <w:rPr>
                      <w:rFonts w:hint="default" w:ascii="Times New Roman" w:hAnsi="Times New Roman" w:cs="Times New Roman"/>
                      <w:b/>
                      <w:kern w:val="0"/>
                      <w:szCs w:val="23"/>
                    </w:rPr>
                    <w:t>防渗等级</w:t>
                  </w:r>
                </w:p>
              </w:tc>
              <w:tc>
                <w:tcPr>
                  <w:tcW w:w="1801" w:type="pct"/>
                  <w:vAlign w:val="center"/>
                </w:tcPr>
                <w:p w14:paraId="1841E6AC">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b/>
                      <w:kern w:val="0"/>
                      <w:szCs w:val="23"/>
                    </w:rPr>
                  </w:pPr>
                  <w:r>
                    <w:rPr>
                      <w:rFonts w:hint="default" w:ascii="Times New Roman" w:hAnsi="Times New Roman" w:cs="Times New Roman"/>
                      <w:b/>
                      <w:kern w:val="0"/>
                      <w:szCs w:val="23"/>
                    </w:rPr>
                    <w:t>防渗技术要求</w:t>
                  </w:r>
                </w:p>
              </w:tc>
              <w:tc>
                <w:tcPr>
                  <w:tcW w:w="1582" w:type="pct"/>
                  <w:vAlign w:val="center"/>
                </w:tcPr>
                <w:p w14:paraId="5E3829ED">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b/>
                      <w:kern w:val="0"/>
                      <w:szCs w:val="23"/>
                    </w:rPr>
                  </w:pPr>
                  <w:r>
                    <w:rPr>
                      <w:rFonts w:hint="default" w:ascii="Times New Roman" w:hAnsi="Times New Roman" w:cs="Times New Roman"/>
                      <w:b/>
                      <w:kern w:val="0"/>
                      <w:szCs w:val="23"/>
                    </w:rPr>
                    <w:t>拟采取的防渗措施</w:t>
                  </w:r>
                </w:p>
              </w:tc>
            </w:tr>
            <w:tr w14:paraId="1267FA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15" w:hRule="atLeast"/>
              </w:trPr>
              <w:tc>
                <w:tcPr>
                  <w:tcW w:w="832" w:type="pct"/>
                  <w:vAlign w:val="center"/>
                </w:tcPr>
                <w:p w14:paraId="25F1B75A">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eastAsiaTheme="minorEastAsia"/>
                      <w:kern w:val="0"/>
                      <w:szCs w:val="23"/>
                      <w:lang w:val="en-US" w:eastAsia="zh-CN"/>
                    </w:rPr>
                  </w:pPr>
                  <w:r>
                    <w:rPr>
                      <w:rFonts w:hint="eastAsia" w:ascii="Times New Roman" w:hAnsi="Times New Roman" w:cs="Times New Roman"/>
                      <w:kern w:val="0"/>
                      <w:szCs w:val="23"/>
                      <w:lang w:eastAsia="zh-CN"/>
                    </w:rPr>
                    <w:t>质检室、</w:t>
                  </w:r>
                  <w:r>
                    <w:rPr>
                      <w:rFonts w:hint="eastAsia" w:ascii="Times New Roman" w:hAnsi="Times New Roman" w:cs="Times New Roman"/>
                      <w:kern w:val="0"/>
                      <w:szCs w:val="23"/>
                      <w:lang w:val="en-US" w:eastAsia="zh-CN"/>
                    </w:rPr>
                    <w:t>pH调节池</w:t>
                  </w:r>
                </w:p>
              </w:tc>
              <w:tc>
                <w:tcPr>
                  <w:tcW w:w="783" w:type="pct"/>
                  <w:vAlign w:val="center"/>
                </w:tcPr>
                <w:p w14:paraId="7C6F8304">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kern w:val="0"/>
                      <w:szCs w:val="23"/>
                    </w:rPr>
                  </w:pPr>
                  <w:r>
                    <w:rPr>
                      <w:rFonts w:hint="default" w:ascii="Times New Roman" w:hAnsi="Times New Roman" w:cs="Times New Roman"/>
                      <w:kern w:val="0"/>
                      <w:szCs w:val="23"/>
                    </w:rPr>
                    <w:t>重点防渗区</w:t>
                  </w:r>
                </w:p>
              </w:tc>
              <w:tc>
                <w:tcPr>
                  <w:tcW w:w="1801" w:type="pct"/>
                  <w:vAlign w:val="center"/>
                </w:tcPr>
                <w:p w14:paraId="517826A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szCs w:val="21"/>
                    </w:rPr>
                    <w:t>等效黏土防渗层Mb≥6.0m，K≤1×10</w:t>
                  </w:r>
                  <w:r>
                    <w:rPr>
                      <w:rFonts w:hint="default" w:ascii="Times New Roman" w:hAnsi="Times New Roman" w:cs="Times New Roman"/>
                      <w:szCs w:val="21"/>
                      <w:vertAlign w:val="superscript"/>
                    </w:rPr>
                    <w:t>-7</w:t>
                  </w:r>
                  <w:r>
                    <w:rPr>
                      <w:rFonts w:hint="default" w:ascii="Times New Roman" w:hAnsi="Times New Roman" w:cs="Times New Roman"/>
                      <w:szCs w:val="21"/>
                    </w:rPr>
                    <w:t>cm/s</w:t>
                  </w:r>
                </w:p>
              </w:tc>
              <w:tc>
                <w:tcPr>
                  <w:tcW w:w="1582" w:type="pct"/>
                  <w:vAlign w:val="center"/>
                </w:tcPr>
                <w:p w14:paraId="54B1A3EA">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kern w:val="0"/>
                      <w:szCs w:val="23"/>
                    </w:rPr>
                  </w:pPr>
                  <w:r>
                    <w:rPr>
                      <w:rFonts w:hint="default" w:ascii="Times New Roman" w:hAnsi="Times New Roman" w:cs="Times New Roman"/>
                      <w:kern w:val="0"/>
                      <w:szCs w:val="23"/>
                    </w:rPr>
                    <w:t>15cm抗渗混凝土+2mmHDPE膜</w:t>
                  </w:r>
                </w:p>
              </w:tc>
            </w:tr>
            <w:tr w14:paraId="4260B4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15" w:hRule="atLeast"/>
              </w:trPr>
              <w:tc>
                <w:tcPr>
                  <w:tcW w:w="832" w:type="pct"/>
                  <w:vAlign w:val="center"/>
                </w:tcPr>
                <w:p w14:paraId="3221238F">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kern w:val="0"/>
                      <w:szCs w:val="23"/>
                    </w:rPr>
                  </w:pPr>
                  <w:r>
                    <w:rPr>
                      <w:rFonts w:hint="default" w:ascii="Times New Roman" w:hAnsi="Times New Roman" w:cs="Times New Roman"/>
                      <w:kern w:val="0"/>
                      <w:szCs w:val="23"/>
                    </w:rPr>
                    <w:t>危险废物暂存间</w:t>
                  </w:r>
                </w:p>
              </w:tc>
              <w:tc>
                <w:tcPr>
                  <w:tcW w:w="783" w:type="pct"/>
                  <w:vAlign w:val="center"/>
                </w:tcPr>
                <w:p w14:paraId="57EE2D89">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kern w:val="0"/>
                      <w:szCs w:val="23"/>
                    </w:rPr>
                  </w:pPr>
                  <w:r>
                    <w:rPr>
                      <w:rFonts w:hint="default" w:ascii="Times New Roman" w:hAnsi="Times New Roman" w:cs="Times New Roman"/>
                      <w:kern w:val="0"/>
                      <w:szCs w:val="23"/>
                    </w:rPr>
                    <w:t>重点防渗区</w:t>
                  </w:r>
                </w:p>
              </w:tc>
              <w:tc>
                <w:tcPr>
                  <w:tcW w:w="1801" w:type="pct"/>
                  <w:vAlign w:val="center"/>
                </w:tcPr>
                <w:p w14:paraId="1081C23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szCs w:val="21"/>
                    </w:rPr>
                    <w:t>至少1m厚黏土层（渗透系数≤10</w:t>
                  </w:r>
                  <w:r>
                    <w:rPr>
                      <w:rFonts w:hint="default" w:ascii="Times New Roman" w:hAnsi="Times New Roman" w:cs="Times New Roman"/>
                      <w:szCs w:val="21"/>
                      <w:vertAlign w:val="superscript"/>
                    </w:rPr>
                    <w:t>-7</w:t>
                  </w:r>
                  <w:r>
                    <w:rPr>
                      <w:rFonts w:hint="default" w:ascii="Times New Roman" w:hAnsi="Times New Roman" w:cs="Times New Roman"/>
                      <w:szCs w:val="21"/>
                    </w:rPr>
                    <w:t>cm/s），或至少2mm厚高密度聚乙烯膜等人工防渗材料（渗透系数≤10</w:t>
                  </w:r>
                  <w:r>
                    <w:rPr>
                      <w:rFonts w:hint="default" w:ascii="Times New Roman" w:hAnsi="Times New Roman" w:cs="Times New Roman"/>
                      <w:szCs w:val="21"/>
                      <w:vertAlign w:val="superscript"/>
                    </w:rPr>
                    <w:t>-10</w:t>
                  </w:r>
                  <w:r>
                    <w:rPr>
                      <w:rFonts w:hint="default" w:ascii="Times New Roman" w:hAnsi="Times New Roman" w:cs="Times New Roman"/>
                      <w:szCs w:val="21"/>
                    </w:rPr>
                    <w:t>cm/s），或其他防渗性能等效的材料</w:t>
                  </w:r>
                </w:p>
              </w:tc>
              <w:tc>
                <w:tcPr>
                  <w:tcW w:w="1582" w:type="pct"/>
                  <w:vAlign w:val="center"/>
                </w:tcPr>
                <w:p w14:paraId="56F25F82">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kern w:val="0"/>
                      <w:szCs w:val="23"/>
                    </w:rPr>
                  </w:pPr>
                  <w:r>
                    <w:rPr>
                      <w:rFonts w:hint="default" w:ascii="Times New Roman" w:hAnsi="Times New Roman" w:cs="Times New Roman"/>
                      <w:kern w:val="0"/>
                      <w:szCs w:val="23"/>
                    </w:rPr>
                    <w:t>15cm抗渗混凝土+2mmHDPE膜</w:t>
                  </w:r>
                </w:p>
              </w:tc>
            </w:tr>
            <w:tr w14:paraId="257A0C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2" w:type="pct"/>
                  <w:vAlign w:val="center"/>
                </w:tcPr>
                <w:p w14:paraId="5E1F825B">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kern w:val="0"/>
                      <w:szCs w:val="23"/>
                    </w:rPr>
                  </w:pPr>
                  <w:r>
                    <w:rPr>
                      <w:rFonts w:hint="default" w:ascii="Times New Roman" w:hAnsi="Times New Roman" w:cs="Times New Roman"/>
                      <w:kern w:val="0"/>
                      <w:szCs w:val="23"/>
                    </w:rPr>
                    <w:t>生产厂房其他区域</w:t>
                  </w:r>
                </w:p>
              </w:tc>
              <w:tc>
                <w:tcPr>
                  <w:tcW w:w="783" w:type="pct"/>
                  <w:vAlign w:val="center"/>
                </w:tcPr>
                <w:p w14:paraId="0EB270B5">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kern w:val="0"/>
                      <w:szCs w:val="23"/>
                    </w:rPr>
                  </w:pPr>
                  <w:r>
                    <w:rPr>
                      <w:rFonts w:hint="default" w:ascii="Times New Roman" w:hAnsi="Times New Roman" w:cs="Times New Roman"/>
                      <w:kern w:val="0"/>
                      <w:szCs w:val="23"/>
                    </w:rPr>
                    <w:t>一般防渗区</w:t>
                  </w:r>
                </w:p>
              </w:tc>
              <w:tc>
                <w:tcPr>
                  <w:tcW w:w="1801" w:type="pct"/>
                  <w:vAlign w:val="center"/>
                </w:tcPr>
                <w:p w14:paraId="6488247D">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kern w:val="0"/>
                      <w:szCs w:val="23"/>
                    </w:rPr>
                  </w:pPr>
                  <w:r>
                    <w:rPr>
                      <w:rFonts w:hint="default" w:ascii="Times New Roman" w:hAnsi="Times New Roman" w:cs="Times New Roman"/>
                      <w:szCs w:val="21"/>
                    </w:rPr>
                    <w:t>等效黏土防渗层Mb≥1.5m，K≤1×10</w:t>
                  </w:r>
                  <w:r>
                    <w:rPr>
                      <w:rFonts w:hint="default" w:ascii="Times New Roman" w:hAnsi="Times New Roman" w:cs="Times New Roman"/>
                      <w:szCs w:val="21"/>
                      <w:vertAlign w:val="superscript"/>
                    </w:rPr>
                    <w:t>-7</w:t>
                  </w:r>
                  <w:r>
                    <w:rPr>
                      <w:rFonts w:hint="default" w:ascii="Times New Roman" w:hAnsi="Times New Roman" w:cs="Times New Roman"/>
                      <w:szCs w:val="21"/>
                    </w:rPr>
                    <w:t>cm/s</w:t>
                  </w:r>
                </w:p>
              </w:tc>
              <w:tc>
                <w:tcPr>
                  <w:tcW w:w="1582" w:type="pct"/>
                  <w:vAlign w:val="center"/>
                </w:tcPr>
                <w:p w14:paraId="23A87E25">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cs="Times New Roman"/>
                      <w:szCs w:val="21"/>
                    </w:rPr>
                  </w:pPr>
                  <w:r>
                    <w:rPr>
                      <w:rFonts w:hint="default" w:ascii="Times New Roman" w:hAnsi="Times New Roman" w:cs="Times New Roman"/>
                      <w:kern w:val="0"/>
                      <w:szCs w:val="23"/>
                    </w:rPr>
                    <w:t>15cm抗渗混凝土</w:t>
                  </w:r>
                </w:p>
              </w:tc>
            </w:tr>
          </w:tbl>
          <w:p w14:paraId="5B60A1C1">
            <w:pPr>
              <w:keepNext w:val="0"/>
              <w:keepLines w:val="0"/>
              <w:suppressLineNumbers w:val="0"/>
              <w:spacing w:before="0" w:beforeAutospacing="0" w:after="0" w:afterAutospacing="0" w:line="440" w:lineRule="exact"/>
              <w:ind w:left="0" w:right="0" w:firstLine="470" w:firstLineChars="196"/>
              <w:rPr>
                <w:rFonts w:hint="default" w:ascii="Times New Roman" w:hAnsi="Times New Roman" w:eastAsia="宋体" w:cs="Times New Roman"/>
                <w:b/>
                <w:sz w:val="24"/>
                <w:szCs w:val="24"/>
              </w:rPr>
            </w:pPr>
            <w:r>
              <w:rPr>
                <w:rFonts w:hint="default" w:ascii="Times New Roman" w:hAnsi="Times New Roman" w:cs="Times New Roman"/>
                <w:sz w:val="24"/>
                <w:szCs w:val="20"/>
              </w:rPr>
              <w:t>因此，在落实各项防渗措施后，项目不会对区域地下水、土壤环境产生明显影响。</w:t>
            </w:r>
          </w:p>
          <w:p w14:paraId="5784BF8A">
            <w:pPr>
              <w:keepNext w:val="0"/>
              <w:keepLines w:val="0"/>
              <w:suppressLineNumbers w:val="0"/>
              <w:spacing w:before="0" w:beforeAutospacing="0" w:after="0" w:afterAutospacing="0" w:line="440" w:lineRule="exact"/>
              <w:ind w:left="0" w:right="0" w:firstLine="472" w:firstLineChars="196"/>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六、环境风险评价</w:t>
            </w:r>
          </w:p>
          <w:p w14:paraId="55D4A9C9">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cs="Times New Roman"/>
                <w:bCs/>
                <w:sz w:val="24"/>
                <w:szCs w:val="24"/>
              </w:rPr>
            </w:pPr>
            <w:r>
              <w:rPr>
                <w:rFonts w:hint="eastAsia" w:ascii="Times New Roman" w:hAnsi="Times New Roman" w:cs="Times New Roman"/>
                <w:b/>
                <w:bCs/>
                <w:sz w:val="24"/>
              </w:rPr>
              <w:t>1、</w:t>
            </w:r>
            <w:r>
              <w:rPr>
                <w:rFonts w:hint="eastAsia" w:ascii="Times New Roman" w:hAnsi="Times New Roman" w:cs="Times New Roman"/>
                <w:bCs/>
                <w:sz w:val="24"/>
                <w:szCs w:val="24"/>
              </w:rPr>
              <w:t>环境风险调查</w:t>
            </w:r>
          </w:p>
          <w:p w14:paraId="6FA047D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sz w:val="24"/>
                <w:szCs w:val="24"/>
              </w:rPr>
            </w:pPr>
            <w:r>
              <w:rPr>
                <w:rFonts w:hint="eastAsia" w:ascii="Times New Roman" w:hAnsi="Times New Roman" w:cs="Times New Roman"/>
                <w:bCs/>
                <w:sz w:val="24"/>
                <w:szCs w:val="24"/>
              </w:rPr>
              <w:t>拟建项目生产过程中涉及的原辅材料主要为硅胶、分子筛、活性炭等；涉及的固体废物为</w:t>
            </w:r>
            <w:r>
              <w:rPr>
                <w:rFonts w:hint="eastAsia" w:ascii="Times New Roman" w:hAnsi="Times New Roman"/>
                <w:kern w:val="0"/>
                <w:sz w:val="24"/>
                <w:szCs w:val="24"/>
              </w:rPr>
              <w:t>不合格品</w:t>
            </w:r>
            <w:r>
              <w:rPr>
                <w:rFonts w:hint="default" w:ascii="Times New Roman" w:hAnsi="Times New Roman"/>
                <w:kern w:val="0"/>
                <w:sz w:val="24"/>
                <w:szCs w:val="24"/>
              </w:rPr>
              <w:t>、边角料</w:t>
            </w:r>
            <w:r>
              <w:rPr>
                <w:rFonts w:hint="eastAsia" w:ascii="Times New Roman" w:hAnsi="Times New Roman"/>
                <w:kern w:val="0"/>
                <w:sz w:val="24"/>
                <w:szCs w:val="24"/>
              </w:rPr>
              <w:t>、</w:t>
            </w:r>
            <w:r>
              <w:rPr>
                <w:rFonts w:hint="default" w:ascii="Times New Roman" w:hAnsi="Times New Roman"/>
                <w:kern w:val="0"/>
                <w:sz w:val="24"/>
                <w:szCs w:val="24"/>
              </w:rPr>
              <w:t>废包装材料</w:t>
            </w:r>
            <w:r>
              <w:rPr>
                <w:rFonts w:hint="eastAsia" w:ascii="Times New Roman" w:hAnsi="Times New Roman" w:cs="Times New Roman"/>
                <w:bCs/>
                <w:sz w:val="24"/>
                <w:szCs w:val="24"/>
              </w:rPr>
              <w:t>、</w:t>
            </w:r>
            <w:r>
              <w:rPr>
                <w:rFonts w:hint="eastAsia" w:ascii="Times New Roman" w:hAnsi="Times New Roman" w:cs="Times New Roman"/>
                <w:bCs/>
                <w:sz w:val="24"/>
                <w:szCs w:val="24"/>
                <w:lang w:val="en-US" w:eastAsia="zh-CN"/>
              </w:rPr>
              <w:t>废干燥剂</w:t>
            </w:r>
            <w:r>
              <w:rPr>
                <w:rFonts w:hint="eastAsia" w:ascii="Times New Roman" w:hAnsi="Times New Roman" w:cs="Times New Roman"/>
                <w:bCs/>
                <w:sz w:val="24"/>
                <w:szCs w:val="24"/>
              </w:rPr>
              <w:t>、废无尘布、废弃样品</w:t>
            </w:r>
            <w:r>
              <w:rPr>
                <w:rFonts w:hint="eastAsia" w:ascii="Times New Roman" w:hAnsi="Times New Roman" w:cs="Times New Roman"/>
                <w:bCs/>
                <w:sz w:val="24"/>
                <w:szCs w:val="24"/>
                <w:lang w:eastAsia="zh-CN"/>
              </w:rPr>
              <w:t>、</w:t>
            </w:r>
            <w:r>
              <w:rPr>
                <w:rFonts w:hint="eastAsia" w:ascii="Times New Roman" w:hAnsi="Times New Roman" w:cs="Times New Roman"/>
                <w:bCs/>
                <w:sz w:val="24"/>
                <w:szCs w:val="24"/>
                <w:lang w:val="en-US" w:eastAsia="zh-CN"/>
              </w:rPr>
              <w:t>实验废液、废培养基</w:t>
            </w:r>
            <w:r>
              <w:rPr>
                <w:rFonts w:hint="eastAsia" w:ascii="Times New Roman" w:hAnsi="Times New Roman" w:cs="Times New Roman"/>
                <w:bCs/>
                <w:sz w:val="24"/>
                <w:szCs w:val="24"/>
                <w:lang w:eastAsia="zh-CN"/>
              </w:rPr>
              <w:t>、</w:t>
            </w:r>
            <w:r>
              <w:rPr>
                <w:rFonts w:hint="eastAsia" w:ascii="Times New Roman" w:hAnsi="Times New Roman" w:eastAsia="宋体" w:cs="Times New Roman"/>
                <w:sz w:val="24"/>
                <w:szCs w:val="24"/>
              </w:rPr>
              <w:t>一次、二次清洗废液</w:t>
            </w:r>
            <w:r>
              <w:rPr>
                <w:rFonts w:hint="eastAsia" w:ascii="Times New Roman" w:hAnsi="Times New Roman" w:cs="Times New Roman"/>
                <w:bCs/>
                <w:sz w:val="24"/>
                <w:szCs w:val="24"/>
                <w:lang w:val="en-US" w:eastAsia="zh-CN"/>
              </w:rPr>
              <w:t>和</w:t>
            </w:r>
            <w:r>
              <w:rPr>
                <w:rFonts w:hint="eastAsia" w:ascii="Times New Roman" w:hAnsi="Times New Roman" w:cs="Times New Roman"/>
                <w:bCs/>
                <w:sz w:val="24"/>
                <w:szCs w:val="24"/>
              </w:rPr>
              <w:t>生活垃圾。</w:t>
            </w:r>
          </w:p>
          <w:p w14:paraId="7D71F17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sz w:val="24"/>
                <w:szCs w:val="24"/>
              </w:rPr>
            </w:pPr>
            <w:r>
              <w:rPr>
                <w:rFonts w:hint="eastAsia" w:ascii="Times New Roman" w:hAnsi="Times New Roman" w:cs="Times New Roman"/>
                <w:bCs/>
                <w:sz w:val="24"/>
                <w:szCs w:val="24"/>
              </w:rPr>
              <w:t>根据《危险化学品名录》和《建设项目环境风险评价技术导则》（HJ169-2018）附录B中突发环境事件风险物质及临界值表</w:t>
            </w:r>
            <w:r>
              <w:rPr>
                <w:rFonts w:hint="default" w:ascii="Times New Roman" w:hAnsi="Times New Roman" w:cs="Times New Roman"/>
                <w:bCs/>
                <w:sz w:val="24"/>
                <w:szCs w:val="24"/>
              </w:rPr>
              <w:t>，</w:t>
            </w:r>
            <w:r>
              <w:rPr>
                <w:rFonts w:hint="eastAsia" w:ascii="Times New Roman" w:hAnsi="Times New Roman" w:cs="Times New Roman"/>
                <w:sz w:val="24"/>
              </w:rPr>
              <w:t>本项目厂区内危险物质有</w:t>
            </w:r>
            <w:r>
              <w:rPr>
                <w:rFonts w:hint="eastAsia" w:ascii="Times New Roman" w:hAnsi="Times New Roman" w:cs="Times New Roman"/>
                <w:bCs/>
                <w:sz w:val="24"/>
                <w:szCs w:val="24"/>
              </w:rPr>
              <w:t>废无尘布、废弃样品</w:t>
            </w:r>
            <w:r>
              <w:rPr>
                <w:rFonts w:hint="eastAsia" w:ascii="Times New Roman" w:hAnsi="Times New Roman" w:cs="Times New Roman"/>
                <w:bCs/>
                <w:sz w:val="24"/>
                <w:szCs w:val="24"/>
                <w:lang w:eastAsia="zh-CN"/>
              </w:rPr>
              <w:t>、</w:t>
            </w:r>
            <w:r>
              <w:rPr>
                <w:rFonts w:hint="eastAsia" w:ascii="Times New Roman" w:hAnsi="Times New Roman" w:cs="Times New Roman"/>
                <w:bCs/>
                <w:sz w:val="24"/>
                <w:szCs w:val="24"/>
                <w:lang w:val="en-US" w:eastAsia="zh-CN"/>
              </w:rPr>
              <w:t>实验废液、废培养基和</w:t>
            </w:r>
            <w:r>
              <w:rPr>
                <w:rFonts w:hint="eastAsia" w:ascii="Times New Roman" w:hAnsi="Times New Roman" w:eastAsia="宋体" w:cs="Times New Roman"/>
                <w:sz w:val="24"/>
                <w:szCs w:val="24"/>
              </w:rPr>
              <w:t>一次、二次清洗废液</w:t>
            </w:r>
            <w:r>
              <w:rPr>
                <w:rFonts w:hint="eastAsia" w:ascii="Times New Roman" w:hAnsi="Times New Roman" w:cs="Times New Roman"/>
                <w:sz w:val="24"/>
              </w:rPr>
              <w:t>，</w:t>
            </w:r>
            <w:r>
              <w:rPr>
                <w:rFonts w:hint="default" w:ascii="Times New Roman" w:hAnsi="Times New Roman" w:cs="Times New Roman"/>
                <w:bCs/>
                <w:sz w:val="24"/>
                <w:szCs w:val="24"/>
              </w:rPr>
              <w:t>本项目主要</w:t>
            </w:r>
            <w:r>
              <w:rPr>
                <w:rFonts w:hint="eastAsia" w:ascii="Times New Roman" w:hAnsi="Times New Roman" w:cs="Times New Roman"/>
                <w:bCs/>
                <w:sz w:val="24"/>
                <w:szCs w:val="24"/>
              </w:rPr>
              <w:t>危险</w:t>
            </w:r>
            <w:r>
              <w:rPr>
                <w:rFonts w:hint="default" w:ascii="Times New Roman" w:hAnsi="Times New Roman" w:cs="Times New Roman"/>
                <w:bCs/>
                <w:sz w:val="24"/>
                <w:szCs w:val="24"/>
              </w:rPr>
              <w:t>物质数量及分布情况详见下表。</w:t>
            </w:r>
          </w:p>
          <w:p w14:paraId="7BB0CE61">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7E0C2E07">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7CB533F6">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5F937C77">
            <w:pPr>
              <w:keepNext w:val="0"/>
              <w:keepLines w:val="0"/>
              <w:suppressLineNumbers w:val="0"/>
              <w:spacing w:before="0" w:beforeAutospacing="0" w:after="0" w:afterAutospacing="0" w:line="360" w:lineRule="auto"/>
              <w:ind w:left="0" w:right="0"/>
              <w:jc w:val="center"/>
              <w:rPr>
                <w:rFonts w:hint="default"/>
              </w:rPr>
            </w:pPr>
          </w:p>
          <w:p w14:paraId="1CD773D4">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6B0B4070">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762278CD">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szCs w:val="24"/>
              </w:rPr>
            </w:pPr>
          </w:p>
          <w:p w14:paraId="5280CEA7">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Cs/>
                <w:sz w:val="24"/>
              </w:rPr>
            </w:pPr>
            <w:r>
              <w:rPr>
                <w:rFonts w:hint="default" w:ascii="Times New Roman" w:hAnsi="Times New Roman" w:eastAsia="黑体" w:cs="Times New Roman"/>
                <w:bCs/>
                <w:sz w:val="24"/>
                <w:szCs w:val="24"/>
              </w:rPr>
              <w:t>表4-</w:t>
            </w:r>
            <w:r>
              <w:rPr>
                <w:rFonts w:hint="eastAsia" w:ascii="Times New Roman" w:hAnsi="Times New Roman" w:eastAsia="黑体" w:cs="Times New Roman"/>
                <w:bCs/>
                <w:sz w:val="24"/>
                <w:szCs w:val="24"/>
              </w:rPr>
              <w:t xml:space="preserve">10  </w:t>
            </w:r>
            <w:r>
              <w:rPr>
                <w:rFonts w:hint="default" w:ascii="Times New Roman" w:hAnsi="Times New Roman" w:eastAsia="黑体" w:cs="Times New Roman"/>
                <w:bCs/>
                <w:sz w:val="24"/>
              </w:rPr>
              <w:t>本项目</w:t>
            </w:r>
            <w:r>
              <w:rPr>
                <w:rFonts w:hint="eastAsia" w:ascii="Times New Roman" w:hAnsi="Times New Roman" w:eastAsia="黑体" w:cs="Times New Roman"/>
                <w:bCs/>
                <w:sz w:val="24"/>
              </w:rPr>
              <w:t>涉及</w:t>
            </w:r>
            <w:r>
              <w:rPr>
                <w:rFonts w:hint="default" w:ascii="Times New Roman" w:hAnsi="Times New Roman" w:eastAsia="黑体" w:cs="Times New Roman"/>
                <w:bCs/>
                <w:sz w:val="24"/>
              </w:rPr>
              <w:t>的</w:t>
            </w:r>
            <w:r>
              <w:rPr>
                <w:rFonts w:hint="eastAsia" w:ascii="Times New Roman" w:hAnsi="Times New Roman" w:eastAsia="黑体" w:cs="Times New Roman"/>
                <w:sz w:val="24"/>
              </w:rPr>
              <w:t>危险</w:t>
            </w:r>
            <w:r>
              <w:rPr>
                <w:rFonts w:hint="default" w:ascii="Times New Roman" w:hAnsi="Times New Roman" w:eastAsia="黑体" w:cs="Times New Roman"/>
                <w:sz w:val="24"/>
              </w:rPr>
              <w:t>物质</w:t>
            </w:r>
            <w:r>
              <w:rPr>
                <w:rFonts w:hint="default" w:ascii="Times New Roman" w:hAnsi="Times New Roman" w:eastAsia="黑体" w:cs="Times New Roman"/>
                <w:bCs/>
                <w:sz w:val="24"/>
              </w:rPr>
              <w:t>情况一览表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96"/>
              <w:gridCol w:w="1067"/>
              <w:gridCol w:w="2100"/>
              <w:gridCol w:w="1325"/>
              <w:gridCol w:w="1048"/>
            </w:tblGrid>
            <w:tr w14:paraId="06C24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42" w:type="dxa"/>
                  <w:vAlign w:val="center"/>
                </w:tcPr>
                <w:p w14:paraId="7566A77C">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
                      <w:bCs/>
                      <w:szCs w:val="21"/>
                      <w:lang w:val="zh-CN"/>
                    </w:rPr>
                  </w:pPr>
                  <w:r>
                    <w:rPr>
                      <w:rFonts w:hint="default" w:ascii="Times New Roman" w:hAnsi="Times New Roman"/>
                      <w:b/>
                      <w:bCs/>
                      <w:szCs w:val="21"/>
                      <w:lang w:val="zh-CN"/>
                    </w:rPr>
                    <w:t>序号</w:t>
                  </w:r>
                </w:p>
              </w:tc>
              <w:tc>
                <w:tcPr>
                  <w:tcW w:w="1296" w:type="dxa"/>
                  <w:vAlign w:val="center"/>
                </w:tcPr>
                <w:p w14:paraId="79595F29">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
                      <w:bCs/>
                      <w:szCs w:val="21"/>
                      <w:lang w:val="zh-CN"/>
                    </w:rPr>
                  </w:pPr>
                  <w:r>
                    <w:rPr>
                      <w:rFonts w:hint="default" w:ascii="Times New Roman" w:hAnsi="Times New Roman"/>
                      <w:b/>
                      <w:bCs/>
                      <w:szCs w:val="21"/>
                      <w:lang w:val="zh-CN"/>
                    </w:rPr>
                    <w:t>物质名称</w:t>
                  </w:r>
                </w:p>
              </w:tc>
              <w:tc>
                <w:tcPr>
                  <w:tcW w:w="1067" w:type="dxa"/>
                  <w:vAlign w:val="center"/>
                </w:tcPr>
                <w:p w14:paraId="5B823879">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
                      <w:bCs/>
                      <w:szCs w:val="21"/>
                      <w:lang w:val="zh-CN"/>
                    </w:rPr>
                  </w:pPr>
                  <w:r>
                    <w:rPr>
                      <w:rFonts w:hint="default" w:ascii="Times New Roman" w:hAnsi="Times New Roman"/>
                      <w:b/>
                      <w:bCs/>
                      <w:szCs w:val="21"/>
                      <w:lang w:val="zh-CN"/>
                    </w:rPr>
                    <w:t>储存地点</w:t>
                  </w:r>
                </w:p>
              </w:tc>
              <w:tc>
                <w:tcPr>
                  <w:tcW w:w="2100" w:type="dxa"/>
                  <w:vAlign w:val="center"/>
                </w:tcPr>
                <w:p w14:paraId="6997AE13">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
                      <w:bCs/>
                      <w:szCs w:val="21"/>
                      <w:lang w:val="zh-CN"/>
                    </w:rPr>
                  </w:pPr>
                  <w:r>
                    <w:rPr>
                      <w:rFonts w:hint="default" w:ascii="Times New Roman" w:hAnsi="Times New Roman"/>
                      <w:b/>
                      <w:bCs/>
                      <w:szCs w:val="21"/>
                      <w:lang w:val="zh-CN"/>
                    </w:rPr>
                    <w:t>厂区最大贮存量（t）</w:t>
                  </w:r>
                </w:p>
              </w:tc>
              <w:tc>
                <w:tcPr>
                  <w:tcW w:w="1325" w:type="dxa"/>
                  <w:vAlign w:val="center"/>
                </w:tcPr>
                <w:p w14:paraId="58AEC36B">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
                      <w:bCs/>
                      <w:szCs w:val="21"/>
                      <w:lang w:val="zh-CN"/>
                    </w:rPr>
                  </w:pPr>
                  <w:r>
                    <w:rPr>
                      <w:rFonts w:hint="default" w:ascii="Times New Roman" w:hAnsi="Times New Roman"/>
                      <w:b/>
                      <w:szCs w:val="21"/>
                    </w:rPr>
                    <w:t>临界量</w:t>
                  </w:r>
                  <w:r>
                    <w:rPr>
                      <w:rFonts w:hint="default" w:ascii="Times New Roman" w:hAnsi="Times New Roman"/>
                      <w:b/>
                      <w:bCs/>
                      <w:szCs w:val="21"/>
                      <w:lang w:val="zh-CN"/>
                    </w:rPr>
                    <w:t>（t）</w:t>
                  </w:r>
                </w:p>
              </w:tc>
              <w:tc>
                <w:tcPr>
                  <w:tcW w:w="1048" w:type="dxa"/>
                  <w:vAlign w:val="center"/>
                </w:tcPr>
                <w:p w14:paraId="7717106A">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
                      <w:bCs/>
                      <w:szCs w:val="21"/>
                      <w:lang w:val="zh-CN"/>
                    </w:rPr>
                  </w:pPr>
                  <w:r>
                    <w:rPr>
                      <w:rFonts w:hint="default" w:ascii="Times New Roman" w:hAnsi="Times New Roman"/>
                      <w:b/>
                      <w:bCs/>
                      <w:szCs w:val="21"/>
                      <w:lang w:val="zh-CN"/>
                    </w:rPr>
                    <w:t>Q值</w:t>
                  </w:r>
                </w:p>
              </w:tc>
            </w:tr>
            <w:tr w14:paraId="435E7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14:paraId="6200D65B">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rPr>
                  </w:pPr>
                  <w:r>
                    <w:rPr>
                      <w:rFonts w:hint="eastAsia" w:ascii="Times New Roman" w:hAnsi="Times New Roman"/>
                      <w:bCs/>
                      <w:szCs w:val="21"/>
                    </w:rPr>
                    <w:t>1</w:t>
                  </w:r>
                </w:p>
              </w:tc>
              <w:tc>
                <w:tcPr>
                  <w:tcW w:w="1296" w:type="dxa"/>
                  <w:vAlign w:val="center"/>
                </w:tcPr>
                <w:p w14:paraId="3120604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废无尘布</w:t>
                  </w:r>
                </w:p>
              </w:tc>
              <w:tc>
                <w:tcPr>
                  <w:tcW w:w="1067" w:type="dxa"/>
                  <w:vMerge w:val="restart"/>
                  <w:vAlign w:val="center"/>
                </w:tcPr>
                <w:p w14:paraId="151DDFFE">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rPr>
                  </w:pPr>
                  <w:r>
                    <w:rPr>
                      <w:rFonts w:hint="eastAsia" w:ascii="Times New Roman" w:hAnsi="Times New Roman"/>
                      <w:bCs/>
                      <w:szCs w:val="21"/>
                    </w:rPr>
                    <w:t>危险废物暂存间</w:t>
                  </w:r>
                </w:p>
              </w:tc>
              <w:tc>
                <w:tcPr>
                  <w:tcW w:w="2100" w:type="dxa"/>
                  <w:vAlign w:val="center"/>
                </w:tcPr>
                <w:p w14:paraId="2B38F38F">
                  <w:pPr>
                    <w:pStyle w:val="32"/>
                    <w:keepNext w:val="0"/>
                    <w:keepLines w:val="0"/>
                    <w:suppressLineNumbers w:val="0"/>
                    <w:spacing w:before="0" w:beforeAutospacing="0" w:after="0" w:afterAutospacing="0"/>
                    <w:ind w:left="0" w:right="0"/>
                    <w:rPr>
                      <w:rFonts w:hint="default"/>
                    </w:rPr>
                  </w:pPr>
                  <w:r>
                    <w:rPr>
                      <w:rFonts w:hint="eastAsia"/>
                    </w:rPr>
                    <w:t>0.02</w:t>
                  </w:r>
                </w:p>
              </w:tc>
              <w:tc>
                <w:tcPr>
                  <w:tcW w:w="1325" w:type="dxa"/>
                  <w:vAlign w:val="center"/>
                </w:tcPr>
                <w:p w14:paraId="0103BDE6">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rPr>
                  </w:pPr>
                  <w:r>
                    <w:rPr>
                      <w:rFonts w:hint="eastAsia" w:ascii="Times New Roman" w:hAnsi="Times New Roman"/>
                      <w:bCs/>
                      <w:szCs w:val="21"/>
                    </w:rPr>
                    <w:t>50</w:t>
                  </w:r>
                </w:p>
              </w:tc>
              <w:tc>
                <w:tcPr>
                  <w:tcW w:w="1048" w:type="dxa"/>
                  <w:vAlign w:val="center"/>
                </w:tcPr>
                <w:p w14:paraId="24E792AF">
                  <w:pPr>
                    <w:keepNext w:val="0"/>
                    <w:keepLines w:val="0"/>
                    <w:suppressLineNumbers w:val="0"/>
                    <w:spacing w:before="0" w:beforeAutospacing="0" w:after="0" w:afterAutospacing="0" w:line="276" w:lineRule="auto"/>
                    <w:ind w:left="0" w:right="0"/>
                    <w:jc w:val="center"/>
                    <w:rPr>
                      <w:rFonts w:hint="default" w:ascii="Times New Roman" w:hAnsi="Times New Roman"/>
                      <w:szCs w:val="21"/>
                    </w:rPr>
                  </w:pPr>
                  <w:r>
                    <w:rPr>
                      <w:rFonts w:hint="eastAsia" w:ascii="Times New Roman" w:hAnsi="Times New Roman"/>
                      <w:szCs w:val="21"/>
                    </w:rPr>
                    <w:t>0.0004</w:t>
                  </w:r>
                </w:p>
              </w:tc>
            </w:tr>
            <w:tr w14:paraId="7A893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14:paraId="768EA9B0">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rPr>
                  </w:pPr>
                  <w:r>
                    <w:rPr>
                      <w:rFonts w:hint="eastAsia" w:ascii="Times New Roman" w:hAnsi="Times New Roman"/>
                      <w:bCs/>
                      <w:szCs w:val="21"/>
                    </w:rPr>
                    <w:t>2</w:t>
                  </w:r>
                </w:p>
              </w:tc>
              <w:tc>
                <w:tcPr>
                  <w:tcW w:w="1296" w:type="dxa"/>
                  <w:vAlign w:val="center"/>
                </w:tcPr>
                <w:p w14:paraId="4550773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废弃样品</w:t>
                  </w:r>
                </w:p>
              </w:tc>
              <w:tc>
                <w:tcPr>
                  <w:tcW w:w="1067" w:type="dxa"/>
                  <w:vMerge w:val="continue"/>
                  <w:vAlign w:val="center"/>
                </w:tcPr>
                <w:p w14:paraId="5F1784E7">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lang w:val="zh-CN"/>
                    </w:rPr>
                  </w:pPr>
                </w:p>
              </w:tc>
              <w:tc>
                <w:tcPr>
                  <w:tcW w:w="2100" w:type="dxa"/>
                  <w:vAlign w:val="center"/>
                </w:tcPr>
                <w:p w14:paraId="05602976">
                  <w:pPr>
                    <w:pStyle w:val="32"/>
                    <w:keepNext w:val="0"/>
                    <w:keepLines w:val="0"/>
                    <w:suppressLineNumbers w:val="0"/>
                    <w:spacing w:before="0" w:beforeAutospacing="0" w:after="0" w:afterAutospacing="0"/>
                    <w:ind w:left="0" w:right="0"/>
                    <w:rPr>
                      <w:rFonts w:hint="default"/>
                    </w:rPr>
                  </w:pPr>
                  <w:r>
                    <w:rPr>
                      <w:rFonts w:hint="eastAsia"/>
                    </w:rPr>
                    <w:t>0.2</w:t>
                  </w:r>
                </w:p>
              </w:tc>
              <w:tc>
                <w:tcPr>
                  <w:tcW w:w="1325" w:type="dxa"/>
                  <w:vAlign w:val="center"/>
                </w:tcPr>
                <w:p w14:paraId="5B86C35F">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rPr>
                  </w:pPr>
                  <w:r>
                    <w:rPr>
                      <w:rFonts w:hint="eastAsia" w:ascii="Times New Roman" w:hAnsi="Times New Roman"/>
                      <w:bCs/>
                      <w:szCs w:val="21"/>
                    </w:rPr>
                    <w:t>50</w:t>
                  </w:r>
                </w:p>
              </w:tc>
              <w:tc>
                <w:tcPr>
                  <w:tcW w:w="1048" w:type="dxa"/>
                  <w:vAlign w:val="center"/>
                </w:tcPr>
                <w:p w14:paraId="4DFB1CE5">
                  <w:pPr>
                    <w:keepNext w:val="0"/>
                    <w:keepLines w:val="0"/>
                    <w:suppressLineNumbers w:val="0"/>
                    <w:spacing w:before="0" w:beforeAutospacing="0" w:after="0" w:afterAutospacing="0" w:line="276" w:lineRule="auto"/>
                    <w:ind w:left="0" w:right="0"/>
                    <w:jc w:val="center"/>
                    <w:rPr>
                      <w:rFonts w:hint="default" w:ascii="Times New Roman" w:hAnsi="Times New Roman"/>
                      <w:szCs w:val="21"/>
                    </w:rPr>
                  </w:pPr>
                  <w:r>
                    <w:rPr>
                      <w:rFonts w:hint="eastAsia" w:ascii="Times New Roman" w:hAnsi="Times New Roman"/>
                      <w:szCs w:val="21"/>
                    </w:rPr>
                    <w:t>0.0004</w:t>
                  </w:r>
                </w:p>
              </w:tc>
            </w:tr>
            <w:tr w14:paraId="07216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14:paraId="3D6BB3AB">
                  <w:pPr>
                    <w:keepNext w:val="0"/>
                    <w:keepLines w:val="0"/>
                    <w:suppressLineNumbers w:val="0"/>
                    <w:autoSpaceDE w:val="0"/>
                    <w:autoSpaceDN w:val="0"/>
                    <w:spacing w:before="0" w:beforeAutospacing="0" w:after="0" w:afterAutospacing="0" w:line="276" w:lineRule="auto"/>
                    <w:ind w:left="0" w:right="0"/>
                    <w:jc w:val="center"/>
                    <w:rPr>
                      <w:rFonts w:hint="eastAsia" w:ascii="Times New Roman" w:hAnsi="Times New Roman" w:eastAsiaTheme="minorEastAsia"/>
                      <w:bCs/>
                      <w:szCs w:val="21"/>
                      <w:lang w:val="en-US" w:eastAsia="zh-CN"/>
                    </w:rPr>
                  </w:pPr>
                  <w:r>
                    <w:rPr>
                      <w:rFonts w:hint="eastAsia" w:ascii="Times New Roman" w:hAnsi="Times New Roman"/>
                      <w:bCs/>
                      <w:szCs w:val="21"/>
                      <w:lang w:val="en-US" w:eastAsia="zh-CN"/>
                    </w:rPr>
                    <w:t>3</w:t>
                  </w:r>
                </w:p>
              </w:tc>
              <w:tc>
                <w:tcPr>
                  <w:tcW w:w="1296" w:type="dxa"/>
                  <w:vAlign w:val="center"/>
                </w:tcPr>
                <w:p w14:paraId="783CB7E9">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实验废液</w:t>
                  </w:r>
                </w:p>
              </w:tc>
              <w:tc>
                <w:tcPr>
                  <w:tcW w:w="1067" w:type="dxa"/>
                  <w:vMerge w:val="continue"/>
                  <w:vAlign w:val="center"/>
                </w:tcPr>
                <w:p w14:paraId="2AFA7B0E">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lang w:val="zh-CN"/>
                    </w:rPr>
                  </w:pPr>
                </w:p>
              </w:tc>
              <w:tc>
                <w:tcPr>
                  <w:tcW w:w="2100" w:type="dxa"/>
                  <w:vAlign w:val="center"/>
                </w:tcPr>
                <w:p w14:paraId="700D6FC7">
                  <w:pPr>
                    <w:pStyle w:val="32"/>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0.375</w:t>
                  </w:r>
                </w:p>
              </w:tc>
              <w:tc>
                <w:tcPr>
                  <w:tcW w:w="1325" w:type="dxa"/>
                  <w:vAlign w:val="center"/>
                </w:tcPr>
                <w:p w14:paraId="01312AEB">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eastAsiaTheme="minorEastAsia"/>
                      <w:bCs/>
                      <w:szCs w:val="21"/>
                      <w:lang w:val="en-US" w:eastAsia="zh-CN"/>
                    </w:rPr>
                  </w:pPr>
                  <w:r>
                    <w:rPr>
                      <w:rFonts w:hint="eastAsia" w:ascii="Times New Roman" w:hAnsi="Times New Roman"/>
                      <w:bCs/>
                      <w:szCs w:val="21"/>
                      <w:lang w:val="en-US" w:eastAsia="zh-CN"/>
                    </w:rPr>
                    <w:t>50</w:t>
                  </w:r>
                </w:p>
              </w:tc>
              <w:tc>
                <w:tcPr>
                  <w:tcW w:w="1048" w:type="dxa"/>
                  <w:vAlign w:val="center"/>
                </w:tcPr>
                <w:p w14:paraId="002879C6">
                  <w:pPr>
                    <w:keepNext w:val="0"/>
                    <w:keepLines w:val="0"/>
                    <w:suppressLineNumbers w:val="0"/>
                    <w:spacing w:before="0" w:beforeAutospacing="0" w:after="0" w:afterAutospacing="0" w:line="276" w:lineRule="auto"/>
                    <w:ind w:left="0" w:right="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0.0075</w:t>
                  </w:r>
                </w:p>
              </w:tc>
            </w:tr>
            <w:tr w14:paraId="2F535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14:paraId="5CC02190">
                  <w:pPr>
                    <w:keepNext w:val="0"/>
                    <w:keepLines w:val="0"/>
                    <w:suppressLineNumbers w:val="0"/>
                    <w:autoSpaceDE w:val="0"/>
                    <w:autoSpaceDN w:val="0"/>
                    <w:spacing w:before="0" w:beforeAutospacing="0" w:after="0" w:afterAutospacing="0" w:line="276" w:lineRule="auto"/>
                    <w:ind w:left="0" w:right="0"/>
                    <w:jc w:val="center"/>
                    <w:rPr>
                      <w:rFonts w:hint="eastAsia" w:ascii="Times New Roman" w:hAnsi="Times New Roman" w:eastAsiaTheme="minorEastAsia"/>
                      <w:bCs/>
                      <w:szCs w:val="21"/>
                      <w:lang w:val="en-US" w:eastAsia="zh-CN"/>
                    </w:rPr>
                  </w:pPr>
                  <w:r>
                    <w:rPr>
                      <w:rFonts w:hint="eastAsia" w:ascii="Times New Roman" w:hAnsi="Times New Roman"/>
                      <w:bCs/>
                      <w:szCs w:val="21"/>
                      <w:lang w:val="en-US" w:eastAsia="zh-CN"/>
                    </w:rPr>
                    <w:t>4</w:t>
                  </w:r>
                </w:p>
              </w:tc>
              <w:tc>
                <w:tcPr>
                  <w:tcW w:w="1296" w:type="dxa"/>
                  <w:vAlign w:val="center"/>
                </w:tcPr>
                <w:p w14:paraId="2854559E">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废培养基</w:t>
                  </w:r>
                </w:p>
              </w:tc>
              <w:tc>
                <w:tcPr>
                  <w:tcW w:w="1067" w:type="dxa"/>
                  <w:vMerge w:val="continue"/>
                  <w:vAlign w:val="center"/>
                </w:tcPr>
                <w:p w14:paraId="445C1BF4">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lang w:val="zh-CN"/>
                    </w:rPr>
                  </w:pPr>
                </w:p>
              </w:tc>
              <w:tc>
                <w:tcPr>
                  <w:tcW w:w="2100" w:type="dxa"/>
                  <w:vAlign w:val="center"/>
                </w:tcPr>
                <w:p w14:paraId="2E8C3E49">
                  <w:pPr>
                    <w:pStyle w:val="32"/>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0.00625</w:t>
                  </w:r>
                </w:p>
              </w:tc>
              <w:tc>
                <w:tcPr>
                  <w:tcW w:w="1325" w:type="dxa"/>
                  <w:vAlign w:val="center"/>
                </w:tcPr>
                <w:p w14:paraId="12E2BC23">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eastAsiaTheme="minorEastAsia"/>
                      <w:bCs/>
                      <w:szCs w:val="21"/>
                      <w:lang w:val="en-US" w:eastAsia="zh-CN"/>
                    </w:rPr>
                  </w:pPr>
                  <w:r>
                    <w:rPr>
                      <w:rFonts w:hint="eastAsia" w:ascii="Times New Roman" w:hAnsi="Times New Roman"/>
                      <w:bCs/>
                      <w:szCs w:val="21"/>
                      <w:lang w:val="en-US" w:eastAsia="zh-CN"/>
                    </w:rPr>
                    <w:t>50</w:t>
                  </w:r>
                </w:p>
              </w:tc>
              <w:tc>
                <w:tcPr>
                  <w:tcW w:w="1048" w:type="dxa"/>
                  <w:vAlign w:val="center"/>
                </w:tcPr>
                <w:p w14:paraId="65B8C003">
                  <w:pPr>
                    <w:keepNext w:val="0"/>
                    <w:keepLines w:val="0"/>
                    <w:suppressLineNumbers w:val="0"/>
                    <w:spacing w:before="0" w:beforeAutospacing="0" w:after="0" w:afterAutospacing="0" w:line="276" w:lineRule="auto"/>
                    <w:ind w:left="0" w:right="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0.000125</w:t>
                  </w:r>
                </w:p>
              </w:tc>
            </w:tr>
            <w:tr w14:paraId="75274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14:paraId="0326D47B">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rPr>
                  </w:pPr>
                  <w:r>
                    <w:rPr>
                      <w:rFonts w:hint="eastAsia" w:ascii="Times New Roman" w:hAnsi="Times New Roman"/>
                      <w:bCs/>
                      <w:szCs w:val="21"/>
                      <w:lang w:val="en-US" w:eastAsia="zh-CN"/>
                    </w:rPr>
                    <w:t>5</w:t>
                  </w:r>
                </w:p>
              </w:tc>
              <w:tc>
                <w:tcPr>
                  <w:tcW w:w="1296" w:type="dxa"/>
                  <w:vAlign w:val="center"/>
                </w:tcPr>
                <w:p w14:paraId="5D13CFE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一次、二次清洗废液</w:t>
                  </w:r>
                </w:p>
              </w:tc>
              <w:tc>
                <w:tcPr>
                  <w:tcW w:w="1067" w:type="dxa"/>
                  <w:vMerge w:val="continue"/>
                  <w:vAlign w:val="center"/>
                </w:tcPr>
                <w:p w14:paraId="72541813">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lang w:val="zh-CN"/>
                    </w:rPr>
                  </w:pPr>
                </w:p>
              </w:tc>
              <w:tc>
                <w:tcPr>
                  <w:tcW w:w="2100" w:type="dxa"/>
                  <w:vAlign w:val="center"/>
                </w:tcPr>
                <w:p w14:paraId="686CDD42">
                  <w:pPr>
                    <w:pStyle w:val="32"/>
                    <w:keepNext w:val="0"/>
                    <w:keepLines w:val="0"/>
                    <w:suppressLineNumbers w:val="0"/>
                    <w:spacing w:before="0" w:beforeAutospacing="0" w:after="0" w:afterAutospacing="0"/>
                    <w:ind w:left="0" w:right="0"/>
                    <w:rPr>
                      <w:rFonts w:hint="default"/>
                    </w:rPr>
                  </w:pPr>
                  <w:r>
                    <w:rPr>
                      <w:rFonts w:hint="eastAsia"/>
                    </w:rPr>
                    <w:t>1</w:t>
                  </w:r>
                </w:p>
              </w:tc>
              <w:tc>
                <w:tcPr>
                  <w:tcW w:w="1325" w:type="dxa"/>
                  <w:vAlign w:val="center"/>
                </w:tcPr>
                <w:p w14:paraId="6EAA14E4">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rPr>
                  </w:pPr>
                  <w:r>
                    <w:rPr>
                      <w:rFonts w:hint="eastAsia" w:ascii="Times New Roman" w:hAnsi="Times New Roman"/>
                      <w:bCs/>
                      <w:szCs w:val="21"/>
                    </w:rPr>
                    <w:t>50</w:t>
                  </w:r>
                </w:p>
              </w:tc>
              <w:tc>
                <w:tcPr>
                  <w:tcW w:w="1048" w:type="dxa"/>
                  <w:vAlign w:val="center"/>
                </w:tcPr>
                <w:p w14:paraId="68915157">
                  <w:pPr>
                    <w:keepNext w:val="0"/>
                    <w:keepLines w:val="0"/>
                    <w:suppressLineNumbers w:val="0"/>
                    <w:spacing w:before="0" w:beforeAutospacing="0" w:after="0" w:afterAutospacing="0" w:line="276" w:lineRule="auto"/>
                    <w:ind w:left="0" w:right="0"/>
                    <w:jc w:val="center"/>
                    <w:rPr>
                      <w:rFonts w:hint="default" w:ascii="Times New Roman" w:hAnsi="Times New Roman"/>
                      <w:szCs w:val="21"/>
                    </w:rPr>
                  </w:pPr>
                  <w:r>
                    <w:rPr>
                      <w:rFonts w:hint="eastAsia" w:ascii="Times New Roman" w:hAnsi="Times New Roman"/>
                      <w:szCs w:val="21"/>
                    </w:rPr>
                    <w:t>0.02</w:t>
                  </w:r>
                </w:p>
              </w:tc>
            </w:tr>
            <w:tr w14:paraId="093E8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30" w:type="dxa"/>
                  <w:gridSpan w:val="5"/>
                  <w:vAlign w:val="center"/>
                </w:tcPr>
                <w:p w14:paraId="186BE1A2">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lang w:val="zh-CN"/>
                    </w:rPr>
                  </w:pPr>
                  <w:r>
                    <w:rPr>
                      <w:rFonts w:hint="default" w:ascii="Times New Roman" w:hAnsi="Times New Roman"/>
                      <w:bCs/>
                      <w:szCs w:val="21"/>
                      <w:lang w:val="zh-CN"/>
                    </w:rPr>
                    <w:t>合计</w:t>
                  </w:r>
                </w:p>
              </w:tc>
              <w:tc>
                <w:tcPr>
                  <w:tcW w:w="1048" w:type="dxa"/>
                  <w:vAlign w:val="center"/>
                </w:tcPr>
                <w:p w14:paraId="3DE4BF25">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bCs/>
                      <w:szCs w:val="21"/>
                    </w:rPr>
                  </w:pPr>
                  <w:r>
                    <w:rPr>
                      <w:rFonts w:hint="default" w:ascii="Times New Roman" w:hAnsi="Times New Roman"/>
                      <w:bCs/>
                      <w:szCs w:val="21"/>
                    </w:rPr>
                    <w:t>0.028425</w:t>
                  </w:r>
                </w:p>
              </w:tc>
            </w:tr>
          </w:tbl>
          <w:p w14:paraId="0F4382BB">
            <w:pPr>
              <w:keepNext w:val="0"/>
              <w:keepLines w:val="0"/>
              <w:suppressLineNumbers w:val="0"/>
              <w:spacing w:before="0" w:beforeAutospacing="0" w:after="0" w:afterAutospacing="0" w:line="276" w:lineRule="auto"/>
              <w:ind w:left="0" w:right="0" w:firstLine="360" w:firstLineChars="200"/>
              <w:rPr>
                <w:rFonts w:hint="default" w:ascii="Times New Roman" w:hAnsi="Times New Roman" w:eastAsia="黑体" w:cs="Times New Roman"/>
                <w:sz w:val="18"/>
                <w:szCs w:val="18"/>
              </w:rPr>
            </w:pPr>
            <w:r>
              <w:rPr>
                <w:rFonts w:hint="default" w:ascii="Times New Roman" w:hAnsi="黑体" w:eastAsia="黑体" w:cs="Times New Roman"/>
                <w:sz w:val="18"/>
                <w:szCs w:val="18"/>
              </w:rPr>
              <w:t>注：</w:t>
            </w:r>
            <w:r>
              <w:rPr>
                <w:rFonts w:hint="eastAsia" w:ascii="Times New Roman" w:hAnsi="Times New Roman" w:eastAsia="黑体" w:cs="Times New Roman"/>
                <w:sz w:val="18"/>
                <w:szCs w:val="18"/>
              </w:rPr>
              <w:t>废无尘布、废弃样品</w:t>
            </w:r>
            <w:r>
              <w:rPr>
                <w:rFonts w:hint="eastAsia" w:ascii="Times New Roman" w:hAnsi="Times New Roman" w:eastAsia="黑体" w:cs="Times New Roman"/>
                <w:sz w:val="18"/>
                <w:szCs w:val="18"/>
                <w:lang w:eastAsia="zh-CN"/>
              </w:rPr>
              <w:t>、</w:t>
            </w:r>
            <w:r>
              <w:rPr>
                <w:rFonts w:hint="eastAsia" w:ascii="Times New Roman" w:hAnsi="Times New Roman" w:eastAsia="黑体" w:cs="Times New Roman"/>
                <w:sz w:val="18"/>
                <w:szCs w:val="18"/>
                <w:lang w:val="en-US" w:eastAsia="zh-CN"/>
              </w:rPr>
              <w:t>实验废液、废培养基</w:t>
            </w:r>
            <w:r>
              <w:rPr>
                <w:rFonts w:hint="eastAsia" w:ascii="Times New Roman" w:hAnsi="Times New Roman" w:eastAsia="黑体" w:cs="Times New Roman"/>
                <w:sz w:val="18"/>
                <w:szCs w:val="18"/>
              </w:rPr>
              <w:t>和一次、二次清洗废液</w:t>
            </w:r>
            <w:r>
              <w:rPr>
                <w:rFonts w:hint="default" w:ascii="Times New Roman" w:hAnsi="黑体" w:eastAsia="黑体" w:cs="Times New Roman"/>
                <w:sz w:val="18"/>
                <w:szCs w:val="18"/>
              </w:rPr>
              <w:t>临界量参照</w:t>
            </w:r>
            <w:r>
              <w:rPr>
                <w:rFonts w:hint="eastAsia" w:ascii="Times New Roman" w:hAnsi="Times New Roman" w:eastAsia="黑体" w:cs="Times New Roman"/>
                <w:sz w:val="18"/>
                <w:szCs w:val="18"/>
              </w:rPr>
              <w:t>健康危险急性毒性物质（类别2，类别3）的临界量50t。</w:t>
            </w:r>
          </w:p>
          <w:p w14:paraId="625A8D31">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sz w:val="24"/>
              </w:rPr>
            </w:pPr>
            <w:r>
              <w:rPr>
                <w:rFonts w:hint="eastAsia" w:ascii="Times New Roman" w:hAnsi="Times New Roman" w:cs="Times New Roman"/>
                <w:b/>
                <w:bCs/>
                <w:sz w:val="24"/>
              </w:rPr>
              <w:t>2、</w:t>
            </w:r>
            <w:r>
              <w:rPr>
                <w:rFonts w:hint="default" w:ascii="Times New Roman" w:hAnsi="Times New Roman" w:cs="Times New Roman"/>
                <w:b/>
                <w:bCs/>
                <w:sz w:val="24"/>
              </w:rPr>
              <w:t>环境风险识别及分析</w:t>
            </w:r>
          </w:p>
          <w:p w14:paraId="518472B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根据导则要求，环境风险评价的风险识别范围主要包括生产设施风险识别以及生产过程中物质风险识别。拟建项目运营期环境风险识别结果见下表。</w:t>
            </w:r>
          </w:p>
          <w:p w14:paraId="41152FDE">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表4-</w:t>
            </w:r>
            <w:r>
              <w:rPr>
                <w:rFonts w:hint="eastAsia" w:ascii="Times New Roman" w:hAnsi="Times New Roman" w:eastAsia="黑体" w:cs="Times New Roman"/>
                <w:sz w:val="24"/>
                <w:szCs w:val="24"/>
              </w:rPr>
              <w:t xml:space="preserve">11  </w:t>
            </w:r>
            <w:r>
              <w:rPr>
                <w:rFonts w:hint="default" w:ascii="Times New Roman" w:hAnsi="Times New Roman" w:eastAsia="黑体" w:cs="Times New Roman"/>
                <w:sz w:val="24"/>
                <w:szCs w:val="24"/>
              </w:rPr>
              <w:t>环境风险识别一览表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5"/>
              <w:gridCol w:w="850"/>
              <w:gridCol w:w="1275"/>
              <w:gridCol w:w="993"/>
              <w:gridCol w:w="2551"/>
              <w:gridCol w:w="1244"/>
            </w:tblGrid>
            <w:tr w14:paraId="6B2297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39" w:type="pct"/>
                  <w:vAlign w:val="center"/>
                </w:tcPr>
                <w:p w14:paraId="47F36E01">
                  <w:pPr>
                    <w:pStyle w:val="54"/>
                    <w:keepNext w:val="0"/>
                    <w:keepLines w:val="0"/>
                    <w:suppressLineNumbers w:val="0"/>
                    <w:adjustRightInd/>
                    <w:snapToGrid/>
                    <w:spacing w:before="0" w:beforeAutospacing="0" w:after="0" w:afterAutospacing="0"/>
                    <w:ind w:left="0" w:right="0"/>
                    <w:rPr>
                      <w:rFonts w:hint="default"/>
                      <w:b/>
                      <w:bCs/>
                    </w:rPr>
                  </w:pPr>
                  <w:r>
                    <w:rPr>
                      <w:rFonts w:hint="default"/>
                      <w:b/>
                      <w:bCs/>
                    </w:rPr>
                    <w:t>系统名称</w:t>
                  </w:r>
                </w:p>
              </w:tc>
              <w:tc>
                <w:tcPr>
                  <w:tcW w:w="561" w:type="pct"/>
                  <w:vAlign w:val="center"/>
                </w:tcPr>
                <w:p w14:paraId="3C6CC2AE">
                  <w:pPr>
                    <w:pStyle w:val="54"/>
                    <w:keepNext w:val="0"/>
                    <w:keepLines w:val="0"/>
                    <w:suppressLineNumbers w:val="0"/>
                    <w:adjustRightInd/>
                    <w:snapToGrid/>
                    <w:spacing w:before="0" w:beforeAutospacing="0" w:after="0" w:afterAutospacing="0"/>
                    <w:ind w:left="0" w:right="0"/>
                    <w:rPr>
                      <w:rFonts w:hint="default"/>
                      <w:b/>
                      <w:bCs/>
                    </w:rPr>
                  </w:pPr>
                  <w:r>
                    <w:rPr>
                      <w:rFonts w:hint="default"/>
                      <w:b/>
                      <w:bCs/>
                    </w:rPr>
                    <w:t>危险单元</w:t>
                  </w:r>
                </w:p>
              </w:tc>
              <w:tc>
                <w:tcPr>
                  <w:tcW w:w="841" w:type="pct"/>
                  <w:vAlign w:val="center"/>
                </w:tcPr>
                <w:p w14:paraId="7D38F009">
                  <w:pPr>
                    <w:pStyle w:val="54"/>
                    <w:keepNext w:val="0"/>
                    <w:keepLines w:val="0"/>
                    <w:suppressLineNumbers w:val="0"/>
                    <w:adjustRightInd/>
                    <w:snapToGrid/>
                    <w:spacing w:before="0" w:beforeAutospacing="0" w:after="0" w:afterAutospacing="0"/>
                    <w:ind w:left="0" w:right="0"/>
                    <w:rPr>
                      <w:rFonts w:hint="default"/>
                      <w:b/>
                      <w:bCs/>
                    </w:rPr>
                  </w:pPr>
                  <w:r>
                    <w:rPr>
                      <w:rFonts w:hint="default"/>
                      <w:b/>
                      <w:bCs/>
                    </w:rPr>
                    <w:t>主要危险物质</w:t>
                  </w:r>
                </w:p>
              </w:tc>
              <w:tc>
                <w:tcPr>
                  <w:tcW w:w="655" w:type="pct"/>
                  <w:vAlign w:val="center"/>
                </w:tcPr>
                <w:p w14:paraId="3055E6E5">
                  <w:pPr>
                    <w:pStyle w:val="54"/>
                    <w:keepNext w:val="0"/>
                    <w:keepLines w:val="0"/>
                    <w:suppressLineNumbers w:val="0"/>
                    <w:adjustRightInd/>
                    <w:snapToGrid/>
                    <w:spacing w:before="0" w:beforeAutospacing="0" w:after="0" w:afterAutospacing="0"/>
                    <w:ind w:left="0" w:right="0"/>
                    <w:rPr>
                      <w:rFonts w:hint="default"/>
                      <w:b/>
                      <w:bCs/>
                    </w:rPr>
                  </w:pPr>
                  <w:r>
                    <w:rPr>
                      <w:rFonts w:hint="default"/>
                      <w:b/>
                      <w:bCs/>
                    </w:rPr>
                    <w:t>环境风险类型</w:t>
                  </w:r>
                </w:p>
              </w:tc>
              <w:tc>
                <w:tcPr>
                  <w:tcW w:w="1683" w:type="pct"/>
                  <w:vAlign w:val="center"/>
                </w:tcPr>
                <w:p w14:paraId="0125E04F">
                  <w:pPr>
                    <w:pStyle w:val="54"/>
                    <w:keepNext w:val="0"/>
                    <w:keepLines w:val="0"/>
                    <w:suppressLineNumbers w:val="0"/>
                    <w:adjustRightInd/>
                    <w:snapToGrid/>
                    <w:spacing w:before="0" w:beforeAutospacing="0" w:after="0" w:afterAutospacing="0"/>
                    <w:ind w:left="0" w:right="0"/>
                    <w:rPr>
                      <w:rFonts w:hint="default"/>
                      <w:b/>
                      <w:bCs/>
                    </w:rPr>
                  </w:pPr>
                  <w:r>
                    <w:rPr>
                      <w:rFonts w:hint="default"/>
                      <w:b/>
                      <w:bCs/>
                    </w:rPr>
                    <w:t>环境影响途径</w:t>
                  </w:r>
                </w:p>
              </w:tc>
              <w:tc>
                <w:tcPr>
                  <w:tcW w:w="821" w:type="pct"/>
                  <w:vAlign w:val="center"/>
                </w:tcPr>
                <w:p w14:paraId="3401CE74">
                  <w:pPr>
                    <w:pStyle w:val="54"/>
                    <w:keepNext w:val="0"/>
                    <w:keepLines w:val="0"/>
                    <w:suppressLineNumbers w:val="0"/>
                    <w:adjustRightInd/>
                    <w:snapToGrid/>
                    <w:spacing w:before="0" w:beforeAutospacing="0" w:after="0" w:afterAutospacing="0"/>
                    <w:ind w:left="0" w:right="0"/>
                    <w:rPr>
                      <w:rFonts w:hint="default"/>
                      <w:b/>
                      <w:bCs/>
                    </w:rPr>
                  </w:pPr>
                  <w:r>
                    <w:rPr>
                      <w:rFonts w:hint="default"/>
                      <w:b/>
                      <w:bCs/>
                    </w:rPr>
                    <w:t>可能受影响的环境敏感目标</w:t>
                  </w:r>
                </w:p>
              </w:tc>
            </w:tr>
            <w:tr w14:paraId="209FB2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39" w:type="pct"/>
                  <w:vAlign w:val="center"/>
                </w:tcPr>
                <w:p w14:paraId="3169151C">
                  <w:pPr>
                    <w:pStyle w:val="54"/>
                    <w:keepNext w:val="0"/>
                    <w:keepLines w:val="0"/>
                    <w:suppressLineNumbers w:val="0"/>
                    <w:adjustRightInd/>
                    <w:snapToGrid/>
                    <w:spacing w:before="0" w:beforeAutospacing="0" w:after="0" w:afterAutospacing="0"/>
                    <w:ind w:left="0" w:right="0"/>
                    <w:rPr>
                      <w:rFonts w:hint="default"/>
                    </w:rPr>
                  </w:pPr>
                  <w:r>
                    <w:rPr>
                      <w:rFonts w:hint="default"/>
                    </w:rPr>
                    <w:t>储运</w:t>
                  </w:r>
                </w:p>
                <w:p w14:paraId="15AB1123">
                  <w:pPr>
                    <w:pStyle w:val="54"/>
                    <w:keepNext w:val="0"/>
                    <w:keepLines w:val="0"/>
                    <w:suppressLineNumbers w:val="0"/>
                    <w:adjustRightInd/>
                    <w:snapToGrid/>
                    <w:spacing w:before="0" w:beforeAutospacing="0" w:after="0" w:afterAutospacing="0"/>
                    <w:ind w:left="0" w:right="0"/>
                    <w:rPr>
                      <w:rFonts w:hint="default"/>
                    </w:rPr>
                  </w:pPr>
                  <w:r>
                    <w:rPr>
                      <w:rFonts w:hint="default"/>
                    </w:rPr>
                    <w:t>设施</w:t>
                  </w:r>
                </w:p>
              </w:tc>
              <w:tc>
                <w:tcPr>
                  <w:tcW w:w="561" w:type="pct"/>
                  <w:tcBorders>
                    <w:top w:val="single" w:color="auto" w:sz="4" w:space="0"/>
                  </w:tcBorders>
                  <w:vAlign w:val="center"/>
                </w:tcPr>
                <w:p w14:paraId="7DBA750C">
                  <w:pPr>
                    <w:pStyle w:val="54"/>
                    <w:keepNext w:val="0"/>
                    <w:keepLines w:val="0"/>
                    <w:suppressLineNumbers w:val="0"/>
                    <w:adjustRightInd/>
                    <w:snapToGrid/>
                    <w:spacing w:before="0" w:beforeAutospacing="0" w:after="0" w:afterAutospacing="0"/>
                    <w:ind w:left="0" w:right="0"/>
                    <w:rPr>
                      <w:rFonts w:hint="default"/>
                    </w:rPr>
                  </w:pPr>
                  <w:r>
                    <w:rPr>
                      <w:rFonts w:hint="eastAsia"/>
                    </w:rPr>
                    <w:t>危险废物暂存间</w:t>
                  </w:r>
                </w:p>
              </w:tc>
              <w:tc>
                <w:tcPr>
                  <w:tcW w:w="841" w:type="pct"/>
                  <w:tcBorders>
                    <w:top w:val="single" w:color="auto" w:sz="4" w:space="0"/>
                  </w:tcBorders>
                  <w:vAlign w:val="center"/>
                </w:tcPr>
                <w:p w14:paraId="29CBA2F5">
                  <w:pPr>
                    <w:pStyle w:val="54"/>
                    <w:keepNext w:val="0"/>
                    <w:keepLines w:val="0"/>
                    <w:suppressLineNumbers w:val="0"/>
                    <w:adjustRightInd/>
                    <w:snapToGrid/>
                    <w:spacing w:before="0" w:beforeAutospacing="0" w:after="0" w:afterAutospacing="0"/>
                    <w:ind w:left="0" w:right="0"/>
                    <w:rPr>
                      <w:rFonts w:hint="default"/>
                    </w:rPr>
                  </w:pPr>
                  <w:r>
                    <w:rPr>
                      <w:rFonts w:hint="default"/>
                    </w:rPr>
                    <w:t>废无尘布、废弃样品、实验废液、废培养基和一次、二次清洗废液</w:t>
                  </w:r>
                </w:p>
              </w:tc>
              <w:tc>
                <w:tcPr>
                  <w:tcW w:w="655" w:type="pct"/>
                  <w:tcBorders>
                    <w:top w:val="single" w:color="auto" w:sz="4" w:space="0"/>
                  </w:tcBorders>
                  <w:vAlign w:val="center"/>
                </w:tcPr>
                <w:p w14:paraId="6A61E510">
                  <w:pPr>
                    <w:pStyle w:val="54"/>
                    <w:keepNext w:val="0"/>
                    <w:keepLines w:val="0"/>
                    <w:suppressLineNumbers w:val="0"/>
                    <w:adjustRightInd/>
                    <w:snapToGrid/>
                    <w:spacing w:before="0" w:beforeAutospacing="0" w:after="0" w:afterAutospacing="0"/>
                    <w:ind w:left="0" w:right="0"/>
                    <w:rPr>
                      <w:rFonts w:hint="default"/>
                    </w:rPr>
                  </w:pPr>
                  <w:r>
                    <w:rPr>
                      <w:rFonts w:hint="eastAsia"/>
                    </w:rPr>
                    <w:t>盛装容器</w:t>
                  </w:r>
                  <w:r>
                    <w:rPr>
                      <w:rFonts w:hint="default"/>
                    </w:rPr>
                    <w:t>破损导致泄漏</w:t>
                  </w:r>
                </w:p>
              </w:tc>
              <w:tc>
                <w:tcPr>
                  <w:tcW w:w="1683" w:type="pct"/>
                  <w:tcBorders>
                    <w:top w:val="single" w:color="auto" w:sz="4" w:space="0"/>
                  </w:tcBorders>
                  <w:vAlign w:val="center"/>
                </w:tcPr>
                <w:p w14:paraId="5310CC48">
                  <w:pPr>
                    <w:pStyle w:val="54"/>
                    <w:keepNext w:val="0"/>
                    <w:keepLines w:val="0"/>
                    <w:suppressLineNumbers w:val="0"/>
                    <w:adjustRightInd/>
                    <w:snapToGrid/>
                    <w:spacing w:before="0" w:beforeAutospacing="0" w:after="0" w:afterAutospacing="0"/>
                    <w:ind w:left="0" w:right="0"/>
                    <w:rPr>
                      <w:rFonts w:hint="default"/>
                    </w:rPr>
                  </w:pPr>
                  <w:r>
                    <w:rPr>
                      <w:rFonts w:hint="eastAsia"/>
                    </w:rPr>
                    <w:t>存装危险废物的装置</w:t>
                  </w:r>
                  <w:r>
                    <w:rPr>
                      <w:rFonts w:hint="default"/>
                    </w:rPr>
                    <w:t>破损导致泄漏液体</w:t>
                  </w:r>
                  <w:r>
                    <w:rPr>
                      <w:rFonts w:hint="eastAsia"/>
                    </w:rPr>
                    <w:t>未经有效收集，进入地表水体或者下渗入土壤，影响地下水及土壤环境或火灾事故的伴生污染物对环境空气产生不利影响</w:t>
                  </w:r>
                </w:p>
              </w:tc>
              <w:tc>
                <w:tcPr>
                  <w:tcW w:w="821" w:type="pct"/>
                  <w:tcBorders>
                    <w:top w:val="single" w:color="auto" w:sz="4" w:space="0"/>
                  </w:tcBorders>
                  <w:vAlign w:val="center"/>
                </w:tcPr>
                <w:p w14:paraId="189C4B18">
                  <w:pPr>
                    <w:pStyle w:val="54"/>
                    <w:keepNext w:val="0"/>
                    <w:keepLines w:val="0"/>
                    <w:suppressLineNumbers w:val="0"/>
                    <w:adjustRightInd/>
                    <w:snapToGrid/>
                    <w:spacing w:before="0" w:beforeAutospacing="0" w:after="0" w:afterAutospacing="0"/>
                    <w:ind w:left="0" w:right="0"/>
                    <w:rPr>
                      <w:rFonts w:hint="default"/>
                    </w:rPr>
                  </w:pPr>
                  <w:r>
                    <w:rPr>
                      <w:rFonts w:hint="default"/>
                    </w:rPr>
                    <w:t>周边居民</w:t>
                  </w:r>
                </w:p>
              </w:tc>
            </w:tr>
          </w:tbl>
          <w:p w14:paraId="0738A9A7">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sz w:val="24"/>
              </w:rPr>
            </w:pPr>
            <w:r>
              <w:rPr>
                <w:rFonts w:hint="eastAsia" w:ascii="Times New Roman" w:hAnsi="Times New Roman" w:cs="Times New Roman"/>
                <w:b/>
                <w:bCs/>
                <w:sz w:val="24"/>
              </w:rPr>
              <w:t>3、环境风险防范措施及应急要求</w:t>
            </w:r>
          </w:p>
          <w:p w14:paraId="3B2BF1B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rPr>
              <w:t>1</w:t>
            </w:r>
            <w:r>
              <w:rPr>
                <w:rFonts w:hint="default" w:ascii="Times New Roman" w:hAnsi="Times New Roman" w:eastAsia="宋体" w:cs="Times New Roman"/>
                <w:bCs/>
                <w:sz w:val="24"/>
                <w:szCs w:val="24"/>
              </w:rPr>
              <w:t>）危险废物暂存间风险防范措施</w:t>
            </w:r>
          </w:p>
          <w:p w14:paraId="4FE640D3">
            <w:pPr>
              <w:keepNext w:val="0"/>
              <w:keepLines w:val="0"/>
              <w:suppressLineNumbers w:val="0"/>
              <w:tabs>
                <w:tab w:val="left" w:pos="1650"/>
              </w:tabs>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本项目产生的危险废物种类较多，一旦出现危废泄漏的情形，其产生的危害较大。因此，建设单位应做到如下：</w:t>
            </w:r>
          </w:p>
          <w:p w14:paraId="26C9580E">
            <w:pPr>
              <w:keepNext w:val="0"/>
              <w:keepLines w:val="0"/>
              <w:suppressLineNumbers w:val="0"/>
              <w:tabs>
                <w:tab w:val="left" w:pos="1650"/>
              </w:tabs>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宋体"/>
                <w:sz w:val="24"/>
              </w:rPr>
              <w:t>①</w:t>
            </w:r>
            <w:r>
              <w:rPr>
                <w:rFonts w:hint="default" w:ascii="Times New Roman" w:hAnsi="Times New Roman" w:eastAsia="宋体" w:cs="Times New Roman"/>
                <w:sz w:val="24"/>
              </w:rPr>
              <w:t>危险废物暂存间地面、裙脚按照《危险废物贮存污染控制标准》（GB18597-2023）的相关要求进行建设</w:t>
            </w:r>
            <w:r>
              <w:rPr>
                <w:rFonts w:hint="eastAsia" w:ascii="Times New Roman" w:hAnsi="Times New Roman" w:eastAsia="宋体" w:cs="Times New Roman"/>
                <w:sz w:val="24"/>
              </w:rPr>
              <w:t>。</w:t>
            </w:r>
          </w:p>
          <w:p w14:paraId="6E7467AF">
            <w:pPr>
              <w:keepNext w:val="0"/>
              <w:keepLines w:val="0"/>
              <w:suppressLineNumbers w:val="0"/>
              <w:tabs>
                <w:tab w:val="left" w:pos="1650"/>
              </w:tabs>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宋体"/>
                <w:sz w:val="24"/>
              </w:rPr>
              <w:t>②</w:t>
            </w:r>
            <w:r>
              <w:rPr>
                <w:rFonts w:hint="default" w:ascii="Times New Roman" w:hAnsi="Times New Roman" w:eastAsia="宋体" w:cs="Times New Roman"/>
                <w:sz w:val="24"/>
              </w:rPr>
              <w:t>危险废物暂存间安排专人管理，并记录台账。</w:t>
            </w:r>
          </w:p>
          <w:p w14:paraId="530C4173">
            <w:pPr>
              <w:keepNext w:val="0"/>
              <w:keepLines w:val="0"/>
              <w:suppressLineNumbers w:val="0"/>
              <w:tabs>
                <w:tab w:val="left" w:pos="1650"/>
              </w:tabs>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宋体"/>
                <w:sz w:val="24"/>
              </w:rPr>
              <w:t>③</w:t>
            </w:r>
            <w:r>
              <w:rPr>
                <w:rFonts w:hint="default" w:ascii="Times New Roman" w:hAnsi="Times New Roman" w:eastAsia="宋体" w:cs="Times New Roman"/>
                <w:sz w:val="24"/>
              </w:rPr>
              <w:t>各桶装危废应置于防渗托盘内，托盘有效容量应能满足单桶物料泄漏的容纳能力。</w:t>
            </w:r>
            <w:r>
              <w:rPr>
                <w:rFonts w:hint="eastAsia" w:ascii="Times New Roman" w:hAnsi="Times New Roman" w:eastAsia="宋体" w:cs="Times New Roman"/>
                <w:sz w:val="24"/>
              </w:rPr>
              <w:t>危废暂存间应设置导流沟、集液池。</w:t>
            </w:r>
          </w:p>
          <w:p w14:paraId="70ECC024">
            <w:pPr>
              <w:keepNext w:val="0"/>
              <w:keepLines w:val="0"/>
              <w:suppressLineNumbers w:val="0"/>
              <w:tabs>
                <w:tab w:val="left" w:pos="1650"/>
              </w:tabs>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宋体"/>
                <w:sz w:val="24"/>
              </w:rPr>
              <w:t>④</w:t>
            </w:r>
            <w:r>
              <w:rPr>
                <w:rFonts w:hint="default" w:ascii="Times New Roman" w:hAnsi="Times New Roman" w:eastAsia="宋体" w:cs="Times New Roman"/>
                <w:sz w:val="24"/>
              </w:rPr>
              <w:t>桶装危废单层码放，禁止多层堆叠。</w:t>
            </w:r>
          </w:p>
          <w:p w14:paraId="04846B0B">
            <w:pPr>
              <w:keepNext w:val="0"/>
              <w:keepLines w:val="0"/>
              <w:suppressLineNumbers w:val="0"/>
              <w:tabs>
                <w:tab w:val="left" w:pos="1650"/>
              </w:tabs>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宋体"/>
                <w:sz w:val="24"/>
              </w:rPr>
              <w:t>⑤</w:t>
            </w:r>
            <w:r>
              <w:rPr>
                <w:rFonts w:hint="default" w:ascii="Times New Roman" w:hAnsi="Times New Roman" w:eastAsia="宋体" w:cs="Times New Roman"/>
                <w:sz w:val="24"/>
              </w:rPr>
              <w:t>危险废物暂存间贮存能力有限，当</w:t>
            </w:r>
            <w:r>
              <w:rPr>
                <w:rFonts w:hint="eastAsia" w:ascii="Times New Roman" w:hAnsi="Times New Roman" w:eastAsia="宋体" w:cs="Times New Roman"/>
                <w:sz w:val="24"/>
              </w:rPr>
              <w:t>库存量</w:t>
            </w:r>
            <w:r>
              <w:rPr>
                <w:rFonts w:hint="default" w:ascii="Times New Roman" w:hAnsi="Times New Roman" w:eastAsia="宋体" w:cs="Times New Roman"/>
                <w:sz w:val="24"/>
              </w:rPr>
              <w:t>达到转运要求时，与危废处置单位联系外运处置。</w:t>
            </w:r>
          </w:p>
          <w:p w14:paraId="658AA029">
            <w:pPr>
              <w:keepNext w:val="0"/>
              <w:keepLines w:val="0"/>
              <w:suppressLineNumbers w:val="0"/>
              <w:tabs>
                <w:tab w:val="left" w:pos="1650"/>
              </w:tabs>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宋体"/>
                <w:sz w:val="24"/>
              </w:rPr>
              <w:t>⑥</w:t>
            </w:r>
            <w:r>
              <w:rPr>
                <w:rFonts w:hint="default" w:ascii="Times New Roman" w:hAnsi="Times New Roman" w:eastAsia="宋体" w:cs="Times New Roman"/>
                <w:sz w:val="24"/>
              </w:rPr>
              <w:t>加强危废的转运管理，避免转移过程出现倾倒。</w:t>
            </w:r>
          </w:p>
          <w:p w14:paraId="67F049F7">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default" w:ascii="Times New Roman" w:hAnsi="Times New Roman"/>
                <w:sz w:val="24"/>
                <w:szCs w:val="24"/>
              </w:rPr>
              <w:t>（</w:t>
            </w:r>
            <w:r>
              <w:rPr>
                <w:rFonts w:hint="eastAsia" w:ascii="Times New Roman" w:hAnsi="Times New Roman"/>
                <w:sz w:val="24"/>
                <w:szCs w:val="24"/>
              </w:rPr>
              <w:t>2</w:t>
            </w:r>
            <w:r>
              <w:rPr>
                <w:rFonts w:hint="default" w:ascii="Times New Roman" w:hAnsi="Times New Roman"/>
                <w:sz w:val="24"/>
                <w:szCs w:val="24"/>
              </w:rPr>
              <w:t>）火灾消防安全措施</w:t>
            </w:r>
          </w:p>
          <w:p w14:paraId="0203DA63">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eastAsia" w:ascii="宋体" w:hAnsi="宋体" w:eastAsia="宋体" w:cs="宋体"/>
                <w:sz w:val="24"/>
                <w:szCs w:val="24"/>
              </w:rPr>
              <w:t>①</w:t>
            </w:r>
            <w:r>
              <w:rPr>
                <w:rFonts w:hint="eastAsia" w:ascii="Times New Roman" w:hAnsi="Times New Roman"/>
                <w:sz w:val="24"/>
                <w:szCs w:val="24"/>
              </w:rPr>
              <w:t>设立专门的环境管理机构，制定日常管理措施、消防措施和应急预案。对工作人员进行火灾事态时的报警培训，项目方应成立环境风险事故应急救援领导小组和应急救援专业队伍。</w:t>
            </w:r>
          </w:p>
          <w:p w14:paraId="52CCD8ED">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eastAsia" w:ascii="Times New Roman" w:hAnsi="Times New Roman"/>
                <w:sz w:val="24"/>
                <w:szCs w:val="24"/>
              </w:rPr>
              <w:t>②加强消防设施的日常管理，确保事故时消防设施能够正常使用，针对厂房等可能出现的火灾事故进行消防演练。</w:t>
            </w:r>
          </w:p>
          <w:p w14:paraId="50986F8A">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eastAsia" w:ascii="Times New Roman" w:hAnsi="Times New Roman"/>
                <w:sz w:val="24"/>
                <w:szCs w:val="24"/>
              </w:rPr>
              <w:t>③消防器材应当设置在明显和便于取用的地点，周围不准堆放物品和杂物。消防设施、器材，应当由专人管理，负责检查、维修、保养、更换和添置，保证完好有效，严禁圈占、埋压和挪用。配备消防器材和消防设施：标示明确，使用方便。</w:t>
            </w:r>
          </w:p>
          <w:p w14:paraId="691510B7">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eastAsia" w:ascii="Times New Roman" w:hAnsi="Times New Roman"/>
                <w:sz w:val="24"/>
                <w:szCs w:val="24"/>
              </w:rPr>
              <w:t>④项目内定期进行电路、电气检查，消除安全隐患。出现火灾时应及时将可燃物品搬离，远离火源。</w:t>
            </w:r>
          </w:p>
          <w:p w14:paraId="48F01BA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sz w:val="24"/>
              </w:rPr>
            </w:pPr>
            <w:r>
              <w:rPr>
                <w:rFonts w:hint="eastAsia" w:ascii="Times New Roman" w:hAnsi="Times New Roman"/>
                <w:sz w:val="24"/>
                <w:szCs w:val="24"/>
              </w:rPr>
              <w:t>⑤划定禁火区，在明显地点设有警示标志，输配电线、灯具、火灾事故照明和疏散指示标志均应符合安全要求。</w:t>
            </w:r>
          </w:p>
          <w:p w14:paraId="1948F101">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default" w:ascii="Times New Roman" w:hAnsi="Times New Roman"/>
                <w:sz w:val="24"/>
                <w:szCs w:val="24"/>
              </w:rPr>
              <w:t>（</w:t>
            </w:r>
            <w:r>
              <w:rPr>
                <w:rFonts w:hint="eastAsia" w:ascii="Times New Roman" w:hAnsi="Times New Roman"/>
                <w:sz w:val="24"/>
                <w:szCs w:val="24"/>
              </w:rPr>
              <w:t>3</w:t>
            </w:r>
            <w:r>
              <w:rPr>
                <w:rFonts w:hint="default" w:ascii="Times New Roman" w:hAnsi="Times New Roman"/>
                <w:sz w:val="24"/>
                <w:szCs w:val="24"/>
              </w:rPr>
              <w:t>）停电防范措施</w:t>
            </w:r>
          </w:p>
          <w:p w14:paraId="249C6642">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eastAsia" w:ascii="Times New Roman" w:hAnsi="Times New Roman"/>
                <w:sz w:val="24"/>
                <w:szCs w:val="24"/>
              </w:rPr>
              <w:t>①定期检查电路，避免线路破损导致停电。</w:t>
            </w:r>
          </w:p>
          <w:p w14:paraId="10F1B81B">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eastAsia" w:ascii="宋体" w:hAnsi="宋体" w:eastAsia="宋体" w:cs="宋体"/>
                <w:sz w:val="24"/>
                <w:szCs w:val="24"/>
              </w:rPr>
              <w:t>②</w:t>
            </w:r>
            <w:r>
              <w:rPr>
                <w:rFonts w:hint="eastAsia" w:ascii="Times New Roman" w:hAnsi="Times New Roman"/>
                <w:sz w:val="24"/>
                <w:szCs w:val="24"/>
              </w:rPr>
              <w:t>对于厂区发生停电现象时，要做好通信设备的维护工作，保证通信设备的畅通，及时向有关领导汇报，安排专业人员及时进行电路检查与维修。</w:t>
            </w:r>
          </w:p>
          <w:p w14:paraId="28A6B098">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b/>
                <w:snapToGrid w:val="0"/>
                <w:sz w:val="24"/>
              </w:rPr>
            </w:pPr>
            <w:r>
              <w:rPr>
                <w:rFonts w:hint="eastAsia" w:ascii="Times New Roman" w:hAnsi="Times New Roman"/>
                <w:b/>
                <w:snapToGrid w:val="0"/>
                <w:sz w:val="24"/>
              </w:rPr>
              <w:t>七、项目环评与排污许可联动内容</w:t>
            </w:r>
          </w:p>
          <w:p w14:paraId="0A9B56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eastAsia" w:ascii="Times New Roman" w:hAnsi="Times New Roman"/>
                <w:sz w:val="24"/>
                <w:szCs w:val="24"/>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建设项目环境影响评价与排污许可联动内容”和《建设项目排污许可申请与填发信息表》。</w:t>
            </w:r>
          </w:p>
          <w:p w14:paraId="51554F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eastAsia" w:ascii="Times New Roman" w:hAnsi="Times New Roman"/>
                <w:sz w:val="24"/>
                <w:szCs w:val="24"/>
              </w:rPr>
              <w:t>根据项目的国民经济行业类别为</w:t>
            </w:r>
            <w:r>
              <w:rPr>
                <w:rFonts w:hint="eastAsia" w:ascii="Times New Roman" w:hAnsi="Times New Roman"/>
                <w:sz w:val="24"/>
                <w:szCs w:val="24"/>
                <w:lang w:eastAsia="zh-CN"/>
              </w:rPr>
              <w:t>C2770 卫生材料及医药用品制造，</w:t>
            </w:r>
            <w:r>
              <w:rPr>
                <w:rFonts w:hint="eastAsia" w:ascii="Times New Roman" w:hAnsi="Times New Roman"/>
                <w:sz w:val="24"/>
                <w:szCs w:val="24"/>
              </w:rPr>
              <w:t>按</w:t>
            </w:r>
            <w:r>
              <w:rPr>
                <w:rFonts w:hint="default"/>
              </w:rPr>
              <w:fldChar w:fldCharType="begin"/>
            </w:r>
            <w:r>
              <w:rPr>
                <w:rFonts w:hint="default"/>
              </w:rPr>
              <w:instrText xml:space="preserve"> HYPERLINK "http://www.mee.gov.cn/xxgk2018/xxgk/xxgk02/202001/W020200103660632857898.pdf" </w:instrText>
            </w:r>
            <w:r>
              <w:rPr>
                <w:rFonts w:hint="default"/>
              </w:rPr>
              <w:fldChar w:fldCharType="separate"/>
            </w:r>
            <w:r>
              <w:rPr>
                <w:rFonts w:hint="eastAsia" w:ascii="Times New Roman" w:hAnsi="Times New Roman"/>
                <w:sz w:val="24"/>
                <w:szCs w:val="24"/>
              </w:rPr>
              <w:t>《固定污染源排污许可分类管理名录（2019年版）》</w:t>
            </w:r>
            <w:r>
              <w:rPr>
                <w:rFonts w:hint="eastAsia" w:ascii="Times New Roman" w:hAnsi="Times New Roman"/>
                <w:sz w:val="24"/>
                <w:szCs w:val="24"/>
              </w:rPr>
              <w:fldChar w:fldCharType="end"/>
            </w:r>
            <w:r>
              <w:rPr>
                <w:rFonts w:hint="eastAsia" w:ascii="Times New Roman" w:hAnsi="Times New Roman"/>
                <w:sz w:val="24"/>
                <w:szCs w:val="24"/>
              </w:rPr>
              <w:t>进行判定，可知：本项目属于固定污染源排污许可分类管理名录表中的“二十二、医药制造业</w:t>
            </w:r>
            <w:r>
              <w:rPr>
                <w:rFonts w:hint="eastAsia" w:ascii="Times New Roman" w:hAnsi="Times New Roman"/>
                <w:sz w:val="24"/>
                <w:szCs w:val="24"/>
                <w:lang w:val="en-US" w:eastAsia="zh-CN"/>
              </w:rPr>
              <w:t>中卫生材料及医药用品制造277</w:t>
            </w:r>
            <w:r>
              <w:rPr>
                <w:rFonts w:hint="eastAsia" w:ascii="Times New Roman" w:hAnsi="Times New Roman"/>
                <w:sz w:val="24"/>
                <w:szCs w:val="24"/>
              </w:rPr>
              <w:t>”，排污许可填报“管理类别”应为“登记管理”，项目运营前应办理排污许可登记管理手续。</w:t>
            </w:r>
          </w:p>
          <w:p w14:paraId="190B2E03">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b/>
                <w:snapToGrid w:val="0"/>
                <w:sz w:val="24"/>
              </w:rPr>
            </w:pPr>
            <w:r>
              <w:rPr>
                <w:rFonts w:hint="eastAsia" w:ascii="Times New Roman" w:hAnsi="Times New Roman"/>
                <w:b/>
                <w:snapToGrid w:val="0"/>
                <w:sz w:val="24"/>
              </w:rPr>
              <w:t>八、污染源排放口规范化要求</w:t>
            </w:r>
          </w:p>
          <w:p w14:paraId="1E1FFCC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厂区废水总排放口设置应满足现场采样和流量测定条件的采样口，设在厂内或厂界外10米内。废气排气筒应设置人工采样平台和采样口，采样口的设置应符合《污染源监测技术规范》要求</w:t>
            </w:r>
            <w:r>
              <w:rPr>
                <w:rFonts w:hint="default" w:ascii="Times New Roman" w:hAnsi="Times New Roman" w:eastAsia="宋体" w:cs="Times New Roman"/>
                <w:szCs w:val="21"/>
              </w:rPr>
              <w:t>。</w:t>
            </w:r>
            <w:r>
              <w:rPr>
                <w:rFonts w:hint="default" w:ascii="Times New Roman" w:hAnsi="Times New Roman" w:eastAsia="宋体" w:cs="Times New Roman"/>
                <w:sz w:val="24"/>
              </w:rPr>
              <w:t>企业污染物排放口（源）及固体废物贮存、堆放场必须按照国家标准《环境保护图形标志》（GB15562.1-1995）的规定设置与之相适应的环境保护图形标志牌，环境保护图形标志牌设置位置应距污染物排放口（源）、固体废物贮存（堆放）场或采样点较近且醒目处，并能长久保留。同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491982D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环境保护图形标志</w:t>
            </w:r>
            <w:r>
              <w:rPr>
                <w:rFonts w:hint="eastAsia" w:ascii="Times New Roman" w:hAnsi="Times New Roman" w:eastAsia="宋体" w:cs="Times New Roman"/>
                <w:sz w:val="24"/>
              </w:rPr>
              <w:t>：</w:t>
            </w:r>
            <w:r>
              <w:rPr>
                <w:rFonts w:hint="default" w:ascii="Times New Roman" w:hAnsi="Times New Roman" w:eastAsia="宋体" w:cs="Times New Roman"/>
                <w:sz w:val="24"/>
              </w:rPr>
              <w:t>在厂区的废水排放口、噪声排放源、固体废物贮存处置场应设置环境保护图形标志，图形符号分为提示图形和警告图形符号两种，分别按GB15562.1-1995、GB15562.2-1995</w:t>
            </w:r>
            <w:r>
              <w:rPr>
                <w:rFonts w:hint="eastAsia" w:ascii="Times New Roman" w:hAnsi="Times New Roman" w:eastAsia="宋体" w:cs="Times New Roman"/>
                <w:sz w:val="24"/>
              </w:rPr>
              <w:t>、</w:t>
            </w:r>
            <w:r>
              <w:rPr>
                <w:rFonts w:hint="default" w:ascii="Times New Roman" w:hAnsi="Times New Roman" w:eastAsia="宋体" w:cs="Times New Roman"/>
                <w:sz w:val="24"/>
              </w:rPr>
              <w:t>GB15562.2-1995</w:t>
            </w:r>
            <w:r>
              <w:rPr>
                <w:rFonts w:hint="eastAsia" w:ascii="Times New Roman" w:hAnsi="Times New Roman" w:eastAsia="宋体" w:cs="Times New Roman"/>
                <w:sz w:val="24"/>
              </w:rPr>
              <w:t>修改单</w:t>
            </w:r>
            <w:r>
              <w:rPr>
                <w:rFonts w:hint="default" w:ascii="Times New Roman" w:hAnsi="Times New Roman" w:eastAsia="宋体" w:cs="Times New Roman"/>
                <w:sz w:val="24"/>
              </w:rPr>
              <w:t>执行。环境保护图形符号</w:t>
            </w:r>
            <w:r>
              <w:rPr>
                <w:rFonts w:hint="eastAsia" w:ascii="Times New Roman" w:hAnsi="Times New Roman" w:eastAsia="宋体" w:cs="Times New Roman"/>
                <w:sz w:val="24"/>
              </w:rPr>
              <w:t>、</w:t>
            </w:r>
            <w:r>
              <w:rPr>
                <w:rFonts w:hint="default" w:ascii="Times New Roman" w:hAnsi="Times New Roman" w:eastAsia="宋体" w:cs="Times New Roman"/>
                <w:sz w:val="24"/>
              </w:rPr>
              <w:t>环境保护图形标志的形状及颜色见下表。</w:t>
            </w:r>
          </w:p>
          <w:p w14:paraId="27860CA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p>
          <w:p w14:paraId="4EE21E4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p>
          <w:p w14:paraId="5D7B95F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p>
          <w:p w14:paraId="35143390">
            <w:pPr>
              <w:pStyle w:val="3"/>
              <w:suppressLineNumbers w:val="0"/>
              <w:spacing w:beforeAutospacing="0" w:afterAutospacing="0"/>
              <w:ind w:left="0" w:right="0"/>
              <w:rPr>
                <w:rFonts w:hint="default"/>
              </w:rPr>
            </w:pPr>
          </w:p>
          <w:p w14:paraId="2D610874">
            <w:pPr>
              <w:keepNext w:val="0"/>
              <w:keepLines w:val="0"/>
              <w:suppressLineNumbers w:val="0"/>
              <w:spacing w:before="0" w:beforeAutospacing="0" w:after="0" w:afterAutospacing="0"/>
              <w:ind w:left="0" w:right="0"/>
              <w:rPr>
                <w:rFonts w:hint="default"/>
              </w:rPr>
            </w:pPr>
          </w:p>
          <w:p w14:paraId="6B9A06A8">
            <w:pPr>
              <w:keepNext w:val="0"/>
              <w:keepLines w:val="0"/>
              <w:suppressLineNumbers w:val="0"/>
              <w:spacing w:before="0" w:beforeAutospacing="0" w:after="0" w:afterAutospacing="0" w:line="360" w:lineRule="auto"/>
              <w:ind w:left="0" w:right="0"/>
              <w:jc w:val="center"/>
              <w:rPr>
                <w:rFonts w:hint="default" w:ascii="Times New Roman" w:hAnsi="Times New Roman" w:eastAsia="黑体"/>
                <w:sz w:val="24"/>
              </w:rPr>
            </w:pPr>
            <w:r>
              <w:rPr>
                <w:rFonts w:hint="default" w:ascii="Times New Roman" w:hAnsi="Times New Roman" w:eastAsia="黑体"/>
                <w:sz w:val="24"/>
              </w:rPr>
              <w:t>表</w:t>
            </w:r>
            <w:r>
              <w:rPr>
                <w:rFonts w:hint="eastAsia" w:ascii="Times New Roman" w:hAnsi="Times New Roman" w:eastAsia="黑体" w:cs="Times New Roman"/>
                <w:sz w:val="24"/>
              </w:rPr>
              <w:t xml:space="preserve">4-12  </w:t>
            </w:r>
            <w:r>
              <w:rPr>
                <w:rFonts w:hint="default" w:ascii="Times New Roman" w:hAnsi="Times New Roman" w:eastAsia="黑体"/>
                <w:sz w:val="24"/>
              </w:rPr>
              <w:t>本项目环境保护图形符号表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622"/>
              <w:gridCol w:w="2196"/>
              <w:gridCol w:w="1608"/>
              <w:gridCol w:w="1650"/>
            </w:tblGrid>
            <w:tr w14:paraId="0F2C3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1" w:type="pct"/>
                  <w:tcBorders>
                    <w:top w:val="single" w:color="auto" w:sz="12" w:space="0"/>
                    <w:left w:val="nil"/>
                    <w:bottom w:val="single" w:color="auto" w:sz="4" w:space="0"/>
                    <w:right w:val="single" w:color="auto" w:sz="4" w:space="0"/>
                  </w:tcBorders>
                  <w:vAlign w:val="center"/>
                </w:tcPr>
                <w:p w14:paraId="5DA9224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pacing w:val="-2"/>
                      <w:szCs w:val="21"/>
                    </w:rPr>
                  </w:pPr>
                  <w:r>
                    <w:rPr>
                      <w:rFonts w:hint="default" w:ascii="Times New Roman" w:hAnsi="Times New Roman" w:cs="Times New Roman"/>
                      <w:b/>
                      <w:szCs w:val="21"/>
                    </w:rPr>
                    <w:t>序号</w:t>
                  </w:r>
                </w:p>
              </w:tc>
              <w:tc>
                <w:tcPr>
                  <w:tcW w:w="1070" w:type="pct"/>
                  <w:tcBorders>
                    <w:top w:val="single" w:color="auto" w:sz="12" w:space="0"/>
                    <w:left w:val="single" w:color="auto" w:sz="4" w:space="0"/>
                    <w:bottom w:val="single" w:color="auto" w:sz="4" w:space="0"/>
                    <w:right w:val="single" w:color="auto" w:sz="4" w:space="0"/>
                  </w:tcBorders>
                  <w:vAlign w:val="center"/>
                </w:tcPr>
                <w:p w14:paraId="4BF0ACA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pacing w:val="-2"/>
                      <w:szCs w:val="21"/>
                    </w:rPr>
                  </w:pPr>
                  <w:r>
                    <w:rPr>
                      <w:rFonts w:hint="default" w:ascii="Times New Roman" w:hAnsi="Times New Roman" w:cs="Times New Roman"/>
                      <w:b/>
                      <w:szCs w:val="21"/>
                    </w:rPr>
                    <w:t>提示图形符号</w:t>
                  </w:r>
                </w:p>
              </w:tc>
              <w:tc>
                <w:tcPr>
                  <w:tcW w:w="1449" w:type="pct"/>
                  <w:tcBorders>
                    <w:top w:val="single" w:color="auto" w:sz="12" w:space="0"/>
                    <w:left w:val="single" w:color="auto" w:sz="4" w:space="0"/>
                    <w:bottom w:val="single" w:color="auto" w:sz="4" w:space="0"/>
                    <w:right w:val="single" w:color="auto" w:sz="4" w:space="0"/>
                  </w:tcBorders>
                  <w:vAlign w:val="center"/>
                </w:tcPr>
                <w:p w14:paraId="6BF9B77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pacing w:val="-2"/>
                      <w:szCs w:val="21"/>
                    </w:rPr>
                  </w:pPr>
                  <w:r>
                    <w:rPr>
                      <w:rFonts w:hint="default" w:ascii="Times New Roman" w:hAnsi="Times New Roman" w:cs="Times New Roman"/>
                      <w:b/>
                      <w:szCs w:val="21"/>
                    </w:rPr>
                    <w:t>警告图形符号</w:t>
                  </w:r>
                </w:p>
              </w:tc>
              <w:tc>
                <w:tcPr>
                  <w:tcW w:w="1061" w:type="pct"/>
                  <w:tcBorders>
                    <w:top w:val="single" w:color="auto" w:sz="12" w:space="0"/>
                    <w:left w:val="single" w:color="auto" w:sz="4" w:space="0"/>
                    <w:bottom w:val="single" w:color="auto" w:sz="4" w:space="0"/>
                    <w:right w:val="single" w:color="auto" w:sz="4" w:space="0"/>
                  </w:tcBorders>
                  <w:vAlign w:val="center"/>
                </w:tcPr>
                <w:p w14:paraId="30B3F52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pacing w:val="-2"/>
                      <w:szCs w:val="21"/>
                    </w:rPr>
                  </w:pPr>
                  <w:r>
                    <w:rPr>
                      <w:rFonts w:hint="default" w:ascii="Times New Roman" w:hAnsi="Times New Roman" w:cs="Times New Roman"/>
                      <w:b/>
                      <w:szCs w:val="21"/>
                    </w:rPr>
                    <w:t>名称</w:t>
                  </w:r>
                </w:p>
              </w:tc>
              <w:tc>
                <w:tcPr>
                  <w:tcW w:w="1090" w:type="pct"/>
                  <w:tcBorders>
                    <w:top w:val="single" w:color="auto" w:sz="12" w:space="0"/>
                    <w:left w:val="single" w:color="auto" w:sz="4" w:space="0"/>
                    <w:bottom w:val="single" w:color="auto" w:sz="4" w:space="0"/>
                    <w:right w:val="nil"/>
                  </w:tcBorders>
                  <w:vAlign w:val="center"/>
                </w:tcPr>
                <w:p w14:paraId="4440706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spacing w:val="-2"/>
                      <w:szCs w:val="21"/>
                    </w:rPr>
                  </w:pPr>
                  <w:r>
                    <w:rPr>
                      <w:rFonts w:hint="default" w:ascii="Times New Roman" w:hAnsi="Times New Roman" w:cs="Times New Roman"/>
                      <w:b/>
                      <w:szCs w:val="21"/>
                    </w:rPr>
                    <w:t>功能</w:t>
                  </w:r>
                </w:p>
              </w:tc>
            </w:tr>
            <w:tr w14:paraId="5B869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1" w:type="pct"/>
                  <w:tcBorders>
                    <w:top w:val="single" w:color="auto" w:sz="4" w:space="0"/>
                    <w:left w:val="nil"/>
                    <w:bottom w:val="single" w:color="auto" w:sz="4" w:space="0"/>
                    <w:right w:val="single" w:color="auto" w:sz="4" w:space="0"/>
                  </w:tcBorders>
                  <w:vAlign w:val="center"/>
                </w:tcPr>
                <w:p w14:paraId="09C1F19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t>1</w:t>
                  </w:r>
                </w:p>
              </w:tc>
              <w:tc>
                <w:tcPr>
                  <w:tcW w:w="1070" w:type="pct"/>
                  <w:tcBorders>
                    <w:top w:val="single" w:color="auto" w:sz="4" w:space="0"/>
                    <w:left w:val="single" w:color="auto" w:sz="4" w:space="0"/>
                    <w:bottom w:val="single" w:color="auto" w:sz="4" w:space="0"/>
                    <w:right w:val="single" w:color="auto" w:sz="4" w:space="0"/>
                  </w:tcBorders>
                  <w:vAlign w:val="center"/>
                </w:tcPr>
                <w:p w14:paraId="2C5B60F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mallCaps/>
                      <w:szCs w:val="21"/>
                    </w:rPr>
                    <w:drawing>
                      <wp:inline distT="0" distB="0" distL="0" distR="0">
                        <wp:extent cx="858520" cy="858520"/>
                        <wp:effectExtent l="19050" t="0" r="0" b="0"/>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pic:cNvPicPr>
                                  <a:picLocks noChangeAspect="1" noChangeArrowheads="1"/>
                                </pic:cNvPicPr>
                              </pic:nvPicPr>
                              <pic:blipFill>
                                <a:blip r:embed="rId18" cstate="print"/>
                                <a:srcRect/>
                                <a:stretch>
                                  <a:fillRect/>
                                </a:stretch>
                              </pic:blipFill>
                              <pic:spPr>
                                <a:xfrm>
                                  <a:off x="0" y="0"/>
                                  <a:ext cx="858520" cy="858520"/>
                                </a:xfrm>
                                <a:prstGeom prst="rect">
                                  <a:avLst/>
                                </a:prstGeom>
                                <a:noFill/>
                                <a:ln w="9525">
                                  <a:noFill/>
                                  <a:miter lim="800000"/>
                                  <a:headEnd/>
                                  <a:tailEnd/>
                                </a:ln>
                              </pic:spPr>
                            </pic:pic>
                          </a:graphicData>
                        </a:graphic>
                      </wp:inline>
                    </w:drawing>
                  </w:r>
                </w:p>
              </w:tc>
              <w:tc>
                <w:tcPr>
                  <w:tcW w:w="1449" w:type="pct"/>
                  <w:tcBorders>
                    <w:top w:val="single" w:color="auto" w:sz="4" w:space="0"/>
                    <w:left w:val="single" w:color="auto" w:sz="4" w:space="0"/>
                    <w:bottom w:val="single" w:color="auto" w:sz="4" w:space="0"/>
                    <w:right w:val="single" w:color="auto" w:sz="4" w:space="0"/>
                  </w:tcBorders>
                  <w:vAlign w:val="center"/>
                </w:tcPr>
                <w:p w14:paraId="5B31FF6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mallCaps/>
                      <w:szCs w:val="21"/>
                    </w:rPr>
                    <w:drawing>
                      <wp:inline distT="0" distB="0" distL="0" distR="0">
                        <wp:extent cx="962025" cy="858520"/>
                        <wp:effectExtent l="19050" t="0" r="9525" b="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noChangeArrowheads="1"/>
                                </pic:cNvPicPr>
                              </pic:nvPicPr>
                              <pic:blipFill>
                                <a:blip r:embed="rId19" cstate="print"/>
                                <a:srcRect/>
                                <a:stretch>
                                  <a:fillRect/>
                                </a:stretch>
                              </pic:blipFill>
                              <pic:spPr>
                                <a:xfrm>
                                  <a:off x="0" y="0"/>
                                  <a:ext cx="962025" cy="858520"/>
                                </a:xfrm>
                                <a:prstGeom prst="rect">
                                  <a:avLst/>
                                </a:prstGeom>
                                <a:noFill/>
                                <a:ln w="9525">
                                  <a:noFill/>
                                  <a:miter lim="800000"/>
                                  <a:headEnd/>
                                  <a:tailEnd/>
                                </a:ln>
                              </pic:spPr>
                            </pic:pic>
                          </a:graphicData>
                        </a:graphic>
                      </wp:inline>
                    </w:drawing>
                  </w:r>
                </w:p>
              </w:tc>
              <w:tc>
                <w:tcPr>
                  <w:tcW w:w="1061" w:type="pct"/>
                  <w:tcBorders>
                    <w:top w:val="single" w:color="auto" w:sz="4" w:space="0"/>
                    <w:left w:val="single" w:color="auto" w:sz="4" w:space="0"/>
                    <w:bottom w:val="single" w:color="auto" w:sz="4" w:space="0"/>
                    <w:right w:val="single" w:color="auto" w:sz="4" w:space="0"/>
                  </w:tcBorders>
                  <w:vAlign w:val="center"/>
                </w:tcPr>
                <w:p w14:paraId="2344ED5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t>污水排放口</w:t>
                  </w:r>
                </w:p>
              </w:tc>
              <w:tc>
                <w:tcPr>
                  <w:tcW w:w="1090" w:type="pct"/>
                  <w:tcBorders>
                    <w:top w:val="single" w:color="auto" w:sz="4" w:space="0"/>
                    <w:left w:val="single" w:color="auto" w:sz="4" w:space="0"/>
                    <w:bottom w:val="single" w:color="auto" w:sz="4" w:space="0"/>
                    <w:right w:val="nil"/>
                  </w:tcBorders>
                  <w:vAlign w:val="center"/>
                </w:tcPr>
                <w:p w14:paraId="586BD9A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t>表示污水向水体排放</w:t>
                  </w:r>
                </w:p>
              </w:tc>
            </w:tr>
            <w:tr w14:paraId="6D329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1" w:type="pct"/>
                  <w:tcBorders>
                    <w:top w:val="single" w:color="auto" w:sz="4" w:space="0"/>
                    <w:left w:val="nil"/>
                    <w:bottom w:val="single" w:color="auto" w:sz="4" w:space="0"/>
                    <w:right w:val="single" w:color="auto" w:sz="4" w:space="0"/>
                  </w:tcBorders>
                  <w:vAlign w:val="center"/>
                </w:tcPr>
                <w:p w14:paraId="40BF4E8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eastAsia" w:ascii="Times New Roman" w:hAnsi="Times New Roman" w:cs="Times New Roman"/>
                      <w:spacing w:val="-2"/>
                      <w:szCs w:val="21"/>
                    </w:rPr>
                    <w:t>2</w:t>
                  </w:r>
                </w:p>
              </w:tc>
              <w:tc>
                <w:tcPr>
                  <w:tcW w:w="1070" w:type="pct"/>
                  <w:tcBorders>
                    <w:top w:val="single" w:color="auto" w:sz="4" w:space="0"/>
                    <w:left w:val="single" w:color="auto" w:sz="4" w:space="0"/>
                    <w:bottom w:val="single" w:color="auto" w:sz="4" w:space="0"/>
                    <w:right w:val="single" w:color="auto" w:sz="4" w:space="0"/>
                  </w:tcBorders>
                  <w:vAlign w:val="center"/>
                </w:tcPr>
                <w:p w14:paraId="6F2FD1E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mallCaps/>
                      <w:szCs w:val="21"/>
                    </w:rPr>
                    <w:drawing>
                      <wp:inline distT="0" distB="0" distL="0" distR="0">
                        <wp:extent cx="858520" cy="858520"/>
                        <wp:effectExtent l="19050" t="0" r="0" b="0"/>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pic:cNvPicPr>
                                  <a:picLocks noChangeAspect="1" noChangeArrowheads="1"/>
                                </pic:cNvPicPr>
                              </pic:nvPicPr>
                              <pic:blipFill>
                                <a:blip r:embed="rId20" cstate="print"/>
                                <a:srcRect/>
                                <a:stretch>
                                  <a:fillRect/>
                                </a:stretch>
                              </pic:blipFill>
                              <pic:spPr>
                                <a:xfrm>
                                  <a:off x="0" y="0"/>
                                  <a:ext cx="858520" cy="858520"/>
                                </a:xfrm>
                                <a:prstGeom prst="rect">
                                  <a:avLst/>
                                </a:prstGeom>
                                <a:noFill/>
                                <a:ln w="9525">
                                  <a:noFill/>
                                  <a:miter lim="800000"/>
                                  <a:headEnd/>
                                  <a:tailEnd/>
                                </a:ln>
                              </pic:spPr>
                            </pic:pic>
                          </a:graphicData>
                        </a:graphic>
                      </wp:inline>
                    </w:drawing>
                  </w:r>
                </w:p>
              </w:tc>
              <w:tc>
                <w:tcPr>
                  <w:tcW w:w="1449" w:type="pct"/>
                  <w:tcBorders>
                    <w:top w:val="single" w:color="auto" w:sz="4" w:space="0"/>
                    <w:left w:val="single" w:color="auto" w:sz="4" w:space="0"/>
                    <w:bottom w:val="single" w:color="auto" w:sz="4" w:space="0"/>
                    <w:right w:val="single" w:color="auto" w:sz="4" w:space="0"/>
                  </w:tcBorders>
                  <w:vAlign w:val="center"/>
                </w:tcPr>
                <w:p w14:paraId="3723CA2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mallCaps/>
                      <w:szCs w:val="21"/>
                    </w:rPr>
                    <w:drawing>
                      <wp:inline distT="0" distB="0" distL="0" distR="0">
                        <wp:extent cx="962025" cy="858520"/>
                        <wp:effectExtent l="19050" t="0" r="9525" b="0"/>
                        <wp:docPr id="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1" noChangeArrowheads="1"/>
                                </pic:cNvPicPr>
                              </pic:nvPicPr>
                              <pic:blipFill>
                                <a:blip r:embed="rId21" cstate="print"/>
                                <a:srcRect/>
                                <a:stretch>
                                  <a:fillRect/>
                                </a:stretch>
                              </pic:blipFill>
                              <pic:spPr>
                                <a:xfrm>
                                  <a:off x="0" y="0"/>
                                  <a:ext cx="962025" cy="858520"/>
                                </a:xfrm>
                                <a:prstGeom prst="rect">
                                  <a:avLst/>
                                </a:prstGeom>
                                <a:noFill/>
                                <a:ln w="9525">
                                  <a:noFill/>
                                  <a:miter lim="800000"/>
                                  <a:headEnd/>
                                  <a:tailEnd/>
                                </a:ln>
                              </pic:spPr>
                            </pic:pic>
                          </a:graphicData>
                        </a:graphic>
                      </wp:inline>
                    </w:drawing>
                  </w:r>
                </w:p>
              </w:tc>
              <w:tc>
                <w:tcPr>
                  <w:tcW w:w="1061" w:type="pct"/>
                  <w:tcBorders>
                    <w:top w:val="single" w:color="auto" w:sz="4" w:space="0"/>
                    <w:left w:val="single" w:color="auto" w:sz="4" w:space="0"/>
                    <w:bottom w:val="single" w:color="auto" w:sz="4" w:space="0"/>
                    <w:right w:val="single" w:color="auto" w:sz="4" w:space="0"/>
                  </w:tcBorders>
                  <w:vAlign w:val="center"/>
                </w:tcPr>
                <w:p w14:paraId="7F135AD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t>一般工业固体废物</w:t>
                  </w:r>
                </w:p>
              </w:tc>
              <w:tc>
                <w:tcPr>
                  <w:tcW w:w="1090" w:type="pct"/>
                  <w:tcBorders>
                    <w:top w:val="single" w:color="auto" w:sz="4" w:space="0"/>
                    <w:left w:val="single" w:color="auto" w:sz="4" w:space="0"/>
                    <w:bottom w:val="single" w:color="auto" w:sz="4" w:space="0"/>
                    <w:right w:val="nil"/>
                  </w:tcBorders>
                  <w:vAlign w:val="center"/>
                </w:tcPr>
                <w:p w14:paraId="04E7830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t>表示一般工业固体废物贮存、处置场</w:t>
                  </w:r>
                </w:p>
              </w:tc>
            </w:tr>
            <w:tr w14:paraId="4EB1F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1" w:type="pct"/>
                  <w:tcBorders>
                    <w:top w:val="single" w:color="auto" w:sz="4" w:space="0"/>
                    <w:left w:val="nil"/>
                    <w:bottom w:val="single" w:color="auto" w:sz="4" w:space="0"/>
                    <w:right w:val="single" w:color="auto" w:sz="4" w:space="0"/>
                  </w:tcBorders>
                  <w:vAlign w:val="center"/>
                </w:tcPr>
                <w:p w14:paraId="7887826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eastAsia" w:ascii="Times New Roman" w:hAnsi="Times New Roman" w:cs="Times New Roman"/>
                      <w:spacing w:val="-2"/>
                      <w:szCs w:val="21"/>
                    </w:rPr>
                    <w:t>3</w:t>
                  </w:r>
                </w:p>
              </w:tc>
              <w:tc>
                <w:tcPr>
                  <w:tcW w:w="1070" w:type="pct"/>
                  <w:tcBorders>
                    <w:top w:val="single" w:color="auto" w:sz="4" w:space="0"/>
                    <w:left w:val="single" w:color="auto" w:sz="4" w:space="0"/>
                    <w:bottom w:val="single" w:color="auto" w:sz="4" w:space="0"/>
                    <w:right w:val="single" w:color="auto" w:sz="4" w:space="0"/>
                  </w:tcBorders>
                  <w:vAlign w:val="center"/>
                </w:tcPr>
                <w:p w14:paraId="49F7D76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pacing w:val="-2"/>
                      <w:szCs w:val="21"/>
                    </w:rPr>
                    <w:t>/</w:t>
                  </w:r>
                </w:p>
              </w:tc>
              <w:tc>
                <w:tcPr>
                  <w:tcW w:w="1449" w:type="pct"/>
                  <w:tcBorders>
                    <w:top w:val="single" w:color="auto" w:sz="4" w:space="0"/>
                    <w:left w:val="single" w:color="auto" w:sz="4" w:space="0"/>
                    <w:bottom w:val="single" w:color="auto" w:sz="4" w:space="0"/>
                    <w:right w:val="single" w:color="auto" w:sz="4" w:space="0"/>
                  </w:tcBorders>
                  <w:vAlign w:val="center"/>
                </w:tcPr>
                <w:p w14:paraId="2CAC9AB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pacing w:val="-2"/>
                      <w:szCs w:val="21"/>
                    </w:rPr>
                    <w:drawing>
                      <wp:inline distT="0" distB="0" distL="0" distR="0">
                        <wp:extent cx="1228725" cy="971550"/>
                        <wp:effectExtent l="19050" t="0" r="9525" b="0"/>
                        <wp:docPr id="52" name="图片 1" descr="5[GH5T597V}4NCI(}UJT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5[GH5T597V}4NCI(}UJT3[R.png"/>
                                <pic:cNvPicPr>
                                  <a:picLocks noChangeAspect="1"/>
                                </pic:cNvPicPr>
                              </pic:nvPicPr>
                              <pic:blipFill>
                                <a:blip r:embed="rId22" cstate="print"/>
                                <a:stretch>
                                  <a:fillRect/>
                                </a:stretch>
                              </pic:blipFill>
                              <pic:spPr>
                                <a:xfrm>
                                  <a:off x="0" y="0"/>
                                  <a:ext cx="1228725" cy="971550"/>
                                </a:xfrm>
                                <a:prstGeom prst="rect">
                                  <a:avLst/>
                                </a:prstGeom>
                              </pic:spPr>
                            </pic:pic>
                          </a:graphicData>
                        </a:graphic>
                      </wp:inline>
                    </w:drawing>
                  </w:r>
                </w:p>
              </w:tc>
              <w:tc>
                <w:tcPr>
                  <w:tcW w:w="1061" w:type="pct"/>
                  <w:tcBorders>
                    <w:top w:val="single" w:color="auto" w:sz="4" w:space="0"/>
                    <w:left w:val="single" w:color="auto" w:sz="4" w:space="0"/>
                    <w:bottom w:val="single" w:color="auto" w:sz="4" w:space="0"/>
                    <w:right w:val="single" w:color="auto" w:sz="4" w:space="0"/>
                  </w:tcBorders>
                  <w:vAlign w:val="center"/>
                </w:tcPr>
                <w:p w14:paraId="36E264D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t>危险废物</w:t>
                  </w:r>
                </w:p>
              </w:tc>
              <w:tc>
                <w:tcPr>
                  <w:tcW w:w="1090" w:type="pct"/>
                  <w:tcBorders>
                    <w:top w:val="single" w:color="auto" w:sz="4" w:space="0"/>
                    <w:left w:val="single" w:color="auto" w:sz="4" w:space="0"/>
                    <w:bottom w:val="single" w:color="auto" w:sz="4" w:space="0"/>
                    <w:right w:val="nil"/>
                  </w:tcBorders>
                  <w:vAlign w:val="center"/>
                </w:tcPr>
                <w:p w14:paraId="7DEE48A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t>表示危险废物贮存、处置场</w:t>
                  </w:r>
                </w:p>
              </w:tc>
            </w:tr>
            <w:tr w14:paraId="0EEF7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1" w:type="pct"/>
                  <w:tcBorders>
                    <w:top w:val="single" w:color="auto" w:sz="4" w:space="0"/>
                    <w:left w:val="nil"/>
                    <w:bottom w:val="single" w:color="auto" w:sz="12" w:space="0"/>
                    <w:right w:val="single" w:color="auto" w:sz="4" w:space="0"/>
                  </w:tcBorders>
                  <w:vAlign w:val="center"/>
                </w:tcPr>
                <w:p w14:paraId="7E7D5DE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eastAsia" w:ascii="Times New Roman" w:hAnsi="Times New Roman" w:cs="Times New Roman"/>
                      <w:spacing w:val="-2"/>
                      <w:szCs w:val="21"/>
                    </w:rPr>
                    <w:t>4</w:t>
                  </w:r>
                </w:p>
              </w:tc>
              <w:tc>
                <w:tcPr>
                  <w:tcW w:w="1070" w:type="pct"/>
                  <w:tcBorders>
                    <w:top w:val="single" w:color="auto" w:sz="4" w:space="0"/>
                    <w:left w:val="single" w:color="auto" w:sz="4" w:space="0"/>
                    <w:bottom w:val="single" w:color="auto" w:sz="12" w:space="0"/>
                    <w:right w:val="single" w:color="auto" w:sz="4" w:space="0"/>
                  </w:tcBorders>
                  <w:vAlign w:val="center"/>
                </w:tcPr>
                <w:p w14:paraId="7BA7179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drawing>
                      <wp:inline distT="0" distB="0" distL="0" distR="0">
                        <wp:extent cx="858520" cy="858520"/>
                        <wp:effectExtent l="19050" t="0" r="0" b="0"/>
                        <wp:docPr id="53" name="图片 50"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descr="mark_3"/>
                                <pic:cNvPicPr>
                                  <a:picLocks noChangeAspect="1" noChangeArrowheads="1"/>
                                </pic:cNvPicPr>
                              </pic:nvPicPr>
                              <pic:blipFill>
                                <a:blip r:embed="rId23" cstate="print"/>
                                <a:srcRect/>
                                <a:stretch>
                                  <a:fillRect/>
                                </a:stretch>
                              </pic:blipFill>
                              <pic:spPr>
                                <a:xfrm>
                                  <a:off x="0" y="0"/>
                                  <a:ext cx="858520" cy="858520"/>
                                </a:xfrm>
                                <a:prstGeom prst="rect">
                                  <a:avLst/>
                                </a:prstGeom>
                                <a:noFill/>
                                <a:ln w="9525">
                                  <a:noFill/>
                                  <a:miter lim="800000"/>
                                  <a:headEnd/>
                                  <a:tailEnd/>
                                </a:ln>
                              </pic:spPr>
                            </pic:pic>
                          </a:graphicData>
                        </a:graphic>
                      </wp:inline>
                    </w:drawing>
                  </w:r>
                </w:p>
              </w:tc>
              <w:tc>
                <w:tcPr>
                  <w:tcW w:w="1449" w:type="pct"/>
                  <w:tcBorders>
                    <w:top w:val="single" w:color="auto" w:sz="4" w:space="0"/>
                    <w:left w:val="single" w:color="auto" w:sz="4" w:space="0"/>
                    <w:bottom w:val="single" w:color="auto" w:sz="12" w:space="0"/>
                    <w:right w:val="single" w:color="auto" w:sz="4" w:space="0"/>
                  </w:tcBorders>
                  <w:vAlign w:val="center"/>
                </w:tcPr>
                <w:p w14:paraId="13FDAA0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drawing>
                      <wp:inline distT="0" distB="0" distL="0" distR="0">
                        <wp:extent cx="962025" cy="858520"/>
                        <wp:effectExtent l="19050" t="0" r="9525" b="0"/>
                        <wp:docPr id="54" name="图片 51"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descr="mark_j3"/>
                                <pic:cNvPicPr>
                                  <a:picLocks noChangeAspect="1" noChangeArrowheads="1"/>
                                </pic:cNvPicPr>
                              </pic:nvPicPr>
                              <pic:blipFill>
                                <a:blip r:embed="rId24" cstate="print"/>
                                <a:srcRect/>
                                <a:stretch>
                                  <a:fillRect/>
                                </a:stretch>
                              </pic:blipFill>
                              <pic:spPr>
                                <a:xfrm>
                                  <a:off x="0" y="0"/>
                                  <a:ext cx="962025" cy="858520"/>
                                </a:xfrm>
                                <a:prstGeom prst="rect">
                                  <a:avLst/>
                                </a:prstGeom>
                                <a:noFill/>
                                <a:ln w="9525">
                                  <a:noFill/>
                                  <a:miter lim="800000"/>
                                  <a:headEnd/>
                                  <a:tailEnd/>
                                </a:ln>
                              </pic:spPr>
                            </pic:pic>
                          </a:graphicData>
                        </a:graphic>
                      </wp:inline>
                    </w:drawing>
                  </w:r>
                </w:p>
              </w:tc>
              <w:tc>
                <w:tcPr>
                  <w:tcW w:w="1061" w:type="pct"/>
                  <w:tcBorders>
                    <w:top w:val="single" w:color="auto" w:sz="4" w:space="0"/>
                    <w:left w:val="single" w:color="auto" w:sz="4" w:space="0"/>
                    <w:bottom w:val="single" w:color="auto" w:sz="12" w:space="0"/>
                    <w:right w:val="single" w:color="auto" w:sz="4" w:space="0"/>
                  </w:tcBorders>
                  <w:vAlign w:val="center"/>
                </w:tcPr>
                <w:p w14:paraId="34518992">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t>噪声排放源</w:t>
                  </w:r>
                </w:p>
              </w:tc>
              <w:tc>
                <w:tcPr>
                  <w:tcW w:w="1090" w:type="pct"/>
                  <w:tcBorders>
                    <w:top w:val="single" w:color="auto" w:sz="4" w:space="0"/>
                    <w:left w:val="single" w:color="auto" w:sz="4" w:space="0"/>
                    <w:bottom w:val="single" w:color="auto" w:sz="12" w:space="0"/>
                    <w:right w:val="nil"/>
                  </w:tcBorders>
                  <w:vAlign w:val="center"/>
                </w:tcPr>
                <w:p w14:paraId="6A60535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t>表示噪声向</w:t>
                  </w:r>
                </w:p>
                <w:p w14:paraId="6C1F600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pacing w:val="-2"/>
                      <w:szCs w:val="21"/>
                    </w:rPr>
                  </w:pPr>
                  <w:r>
                    <w:rPr>
                      <w:rFonts w:hint="default" w:ascii="Times New Roman" w:hAnsi="Times New Roman" w:cs="Times New Roman"/>
                      <w:szCs w:val="21"/>
                    </w:rPr>
                    <w:t>外环境排放</w:t>
                  </w:r>
                </w:p>
              </w:tc>
            </w:tr>
          </w:tbl>
          <w:p w14:paraId="6A8149A9">
            <w:pPr>
              <w:keepNext w:val="0"/>
              <w:keepLines w:val="0"/>
              <w:suppressLineNumbers w:val="0"/>
              <w:spacing w:before="0" w:beforeAutospacing="0" w:after="0" w:afterAutospacing="0" w:line="360" w:lineRule="auto"/>
              <w:ind w:left="0" w:right="0"/>
              <w:jc w:val="center"/>
              <w:rPr>
                <w:rFonts w:hint="default" w:ascii="Times New Roman" w:hAnsi="Times New Roman" w:eastAsia="黑体"/>
                <w:spacing w:val="-2"/>
                <w:sz w:val="24"/>
                <w:szCs w:val="20"/>
              </w:rPr>
            </w:pPr>
            <w:r>
              <w:rPr>
                <w:rFonts w:hint="default" w:ascii="Times New Roman" w:hAnsi="Times New Roman" w:eastAsia="黑体"/>
                <w:sz w:val="24"/>
              </w:rPr>
              <w:t>表</w:t>
            </w:r>
            <w:r>
              <w:rPr>
                <w:rFonts w:hint="eastAsia" w:ascii="Times New Roman" w:hAnsi="Times New Roman" w:eastAsia="黑体" w:cs="Times New Roman"/>
                <w:sz w:val="24"/>
              </w:rPr>
              <w:t xml:space="preserve">4-13  </w:t>
            </w:r>
            <w:r>
              <w:rPr>
                <w:rFonts w:hint="default" w:ascii="Times New Roman" w:hAnsi="Times New Roman" w:eastAsia="黑体"/>
                <w:sz w:val="24"/>
              </w:rPr>
              <w:t>环境保护图形标志的形状及颜色表</w:t>
            </w:r>
          </w:p>
          <w:tbl>
            <w:tblPr>
              <w:tblStyle w:val="1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94"/>
              <w:gridCol w:w="1894"/>
              <w:gridCol w:w="1895"/>
              <w:gridCol w:w="1895"/>
            </w:tblGrid>
            <w:tr w14:paraId="222296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0" w:type="pct"/>
                  <w:tcBorders>
                    <w:tl2br w:val="nil"/>
                    <w:tr2bl w:val="nil"/>
                  </w:tcBorders>
                  <w:vAlign w:val="center"/>
                </w:tcPr>
                <w:p w14:paraId="4363AADA">
                  <w:pPr>
                    <w:keepNext w:val="0"/>
                    <w:keepLines w:val="0"/>
                    <w:suppressLineNumbers w:val="0"/>
                    <w:spacing w:before="0" w:beforeAutospacing="0" w:after="0" w:afterAutospacing="0" w:line="276" w:lineRule="auto"/>
                    <w:ind w:left="0" w:right="0"/>
                    <w:jc w:val="center"/>
                    <w:rPr>
                      <w:rFonts w:hint="default" w:ascii="Times New Roman" w:hAnsi="Times New Roman"/>
                      <w:b/>
                      <w:spacing w:val="-2"/>
                      <w:szCs w:val="21"/>
                    </w:rPr>
                  </w:pPr>
                  <w:r>
                    <w:rPr>
                      <w:rFonts w:hint="default" w:ascii="Times New Roman" w:hAnsi="Times New Roman"/>
                      <w:b/>
                      <w:szCs w:val="21"/>
                    </w:rPr>
                    <w:t>标志名称</w:t>
                  </w:r>
                </w:p>
              </w:tc>
              <w:tc>
                <w:tcPr>
                  <w:tcW w:w="1250" w:type="pct"/>
                  <w:tcBorders>
                    <w:tl2br w:val="nil"/>
                    <w:tr2bl w:val="nil"/>
                  </w:tcBorders>
                  <w:vAlign w:val="center"/>
                </w:tcPr>
                <w:p w14:paraId="03AE46E1">
                  <w:pPr>
                    <w:keepNext w:val="0"/>
                    <w:keepLines w:val="0"/>
                    <w:suppressLineNumbers w:val="0"/>
                    <w:spacing w:before="0" w:beforeAutospacing="0" w:after="0" w:afterAutospacing="0" w:line="276" w:lineRule="auto"/>
                    <w:ind w:left="0" w:right="0"/>
                    <w:jc w:val="center"/>
                    <w:rPr>
                      <w:rFonts w:hint="default" w:ascii="Times New Roman" w:hAnsi="Times New Roman"/>
                      <w:b/>
                      <w:spacing w:val="-2"/>
                      <w:szCs w:val="21"/>
                    </w:rPr>
                  </w:pPr>
                  <w:r>
                    <w:rPr>
                      <w:rFonts w:hint="default" w:ascii="Times New Roman" w:hAnsi="Times New Roman"/>
                      <w:b/>
                      <w:szCs w:val="21"/>
                    </w:rPr>
                    <w:t>形状</w:t>
                  </w:r>
                </w:p>
              </w:tc>
              <w:tc>
                <w:tcPr>
                  <w:tcW w:w="1250" w:type="pct"/>
                  <w:tcBorders>
                    <w:tl2br w:val="nil"/>
                    <w:tr2bl w:val="nil"/>
                  </w:tcBorders>
                  <w:vAlign w:val="center"/>
                </w:tcPr>
                <w:p w14:paraId="0D154E23">
                  <w:pPr>
                    <w:keepNext w:val="0"/>
                    <w:keepLines w:val="0"/>
                    <w:suppressLineNumbers w:val="0"/>
                    <w:spacing w:before="0" w:beforeAutospacing="0" w:after="0" w:afterAutospacing="0" w:line="276" w:lineRule="auto"/>
                    <w:ind w:left="0" w:right="0"/>
                    <w:jc w:val="center"/>
                    <w:rPr>
                      <w:rFonts w:hint="default" w:ascii="Times New Roman" w:hAnsi="Times New Roman"/>
                      <w:b/>
                      <w:spacing w:val="-2"/>
                      <w:szCs w:val="21"/>
                    </w:rPr>
                  </w:pPr>
                  <w:r>
                    <w:rPr>
                      <w:rFonts w:hint="default" w:ascii="Times New Roman" w:hAnsi="Times New Roman"/>
                      <w:b/>
                      <w:szCs w:val="21"/>
                    </w:rPr>
                    <w:t>背景颜色</w:t>
                  </w:r>
                </w:p>
              </w:tc>
              <w:tc>
                <w:tcPr>
                  <w:tcW w:w="1250" w:type="pct"/>
                  <w:tcBorders>
                    <w:tl2br w:val="nil"/>
                    <w:tr2bl w:val="nil"/>
                  </w:tcBorders>
                  <w:vAlign w:val="center"/>
                </w:tcPr>
                <w:p w14:paraId="77B97198">
                  <w:pPr>
                    <w:keepNext w:val="0"/>
                    <w:keepLines w:val="0"/>
                    <w:suppressLineNumbers w:val="0"/>
                    <w:spacing w:before="0" w:beforeAutospacing="0" w:after="0" w:afterAutospacing="0" w:line="276" w:lineRule="auto"/>
                    <w:ind w:left="0" w:right="0"/>
                    <w:jc w:val="center"/>
                    <w:rPr>
                      <w:rFonts w:hint="default" w:ascii="Times New Roman" w:hAnsi="Times New Roman"/>
                      <w:b/>
                      <w:spacing w:val="-2"/>
                      <w:szCs w:val="21"/>
                    </w:rPr>
                  </w:pPr>
                  <w:r>
                    <w:rPr>
                      <w:rFonts w:hint="default" w:ascii="Times New Roman" w:hAnsi="Times New Roman"/>
                      <w:b/>
                      <w:szCs w:val="21"/>
                    </w:rPr>
                    <w:t>图形颜色</w:t>
                  </w:r>
                </w:p>
              </w:tc>
            </w:tr>
            <w:tr w14:paraId="1617F2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0" w:type="pct"/>
                  <w:tcBorders>
                    <w:tl2br w:val="nil"/>
                    <w:tr2bl w:val="nil"/>
                  </w:tcBorders>
                  <w:vAlign w:val="center"/>
                </w:tcPr>
                <w:p w14:paraId="1EEE85BF">
                  <w:pPr>
                    <w:keepNext w:val="0"/>
                    <w:keepLines w:val="0"/>
                    <w:suppressLineNumbers w:val="0"/>
                    <w:spacing w:before="0" w:beforeAutospacing="0" w:after="0" w:afterAutospacing="0" w:line="276" w:lineRule="auto"/>
                    <w:ind w:left="0" w:right="0"/>
                    <w:jc w:val="center"/>
                    <w:rPr>
                      <w:rFonts w:hint="default" w:ascii="Times New Roman" w:hAnsi="Times New Roman"/>
                      <w:spacing w:val="-2"/>
                      <w:szCs w:val="21"/>
                    </w:rPr>
                  </w:pPr>
                  <w:r>
                    <w:rPr>
                      <w:rFonts w:hint="default" w:ascii="Times New Roman" w:hAnsi="Times New Roman"/>
                      <w:szCs w:val="21"/>
                    </w:rPr>
                    <w:t>警告标志</w:t>
                  </w:r>
                </w:p>
              </w:tc>
              <w:tc>
                <w:tcPr>
                  <w:tcW w:w="1250" w:type="pct"/>
                  <w:tcBorders>
                    <w:tl2br w:val="nil"/>
                    <w:tr2bl w:val="nil"/>
                  </w:tcBorders>
                  <w:vAlign w:val="center"/>
                </w:tcPr>
                <w:p w14:paraId="216E32D3">
                  <w:pPr>
                    <w:keepNext w:val="0"/>
                    <w:keepLines w:val="0"/>
                    <w:suppressLineNumbers w:val="0"/>
                    <w:spacing w:before="0" w:beforeAutospacing="0" w:after="0" w:afterAutospacing="0" w:line="276" w:lineRule="auto"/>
                    <w:ind w:left="0" w:right="0"/>
                    <w:jc w:val="center"/>
                    <w:rPr>
                      <w:rFonts w:hint="default" w:ascii="Times New Roman" w:hAnsi="Times New Roman"/>
                      <w:spacing w:val="-2"/>
                      <w:szCs w:val="21"/>
                    </w:rPr>
                  </w:pPr>
                  <w:r>
                    <w:rPr>
                      <w:rFonts w:hint="default" w:ascii="Times New Roman" w:hAnsi="Times New Roman"/>
                      <w:szCs w:val="21"/>
                    </w:rPr>
                    <w:t>三角形边框</w:t>
                  </w:r>
                </w:p>
              </w:tc>
              <w:tc>
                <w:tcPr>
                  <w:tcW w:w="1250" w:type="pct"/>
                  <w:tcBorders>
                    <w:tl2br w:val="nil"/>
                    <w:tr2bl w:val="nil"/>
                  </w:tcBorders>
                  <w:vAlign w:val="center"/>
                </w:tcPr>
                <w:p w14:paraId="762F3CB3">
                  <w:pPr>
                    <w:keepNext w:val="0"/>
                    <w:keepLines w:val="0"/>
                    <w:suppressLineNumbers w:val="0"/>
                    <w:spacing w:before="0" w:beforeAutospacing="0" w:after="0" w:afterAutospacing="0" w:line="276" w:lineRule="auto"/>
                    <w:ind w:left="0" w:right="0"/>
                    <w:jc w:val="center"/>
                    <w:rPr>
                      <w:rFonts w:hint="default" w:ascii="Times New Roman" w:hAnsi="Times New Roman"/>
                      <w:spacing w:val="-2"/>
                      <w:szCs w:val="21"/>
                    </w:rPr>
                  </w:pPr>
                  <w:r>
                    <w:rPr>
                      <w:rFonts w:hint="default" w:ascii="Times New Roman" w:hAnsi="Times New Roman"/>
                      <w:szCs w:val="21"/>
                    </w:rPr>
                    <w:t>黄色</w:t>
                  </w:r>
                </w:p>
              </w:tc>
              <w:tc>
                <w:tcPr>
                  <w:tcW w:w="1250" w:type="pct"/>
                  <w:tcBorders>
                    <w:tl2br w:val="nil"/>
                    <w:tr2bl w:val="nil"/>
                  </w:tcBorders>
                  <w:vAlign w:val="center"/>
                </w:tcPr>
                <w:p w14:paraId="77EBAACD">
                  <w:pPr>
                    <w:keepNext w:val="0"/>
                    <w:keepLines w:val="0"/>
                    <w:suppressLineNumbers w:val="0"/>
                    <w:spacing w:before="0" w:beforeAutospacing="0" w:after="0" w:afterAutospacing="0" w:line="276" w:lineRule="auto"/>
                    <w:ind w:left="0" w:right="0"/>
                    <w:jc w:val="center"/>
                    <w:rPr>
                      <w:rFonts w:hint="default" w:ascii="Times New Roman" w:hAnsi="Times New Roman"/>
                      <w:spacing w:val="-2"/>
                      <w:szCs w:val="21"/>
                    </w:rPr>
                  </w:pPr>
                  <w:r>
                    <w:rPr>
                      <w:rFonts w:hint="default" w:ascii="Times New Roman" w:hAnsi="Times New Roman"/>
                      <w:szCs w:val="21"/>
                    </w:rPr>
                    <w:t>黑色</w:t>
                  </w:r>
                </w:p>
              </w:tc>
            </w:tr>
            <w:tr w14:paraId="6858C3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0" w:type="pct"/>
                  <w:tcBorders>
                    <w:tl2br w:val="nil"/>
                    <w:tr2bl w:val="nil"/>
                  </w:tcBorders>
                  <w:vAlign w:val="center"/>
                </w:tcPr>
                <w:p w14:paraId="26BD3EA3">
                  <w:pPr>
                    <w:keepNext w:val="0"/>
                    <w:keepLines w:val="0"/>
                    <w:suppressLineNumbers w:val="0"/>
                    <w:spacing w:before="0" w:beforeAutospacing="0" w:after="0" w:afterAutospacing="0" w:line="276" w:lineRule="auto"/>
                    <w:ind w:left="0" w:right="0"/>
                    <w:jc w:val="center"/>
                    <w:rPr>
                      <w:rFonts w:hint="default" w:ascii="Times New Roman" w:hAnsi="Times New Roman"/>
                      <w:spacing w:val="-2"/>
                      <w:szCs w:val="21"/>
                    </w:rPr>
                  </w:pPr>
                  <w:r>
                    <w:rPr>
                      <w:rFonts w:hint="default" w:ascii="Times New Roman" w:hAnsi="Times New Roman"/>
                      <w:szCs w:val="21"/>
                    </w:rPr>
                    <w:t>提示标志</w:t>
                  </w:r>
                </w:p>
              </w:tc>
              <w:tc>
                <w:tcPr>
                  <w:tcW w:w="1250" w:type="pct"/>
                  <w:tcBorders>
                    <w:tl2br w:val="nil"/>
                    <w:tr2bl w:val="nil"/>
                  </w:tcBorders>
                  <w:vAlign w:val="center"/>
                </w:tcPr>
                <w:p w14:paraId="7F61BC31">
                  <w:pPr>
                    <w:keepNext w:val="0"/>
                    <w:keepLines w:val="0"/>
                    <w:suppressLineNumbers w:val="0"/>
                    <w:spacing w:before="0" w:beforeAutospacing="0" w:after="0" w:afterAutospacing="0" w:line="276" w:lineRule="auto"/>
                    <w:ind w:left="0" w:right="0"/>
                    <w:jc w:val="center"/>
                    <w:rPr>
                      <w:rFonts w:hint="default" w:ascii="Times New Roman" w:hAnsi="Times New Roman"/>
                      <w:spacing w:val="-2"/>
                      <w:szCs w:val="21"/>
                    </w:rPr>
                  </w:pPr>
                  <w:r>
                    <w:rPr>
                      <w:rFonts w:hint="default" w:ascii="Times New Roman" w:hAnsi="Times New Roman"/>
                      <w:szCs w:val="21"/>
                    </w:rPr>
                    <w:t>正方形边框</w:t>
                  </w:r>
                </w:p>
              </w:tc>
              <w:tc>
                <w:tcPr>
                  <w:tcW w:w="1250" w:type="pct"/>
                  <w:tcBorders>
                    <w:tl2br w:val="nil"/>
                    <w:tr2bl w:val="nil"/>
                  </w:tcBorders>
                  <w:vAlign w:val="center"/>
                </w:tcPr>
                <w:p w14:paraId="1692C5B2">
                  <w:pPr>
                    <w:keepNext w:val="0"/>
                    <w:keepLines w:val="0"/>
                    <w:suppressLineNumbers w:val="0"/>
                    <w:spacing w:before="0" w:beforeAutospacing="0" w:after="0" w:afterAutospacing="0" w:line="276" w:lineRule="auto"/>
                    <w:ind w:left="0" w:right="0"/>
                    <w:jc w:val="center"/>
                    <w:rPr>
                      <w:rFonts w:hint="default" w:ascii="Times New Roman" w:hAnsi="Times New Roman"/>
                      <w:spacing w:val="-2"/>
                      <w:szCs w:val="21"/>
                    </w:rPr>
                  </w:pPr>
                  <w:r>
                    <w:rPr>
                      <w:rFonts w:hint="default" w:ascii="Times New Roman" w:hAnsi="Times New Roman"/>
                      <w:szCs w:val="21"/>
                    </w:rPr>
                    <w:t>绿色</w:t>
                  </w:r>
                </w:p>
              </w:tc>
              <w:tc>
                <w:tcPr>
                  <w:tcW w:w="1250" w:type="pct"/>
                  <w:tcBorders>
                    <w:tl2br w:val="nil"/>
                    <w:tr2bl w:val="nil"/>
                  </w:tcBorders>
                  <w:vAlign w:val="center"/>
                </w:tcPr>
                <w:p w14:paraId="03990B3D">
                  <w:pPr>
                    <w:keepNext w:val="0"/>
                    <w:keepLines w:val="0"/>
                    <w:suppressLineNumbers w:val="0"/>
                    <w:spacing w:before="0" w:beforeAutospacing="0" w:after="0" w:afterAutospacing="0" w:line="276" w:lineRule="auto"/>
                    <w:ind w:left="0" w:right="0"/>
                    <w:jc w:val="center"/>
                    <w:rPr>
                      <w:rFonts w:hint="default" w:ascii="Times New Roman" w:hAnsi="Times New Roman"/>
                      <w:spacing w:val="-2"/>
                      <w:szCs w:val="21"/>
                    </w:rPr>
                  </w:pPr>
                  <w:r>
                    <w:rPr>
                      <w:rFonts w:hint="default" w:ascii="Times New Roman" w:hAnsi="Times New Roman"/>
                      <w:szCs w:val="21"/>
                    </w:rPr>
                    <w:t>白色</w:t>
                  </w:r>
                </w:p>
              </w:tc>
            </w:tr>
          </w:tbl>
          <w:p w14:paraId="1C93F9A7">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sz w:val="24"/>
                <w:szCs w:val="24"/>
              </w:rPr>
            </w:pPr>
          </w:p>
        </w:tc>
      </w:tr>
    </w:tbl>
    <w:p w14:paraId="0BBEF928">
      <w:pPr>
        <w:widowControl/>
        <w:spacing w:before="100" w:beforeAutospacing="1" w:after="100" w:afterAutospacing="1"/>
        <w:jc w:val="center"/>
        <w:outlineLvl w:val="0"/>
        <w:rPr>
          <w:rFonts w:ascii="Times New Roman" w:hAnsi="Times New Roman" w:eastAsia="黑体" w:cs="Times New Roman"/>
          <w:snapToGrid w:val="0"/>
          <w:kern w:val="0"/>
          <w:sz w:val="30"/>
          <w:szCs w:val="30"/>
        </w:rPr>
        <w:sectPr>
          <w:pgSz w:w="11906" w:h="16838"/>
          <w:pgMar w:top="1440" w:right="1800" w:bottom="1440" w:left="1800" w:header="851" w:footer="992" w:gutter="0"/>
          <w:cols w:space="425" w:num="1"/>
          <w:docGrid w:type="lines" w:linePitch="312" w:charSpace="0"/>
        </w:sectPr>
      </w:pPr>
    </w:p>
    <w:p w14:paraId="1DA3ADF8">
      <w:pPr>
        <w:widowControl/>
        <w:spacing w:before="100" w:beforeAutospacing="1" w:after="100" w:afterAutospacing="1"/>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kern w:val="0"/>
          <w:sz w:val="30"/>
          <w:szCs w:val="30"/>
        </w:rPr>
        <w:t>五、</w:t>
      </w:r>
      <w:bookmarkStart w:id="6" w:name="_Hlk54167917"/>
      <w:r>
        <w:rPr>
          <w:rFonts w:ascii="Times New Roman" w:hAnsi="Times New Roman" w:eastAsia="黑体" w:cs="Times New Roman"/>
          <w:snapToGrid w:val="0"/>
          <w:kern w:val="0"/>
          <w:sz w:val="30"/>
          <w:szCs w:val="30"/>
        </w:rPr>
        <w:t>环境保护措施监督检查清单</w:t>
      </w:r>
      <w:bookmarkEnd w:id="6"/>
    </w:p>
    <w:tbl>
      <w:tblPr>
        <w:tblStyle w:val="1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559"/>
        <w:gridCol w:w="1418"/>
        <w:gridCol w:w="1701"/>
        <w:gridCol w:w="3166"/>
      </w:tblGrid>
      <w:tr w14:paraId="570F7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56" w:type="dxa"/>
            <w:tcBorders>
              <w:tl2br w:val="single" w:color="auto" w:sz="4" w:space="0"/>
            </w:tcBorders>
          </w:tcPr>
          <w:p w14:paraId="77F11CED">
            <w:pPr>
              <w:keepNext w:val="0"/>
              <w:keepLines w:val="0"/>
              <w:suppressLineNumbers w:val="0"/>
              <w:spacing w:before="0" w:beforeAutospacing="0" w:after="0" w:afterAutospacing="0" w:line="360" w:lineRule="auto"/>
              <w:ind w:left="0" w:right="0"/>
              <w:jc w:val="righ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内容</w:t>
            </w:r>
          </w:p>
          <w:p w14:paraId="351D32FB">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sz w:val="24"/>
                <w:szCs w:val="24"/>
              </w:rPr>
            </w:pPr>
          </w:p>
          <w:p w14:paraId="74EAA9E0">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要素</w:t>
            </w:r>
          </w:p>
        </w:tc>
        <w:tc>
          <w:tcPr>
            <w:tcW w:w="1559" w:type="dxa"/>
            <w:vAlign w:val="center"/>
          </w:tcPr>
          <w:p w14:paraId="4DDBE5FB">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排放口(编号、名称)/污染源</w:t>
            </w:r>
          </w:p>
        </w:tc>
        <w:tc>
          <w:tcPr>
            <w:tcW w:w="1418" w:type="dxa"/>
            <w:vAlign w:val="center"/>
          </w:tcPr>
          <w:p w14:paraId="2A57CC4A">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污染物项目</w:t>
            </w:r>
          </w:p>
        </w:tc>
        <w:tc>
          <w:tcPr>
            <w:tcW w:w="1701" w:type="dxa"/>
            <w:vAlign w:val="center"/>
          </w:tcPr>
          <w:p w14:paraId="434B29E0">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环境保护措施</w:t>
            </w:r>
          </w:p>
        </w:tc>
        <w:tc>
          <w:tcPr>
            <w:tcW w:w="3166" w:type="dxa"/>
            <w:vAlign w:val="center"/>
          </w:tcPr>
          <w:p w14:paraId="42E390FE">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执行标准</w:t>
            </w:r>
          </w:p>
        </w:tc>
      </w:tr>
      <w:tr w14:paraId="7AF9A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956" w:type="dxa"/>
            <w:vMerge w:val="restart"/>
            <w:vAlign w:val="center"/>
          </w:tcPr>
          <w:p w14:paraId="4F467F11">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大气环境</w:t>
            </w:r>
          </w:p>
        </w:tc>
        <w:tc>
          <w:tcPr>
            <w:tcW w:w="1559" w:type="dxa"/>
            <w:vAlign w:val="center"/>
          </w:tcPr>
          <w:p w14:paraId="5FE449EA">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厂界无组织废气</w:t>
            </w:r>
          </w:p>
        </w:tc>
        <w:tc>
          <w:tcPr>
            <w:tcW w:w="1418" w:type="dxa"/>
            <w:vAlign w:val="center"/>
          </w:tcPr>
          <w:p w14:paraId="7EB29696">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TSP、</w:t>
            </w:r>
            <w:r>
              <w:rPr>
                <w:rFonts w:hint="default" w:ascii="Times New Roman" w:hAnsi="Times New Roman" w:eastAsia="宋体" w:cs="Times New Roman"/>
                <w:sz w:val="24"/>
                <w:szCs w:val="24"/>
              </w:rPr>
              <w:t>非甲烷总烃</w:t>
            </w:r>
          </w:p>
        </w:tc>
        <w:tc>
          <w:tcPr>
            <w:tcW w:w="1701" w:type="dxa"/>
            <w:vAlign w:val="center"/>
          </w:tcPr>
          <w:p w14:paraId="4EF95C6A">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3166" w:type="dxa"/>
            <w:vAlign w:val="center"/>
          </w:tcPr>
          <w:p w14:paraId="5F00B2BC">
            <w:pPr>
              <w:keepNext w:val="0"/>
              <w:keepLines w:val="0"/>
              <w:suppressLineNumbers w:val="0"/>
              <w:topLinePunct/>
              <w:autoSpaceDE w:val="0"/>
              <w:autoSpaceDN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eastAsia" w:ascii="Times New Roman" w:hAnsi="Times New Roman" w:eastAsia="宋体" w:cs="Times New Roman"/>
                <w:bCs/>
                <w:kern w:val="0"/>
                <w:sz w:val="24"/>
                <w:szCs w:val="24"/>
              </w:rPr>
              <w:t>《大气污染物综合排放标准》（GB16297-1996）表2中无组织排放监控浓度限值</w:t>
            </w:r>
          </w:p>
        </w:tc>
      </w:tr>
      <w:tr w14:paraId="3E394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56" w:type="dxa"/>
            <w:vMerge w:val="continue"/>
            <w:vAlign w:val="center"/>
          </w:tcPr>
          <w:p w14:paraId="21116B10">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4"/>
                <w:szCs w:val="24"/>
              </w:rPr>
            </w:pPr>
          </w:p>
        </w:tc>
        <w:tc>
          <w:tcPr>
            <w:tcW w:w="1559" w:type="dxa"/>
            <w:vAlign w:val="center"/>
          </w:tcPr>
          <w:p w14:paraId="7F44D464">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厂区内无组织废气</w:t>
            </w:r>
          </w:p>
        </w:tc>
        <w:tc>
          <w:tcPr>
            <w:tcW w:w="1418" w:type="dxa"/>
            <w:vAlign w:val="center"/>
          </w:tcPr>
          <w:p w14:paraId="1DBBBE7C">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非甲烷总烃</w:t>
            </w:r>
          </w:p>
        </w:tc>
        <w:tc>
          <w:tcPr>
            <w:tcW w:w="1701" w:type="dxa"/>
            <w:vAlign w:val="center"/>
          </w:tcPr>
          <w:p w14:paraId="778A8025">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3166" w:type="dxa"/>
            <w:vAlign w:val="center"/>
          </w:tcPr>
          <w:p w14:paraId="2151A72F">
            <w:pPr>
              <w:keepNext w:val="0"/>
              <w:keepLines w:val="0"/>
              <w:suppressLineNumbers w:val="0"/>
              <w:topLinePunct/>
              <w:autoSpaceDE w:val="0"/>
              <w:autoSpaceDN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eastAsia" w:ascii="Times New Roman" w:hAnsi="Times New Roman" w:cs="Times New Roman"/>
                <w:sz w:val="24"/>
              </w:rPr>
              <w:t>《固定源挥发性有机物综合排放标准第6部分：其他行业》（DB34/4812.6-2024）</w:t>
            </w:r>
            <w:r>
              <w:rPr>
                <w:rFonts w:hint="default" w:ascii="Times New Roman" w:hAnsi="Times New Roman" w:cs="Times New Roman"/>
                <w:sz w:val="24"/>
              </w:rPr>
              <w:t>中</w:t>
            </w:r>
            <w:r>
              <w:rPr>
                <w:rFonts w:hint="eastAsia" w:ascii="Times New Roman" w:hAnsi="Times New Roman" w:cs="Times New Roman"/>
                <w:sz w:val="24"/>
              </w:rPr>
              <w:t>表4</w:t>
            </w:r>
            <w:r>
              <w:rPr>
                <w:rFonts w:hint="default" w:ascii="Times New Roman" w:hAnsi="Times New Roman" w:cs="Times New Roman"/>
                <w:sz w:val="24"/>
              </w:rPr>
              <w:t>规定的</w:t>
            </w:r>
            <w:r>
              <w:rPr>
                <w:rFonts w:hint="eastAsia" w:ascii="Times New Roman" w:hAnsi="Times New Roman" w:cs="Times New Roman"/>
                <w:sz w:val="24"/>
              </w:rPr>
              <w:t>无组织排放</w:t>
            </w:r>
            <w:r>
              <w:rPr>
                <w:rFonts w:hint="default" w:ascii="Times New Roman" w:hAnsi="Times New Roman" w:cs="Times New Roman"/>
                <w:sz w:val="24"/>
              </w:rPr>
              <w:t>限值</w:t>
            </w:r>
          </w:p>
        </w:tc>
      </w:tr>
      <w:tr w14:paraId="7FEFC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29A2810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地表水环境</w:t>
            </w:r>
          </w:p>
        </w:tc>
        <w:tc>
          <w:tcPr>
            <w:tcW w:w="1559" w:type="dxa"/>
            <w:vAlign w:val="center"/>
          </w:tcPr>
          <w:p w14:paraId="73EDF46C">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生活污水、后段清洗废水和保洁废水</w:t>
            </w:r>
          </w:p>
        </w:tc>
        <w:tc>
          <w:tcPr>
            <w:tcW w:w="1418" w:type="dxa"/>
            <w:vAlign w:val="center"/>
          </w:tcPr>
          <w:p w14:paraId="13013222">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COD</w:t>
            </w:r>
            <w:r>
              <w:rPr>
                <w:rFonts w:hint="default" w:ascii="Times New Roman" w:hAnsi="Times New Roman" w:eastAsia="宋体" w:cs="Times New Roman"/>
                <w:sz w:val="24"/>
                <w:szCs w:val="24"/>
                <w:vertAlign w:val="subscript"/>
              </w:rPr>
              <w:t>Cr</w:t>
            </w:r>
            <w:r>
              <w:rPr>
                <w:rFonts w:hint="default" w:ascii="Times New Roman" w:hAnsi="Times New Roman" w:eastAsia="宋体" w:cs="Times New Roman"/>
                <w:sz w:val="24"/>
                <w:szCs w:val="24"/>
              </w:rPr>
              <w:t>、BOD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、SS、NH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w:t>
            </w:r>
          </w:p>
        </w:tc>
        <w:tc>
          <w:tcPr>
            <w:tcW w:w="1701" w:type="dxa"/>
            <w:vAlign w:val="center"/>
          </w:tcPr>
          <w:p w14:paraId="5EC04BC0">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后段清洗废水和保洁废水经pH调节后与经化粪池处理后的生活污水一起排入山南新区污水处理厂</w:t>
            </w:r>
          </w:p>
        </w:tc>
        <w:tc>
          <w:tcPr>
            <w:tcW w:w="3166" w:type="dxa"/>
            <w:vAlign w:val="center"/>
          </w:tcPr>
          <w:p w14:paraId="20E9A2CB">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外排废水</w:t>
            </w:r>
            <w:r>
              <w:rPr>
                <w:rFonts w:hint="default" w:ascii="Times New Roman" w:hAnsi="Times New Roman" w:eastAsia="宋体" w:cs="Times New Roman"/>
                <w:sz w:val="24"/>
                <w:szCs w:val="24"/>
              </w:rPr>
              <w:t>接管满足</w:t>
            </w:r>
            <w:r>
              <w:rPr>
                <w:rFonts w:hint="eastAsia" w:ascii="Times New Roman" w:hAnsi="Times New Roman" w:eastAsia="宋体" w:cs="Times New Roman"/>
                <w:sz w:val="24"/>
                <w:szCs w:val="24"/>
              </w:rPr>
              <w:t>山南新区污水处理厂接管</w:t>
            </w:r>
            <w:r>
              <w:rPr>
                <w:rFonts w:hint="default" w:ascii="Times New Roman" w:hAnsi="Times New Roman" w:eastAsia="宋体" w:cs="Times New Roman"/>
                <w:sz w:val="24"/>
                <w:szCs w:val="24"/>
              </w:rPr>
              <w:t>浓度</w:t>
            </w:r>
            <w:r>
              <w:rPr>
                <w:rFonts w:hint="eastAsia" w:ascii="Times New Roman" w:hAnsi="Times New Roman" w:eastAsia="宋体" w:cs="Times New Roman"/>
                <w:sz w:val="24"/>
                <w:szCs w:val="24"/>
              </w:rPr>
              <w:t>限值要求</w:t>
            </w:r>
          </w:p>
        </w:tc>
      </w:tr>
      <w:tr w14:paraId="7F0F0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2D83614E">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声环境</w:t>
            </w:r>
          </w:p>
        </w:tc>
        <w:tc>
          <w:tcPr>
            <w:tcW w:w="1559" w:type="dxa"/>
            <w:vAlign w:val="center"/>
          </w:tcPr>
          <w:p w14:paraId="473D196B">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设备噪声</w:t>
            </w:r>
          </w:p>
        </w:tc>
        <w:tc>
          <w:tcPr>
            <w:tcW w:w="1418" w:type="dxa"/>
            <w:vAlign w:val="center"/>
          </w:tcPr>
          <w:p w14:paraId="195515FF">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w:t>
            </w:r>
          </w:p>
        </w:tc>
        <w:tc>
          <w:tcPr>
            <w:tcW w:w="1701" w:type="dxa"/>
            <w:vAlign w:val="center"/>
          </w:tcPr>
          <w:p w14:paraId="510903B1">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减振、隔声、消声措施</w:t>
            </w:r>
          </w:p>
        </w:tc>
        <w:tc>
          <w:tcPr>
            <w:tcW w:w="3166" w:type="dxa"/>
            <w:vAlign w:val="center"/>
          </w:tcPr>
          <w:p w14:paraId="10C1D153">
            <w:pPr>
              <w:keepNext w:val="0"/>
              <w:keepLines w:val="0"/>
              <w:suppressLineNumbers w:val="0"/>
              <w:spacing w:before="0" w:beforeAutospacing="0" w:after="0" w:afterAutospacing="0" w:line="440" w:lineRule="exact"/>
              <w:ind w:left="0" w:right="-105" w:rightChars="-5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《工业企业厂界环境噪声排放标准》（GB12348-2008）中3类标准</w:t>
            </w:r>
          </w:p>
        </w:tc>
      </w:tr>
      <w:tr w14:paraId="7B436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3AE89341">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固体废物</w:t>
            </w:r>
          </w:p>
        </w:tc>
        <w:tc>
          <w:tcPr>
            <w:tcW w:w="7844" w:type="dxa"/>
            <w:gridSpan w:val="4"/>
          </w:tcPr>
          <w:p w14:paraId="4D118FA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sz w:val="24"/>
                <w:szCs w:val="24"/>
              </w:rPr>
              <w:t>建设一座</w:t>
            </w:r>
            <w:r>
              <w:rPr>
                <w:rFonts w:hint="eastAsia" w:ascii="Times New Roman" w:hAnsi="Times New Roman" w:eastAsia="宋体" w:cs="Times New Roman"/>
                <w:sz w:val="24"/>
                <w:szCs w:val="24"/>
              </w:rPr>
              <w:t>10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危险废物暂存间，</w:t>
            </w:r>
            <w:r>
              <w:rPr>
                <w:rFonts w:hint="eastAsia" w:ascii="Times New Roman" w:hAnsi="Times New Roman" w:cs="Times New Roman"/>
                <w:bCs/>
                <w:sz w:val="24"/>
                <w:szCs w:val="24"/>
              </w:rPr>
              <w:t>废无尘布、废弃样品和</w:t>
            </w:r>
            <w:r>
              <w:rPr>
                <w:rFonts w:hint="eastAsia" w:ascii="Times New Roman" w:hAnsi="Times New Roman" w:eastAsia="宋体" w:cs="Times New Roman"/>
                <w:sz w:val="24"/>
                <w:szCs w:val="24"/>
              </w:rPr>
              <w:t>一次、二次清洗废液</w:t>
            </w:r>
            <w:r>
              <w:rPr>
                <w:rFonts w:hint="eastAsia" w:ascii="Times New Roman" w:hAnsi="Times New Roman" w:eastAsia="宋体" w:cs="Times New Roman"/>
                <w:bCs/>
                <w:sz w:val="24"/>
                <w:szCs w:val="24"/>
              </w:rPr>
              <w:t>暂存</w:t>
            </w:r>
            <w:r>
              <w:rPr>
                <w:rFonts w:hint="default" w:ascii="Times New Roman" w:hAnsi="Times New Roman" w:eastAsia="宋体" w:cs="Times New Roman"/>
                <w:bCs/>
                <w:sz w:val="24"/>
                <w:szCs w:val="24"/>
              </w:rPr>
              <w:t>于危险废物暂存间内，定期委托有资质单位进行处置；</w:t>
            </w:r>
          </w:p>
          <w:p w14:paraId="7275713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建设一座</w:t>
            </w:r>
            <w:r>
              <w:rPr>
                <w:rFonts w:hint="eastAsia" w:ascii="Times New Roman" w:hAnsi="Times New Roman" w:eastAsia="宋体" w:cs="Times New Roman"/>
                <w:sz w:val="24"/>
                <w:szCs w:val="24"/>
              </w:rPr>
              <w:t>15</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一般工业固体废物暂存间，</w:t>
            </w:r>
            <w:r>
              <w:rPr>
                <w:rFonts w:hint="eastAsia" w:ascii="Times New Roman" w:hAnsi="Times New Roman"/>
                <w:kern w:val="0"/>
                <w:sz w:val="24"/>
                <w:szCs w:val="24"/>
              </w:rPr>
              <w:t>不合格品</w:t>
            </w:r>
            <w:r>
              <w:rPr>
                <w:rFonts w:hint="default" w:ascii="Times New Roman" w:hAnsi="Times New Roman"/>
                <w:kern w:val="0"/>
                <w:sz w:val="24"/>
                <w:szCs w:val="24"/>
              </w:rPr>
              <w:t>、废边角料</w:t>
            </w:r>
            <w:r>
              <w:rPr>
                <w:rFonts w:hint="eastAsia" w:ascii="Times New Roman" w:hAnsi="Times New Roman"/>
                <w:kern w:val="0"/>
                <w:sz w:val="24"/>
                <w:szCs w:val="24"/>
              </w:rPr>
              <w:t>、</w:t>
            </w:r>
            <w:r>
              <w:rPr>
                <w:rFonts w:hint="default" w:ascii="Times New Roman" w:hAnsi="Times New Roman"/>
                <w:kern w:val="0"/>
                <w:sz w:val="24"/>
                <w:szCs w:val="24"/>
              </w:rPr>
              <w:t>废包装材料</w:t>
            </w:r>
            <w:r>
              <w:rPr>
                <w:rFonts w:hint="eastAsia" w:ascii="Times New Roman" w:hAnsi="Times New Roman" w:cs="Times New Roman"/>
                <w:bCs/>
                <w:sz w:val="24"/>
                <w:szCs w:val="24"/>
              </w:rPr>
              <w:t>、废培养皿</w:t>
            </w:r>
            <w:r>
              <w:rPr>
                <w:rFonts w:hint="default" w:ascii="Times New Roman" w:hAnsi="Times New Roman" w:eastAsia="宋体" w:cs="Times New Roman"/>
                <w:sz w:val="24"/>
                <w:szCs w:val="24"/>
              </w:rPr>
              <w:t>定期外售综合利用；</w:t>
            </w:r>
          </w:p>
          <w:p w14:paraId="21B54E4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val="0"/>
                <w:kern w:val="0"/>
                <w:sz w:val="24"/>
                <w:szCs w:val="24"/>
              </w:rPr>
            </w:pPr>
            <w:r>
              <w:rPr>
                <w:rFonts w:hint="default" w:ascii="Times New Roman" w:hAnsi="Times New Roman" w:eastAsia="宋体" w:cs="Times New Roman"/>
                <w:sz w:val="24"/>
                <w:szCs w:val="24"/>
              </w:rPr>
              <w:t>危险废物执行《危险废物贮存污染控制标准》（GB18597-2023），</w:t>
            </w:r>
            <w:r>
              <w:rPr>
                <w:rFonts w:hint="default" w:ascii="Times New Roman" w:hAnsi="Times New Roman" w:eastAsia="宋体" w:cs="Times New Roman"/>
                <w:snapToGrid w:val="0"/>
                <w:kern w:val="0"/>
                <w:sz w:val="24"/>
                <w:szCs w:val="24"/>
              </w:rPr>
              <w:t>一般工业固体废物贮存、处置执行《一般工业固体废物贮存和填埋污染控制标准》（GB18599-2020）中有关规定。</w:t>
            </w:r>
          </w:p>
        </w:tc>
      </w:tr>
      <w:tr w14:paraId="2A325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2853BB47">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土壤及地下水</w:t>
            </w:r>
          </w:p>
          <w:p w14:paraId="18FE20E6">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污染防治措施</w:t>
            </w:r>
          </w:p>
        </w:tc>
        <w:tc>
          <w:tcPr>
            <w:tcW w:w="7844" w:type="dxa"/>
            <w:gridSpan w:val="4"/>
          </w:tcPr>
          <w:p w14:paraId="36138E49">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sz w:val="24"/>
                <w:szCs w:val="24"/>
              </w:rPr>
            </w:pPr>
            <w:r>
              <w:rPr>
                <w:rFonts w:hint="eastAsia" w:ascii="Times New Roman" w:hAnsi="Times New Roman" w:cs="Times New Roman"/>
                <w:sz w:val="24"/>
                <w:szCs w:val="24"/>
              </w:rPr>
              <w:t>本项目位于</w:t>
            </w:r>
            <w:r>
              <w:rPr>
                <w:rFonts w:hint="eastAsia" w:ascii="Times New Roman" w:hAnsi="Times New Roman" w:eastAsia="宋体" w:cs="Times New Roman"/>
                <w:bCs/>
                <w:kern w:val="0"/>
                <w:sz w:val="24"/>
                <w:szCs w:val="24"/>
              </w:rPr>
              <w:t>淮南高新技术产业开发区科技信息产业园5号楼</w:t>
            </w:r>
            <w:r>
              <w:rPr>
                <w:rFonts w:hint="eastAsia" w:ascii="Times New Roman" w:hAnsi="Times New Roman" w:cs="Times New Roman"/>
                <w:sz w:val="24"/>
                <w:szCs w:val="24"/>
              </w:rPr>
              <w:t>，经现场勘察，租赁厂房附近地面均已做硬化处理。本项目实施后，在现有硬化地面基础上进行进一步分区防渗，</w:t>
            </w:r>
            <w:r>
              <w:rPr>
                <w:rFonts w:hint="default" w:ascii="Times New Roman" w:hAnsi="Times New Roman" w:cs="Times New Roman"/>
                <w:sz w:val="24"/>
                <w:szCs w:val="24"/>
              </w:rPr>
              <w:t>重点防渗区增加2mm厚高密度聚乙烯或至少2mm厚的其他人工材料采取全面防腐、防渗处理</w:t>
            </w:r>
            <w:r>
              <w:rPr>
                <w:rFonts w:hint="eastAsia" w:ascii="Times New Roman" w:hAnsi="Times New Roman" w:cs="Times New Roman"/>
                <w:sz w:val="24"/>
                <w:szCs w:val="24"/>
              </w:rPr>
              <w:t>，</w:t>
            </w:r>
            <w:r>
              <w:rPr>
                <w:rFonts w:hint="default" w:ascii="Times New Roman" w:hAnsi="Times New Roman" w:cs="Times New Roman"/>
                <w:sz w:val="24"/>
                <w:szCs w:val="24"/>
              </w:rPr>
              <w:t>一般防渗区采用防渗水泥进行硬化方式处理</w:t>
            </w:r>
            <w:r>
              <w:rPr>
                <w:rFonts w:hint="eastAsia" w:ascii="Times New Roman" w:hAnsi="Times New Roman" w:cs="Times New Roman"/>
                <w:sz w:val="24"/>
                <w:szCs w:val="24"/>
              </w:rPr>
              <w:t>。</w:t>
            </w:r>
          </w:p>
          <w:p w14:paraId="246517F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重点防渗区：主要为危险废物暂存间、</w:t>
            </w:r>
            <w:r>
              <w:rPr>
                <w:rFonts w:hint="eastAsia" w:ascii="Times New Roman" w:hAnsi="Times New Roman" w:eastAsia="宋体" w:cs="Times New Roman"/>
                <w:sz w:val="24"/>
                <w:szCs w:val="20"/>
                <w:lang w:eastAsia="zh-CN"/>
              </w:rPr>
              <w:t>质检室</w:t>
            </w:r>
            <w:r>
              <w:rPr>
                <w:rFonts w:hint="default" w:ascii="Times New Roman" w:hAnsi="Times New Roman" w:eastAsia="宋体" w:cs="Times New Roman"/>
                <w:sz w:val="24"/>
                <w:szCs w:val="20"/>
              </w:rPr>
              <w:t>区域。重点防渗区的防渗技术要求为等效黏土防渗层Mb≥6.0m，K≤10</w:t>
            </w:r>
            <w:r>
              <w:rPr>
                <w:rFonts w:hint="default" w:ascii="Times New Roman" w:hAnsi="Times New Roman" w:eastAsia="宋体" w:cs="Times New Roman"/>
                <w:sz w:val="24"/>
                <w:szCs w:val="20"/>
                <w:vertAlign w:val="superscript"/>
              </w:rPr>
              <w:t>-7</w:t>
            </w:r>
            <w:r>
              <w:rPr>
                <w:rFonts w:hint="default" w:ascii="Times New Roman" w:hAnsi="Times New Roman" w:eastAsia="宋体" w:cs="Times New Roman"/>
                <w:sz w:val="24"/>
                <w:szCs w:val="20"/>
              </w:rPr>
              <w:t>cm/s。其中危险废物暂存间还需要满足《危险废物贮存污染控制标准》（GB18597-2023）中防渗要求：基础必须防渗，防渗层为至少1m厚粘土层（渗透系数K≤10</w:t>
            </w:r>
            <w:r>
              <w:rPr>
                <w:rFonts w:hint="default" w:ascii="Times New Roman" w:hAnsi="Times New Roman" w:eastAsia="宋体" w:cs="Times New Roman"/>
                <w:sz w:val="24"/>
                <w:szCs w:val="20"/>
                <w:vertAlign w:val="superscript"/>
              </w:rPr>
              <w:t>-7</w:t>
            </w:r>
            <w:r>
              <w:rPr>
                <w:rFonts w:hint="default" w:ascii="Times New Roman" w:hAnsi="Times New Roman" w:eastAsia="宋体" w:cs="Times New Roman"/>
                <w:sz w:val="24"/>
                <w:szCs w:val="20"/>
              </w:rPr>
              <w:t>cm/s），或2mm厚高密度聚乙烯，或至少2mm厚的其它人工材料，渗透系数K≤10</w:t>
            </w:r>
            <w:r>
              <w:rPr>
                <w:rFonts w:hint="default" w:ascii="Times New Roman" w:hAnsi="Times New Roman" w:eastAsia="宋体" w:cs="Times New Roman"/>
                <w:sz w:val="24"/>
                <w:szCs w:val="20"/>
                <w:vertAlign w:val="superscript"/>
              </w:rPr>
              <w:t>-10</w:t>
            </w:r>
            <w:r>
              <w:rPr>
                <w:rFonts w:hint="default" w:ascii="Times New Roman" w:hAnsi="Times New Roman" w:eastAsia="宋体" w:cs="Times New Roman"/>
                <w:sz w:val="24"/>
                <w:szCs w:val="20"/>
              </w:rPr>
              <w:t>cm/s。</w:t>
            </w:r>
          </w:p>
          <w:p w14:paraId="50789E0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一般防渗区：除重点防渗区外的其他区域均设为一般防渗区。一般防渗区的防渗技术要求：等效黏土防渗层Mb≥1.5m，K≤10</w:t>
            </w:r>
            <w:r>
              <w:rPr>
                <w:rFonts w:hint="default" w:ascii="Times New Roman" w:hAnsi="Times New Roman" w:eastAsia="宋体" w:cs="Times New Roman"/>
                <w:sz w:val="24"/>
                <w:szCs w:val="20"/>
                <w:vertAlign w:val="superscript"/>
              </w:rPr>
              <w:t>-7</w:t>
            </w:r>
            <w:r>
              <w:rPr>
                <w:rFonts w:hint="default" w:ascii="Times New Roman" w:hAnsi="Times New Roman" w:eastAsia="宋体" w:cs="Times New Roman"/>
                <w:sz w:val="24"/>
                <w:szCs w:val="20"/>
              </w:rPr>
              <w:t>cm/s。</w:t>
            </w:r>
          </w:p>
        </w:tc>
      </w:tr>
      <w:tr w14:paraId="2B715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103C805E">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生态保护措施</w:t>
            </w:r>
          </w:p>
        </w:tc>
        <w:tc>
          <w:tcPr>
            <w:tcW w:w="7844" w:type="dxa"/>
            <w:gridSpan w:val="4"/>
            <w:vAlign w:val="center"/>
          </w:tcPr>
          <w:p w14:paraId="5855133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本项目所属用地为工业用地，区域内无珍稀动物、植物，无文物古迹保护对象，对区域内生态环境产生破坏和影响较小</w:t>
            </w:r>
          </w:p>
        </w:tc>
      </w:tr>
      <w:tr w14:paraId="11FD8E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7BDD9289">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环境风险防范措施</w:t>
            </w:r>
          </w:p>
        </w:tc>
        <w:tc>
          <w:tcPr>
            <w:tcW w:w="7844" w:type="dxa"/>
            <w:gridSpan w:val="4"/>
            <w:vAlign w:val="center"/>
          </w:tcPr>
          <w:p w14:paraId="2425F65A">
            <w:pPr>
              <w:keepNext w:val="0"/>
              <w:keepLines w:val="0"/>
              <w:suppressLineNumbers w:val="0"/>
              <w:spacing w:before="0" w:beforeAutospacing="0" w:after="0" w:afterAutospacing="0" w:line="360" w:lineRule="auto"/>
              <w:ind w:left="0" w:right="0" w:firstLine="480" w:firstLineChars="200"/>
              <w:rPr>
                <w:rFonts w:hint="default" w:hAnsi="Times New Roman"/>
                <w:sz w:val="24"/>
                <w:szCs w:val="24"/>
              </w:rPr>
            </w:pPr>
            <w:r>
              <w:rPr>
                <w:rFonts w:hint="eastAsia" w:hAnsi="宋体"/>
                <w:sz w:val="24"/>
                <w:szCs w:val="24"/>
              </w:rPr>
              <w:t>①</w:t>
            </w:r>
            <w:r>
              <w:rPr>
                <w:rFonts w:hint="default" w:hAnsi="宋体"/>
                <w:sz w:val="24"/>
                <w:szCs w:val="24"/>
              </w:rPr>
              <w:t>危险废物暂存间设置导流沟、集液池；</w:t>
            </w:r>
            <w:r>
              <w:rPr>
                <w:rFonts w:hint="eastAsia" w:hAnsi="宋体"/>
                <w:sz w:val="24"/>
                <w:szCs w:val="24"/>
              </w:rPr>
              <w:t>②</w:t>
            </w:r>
            <w:r>
              <w:rPr>
                <w:rFonts w:hint="default" w:hAnsi="宋体"/>
                <w:sz w:val="24"/>
                <w:szCs w:val="24"/>
              </w:rPr>
              <w:t>编制突发环境事件应急预案</w:t>
            </w:r>
          </w:p>
        </w:tc>
      </w:tr>
      <w:tr w14:paraId="7425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3F8C1F1E">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bCs/>
                <w:sz w:val="24"/>
                <w:szCs w:val="24"/>
              </w:rPr>
              <w:t>其他环境管理要求</w:t>
            </w:r>
          </w:p>
        </w:tc>
        <w:tc>
          <w:tcPr>
            <w:tcW w:w="7844" w:type="dxa"/>
            <w:gridSpan w:val="4"/>
          </w:tcPr>
          <w:p w14:paraId="756BCAB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项目需遵守下列要求：</w:t>
            </w:r>
          </w:p>
          <w:p w14:paraId="1DD7B6E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rPr>
              <w:t>1</w:t>
            </w:r>
            <w:r>
              <w:rPr>
                <w:rFonts w:hint="default" w:ascii="Times New Roman" w:hAnsi="Times New Roman" w:eastAsia="宋体" w:cs="Times New Roman"/>
                <w:sz w:val="24"/>
                <w:szCs w:val="24"/>
              </w:rPr>
              <w:t>）企业应强化对环保设施运行监督、管理的职能，建立全厂完善的环保设施运行、维护、维修等技术档案，以及加强对环保设施操作人员的技术培训，确保环保设施处于正常运行情况，污染物排放连续达标。</w:t>
            </w:r>
          </w:p>
          <w:p w14:paraId="26F8A6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rPr>
              <w:t>2</w:t>
            </w:r>
            <w:r>
              <w:rPr>
                <w:rFonts w:hint="default" w:ascii="Times New Roman" w:hAnsi="Times New Roman" w:eastAsia="宋体" w:cs="Times New Roman"/>
                <w:sz w:val="24"/>
                <w:szCs w:val="24"/>
              </w:rPr>
              <w:t>）企业应按照《排污单位自行监测技术指南</w:t>
            </w:r>
            <w:r>
              <w:rPr>
                <w:rFonts w:hint="eastAsia" w:ascii="Times New Roman" w:hAnsi="Times New Roman" w:eastAsia="宋体" w:cs="Times New Roman"/>
                <w:sz w:val="24"/>
                <w:szCs w:val="24"/>
              </w:rPr>
              <w:t xml:space="preserve"> </w:t>
            </w:r>
            <w:r>
              <w:rPr>
                <w:rFonts w:hint="default" w:ascii="Times New Roman" w:hAnsi="Times New Roman" w:eastAsia="宋体" w:cs="Times New Roman"/>
                <w:sz w:val="24"/>
                <w:szCs w:val="24"/>
              </w:rPr>
              <w:t>总则》（H</w:t>
            </w:r>
            <w:r>
              <w:rPr>
                <w:rFonts w:hint="eastAsia" w:ascii="Times New Roman" w:hAnsi="Times New Roman" w:eastAsia="宋体" w:cs="Times New Roman"/>
                <w:sz w:val="24"/>
                <w:szCs w:val="24"/>
              </w:rPr>
              <w:t>J</w:t>
            </w:r>
            <w:r>
              <w:rPr>
                <w:rFonts w:hint="default" w:ascii="Times New Roman" w:hAnsi="Times New Roman" w:eastAsia="宋体" w:cs="Times New Roman"/>
                <w:sz w:val="24"/>
                <w:szCs w:val="24"/>
              </w:rPr>
              <w:t>819-2017）中的要求落实运营期自行监测计划，主动公开项目环评文件和验收报告，接受社会监督。</w:t>
            </w:r>
          </w:p>
          <w:p w14:paraId="6117EFA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p>
          <w:p w14:paraId="699FFCF7">
            <w:pPr>
              <w:keepNext w:val="0"/>
              <w:keepLines w:val="0"/>
              <w:suppressLineNumbers w:val="0"/>
              <w:spacing w:before="0" w:beforeAutospacing="0" w:after="0" w:afterAutospacing="0" w:line="360" w:lineRule="auto"/>
              <w:ind w:left="0" w:right="0" w:firstLine="420" w:firstLineChars="200"/>
              <w:rPr>
                <w:rFonts w:hint="default"/>
              </w:rPr>
            </w:pPr>
          </w:p>
        </w:tc>
      </w:tr>
    </w:tbl>
    <w:p w14:paraId="0A8A1915">
      <w:pPr>
        <w:widowControl/>
        <w:spacing w:before="100" w:beforeAutospacing="1" w:after="100" w:afterAutospacing="1" w:line="240" w:lineRule="atLeast"/>
        <w:jc w:val="center"/>
        <w:outlineLvl w:val="0"/>
        <w:rPr>
          <w:rFonts w:ascii="Times New Roman" w:hAnsi="Times New Roman" w:eastAsia="黑体" w:cs="Times New Roman"/>
          <w:snapToGrid w:val="0"/>
          <w:kern w:val="0"/>
          <w:sz w:val="30"/>
          <w:szCs w:val="30"/>
        </w:rPr>
        <w:sectPr>
          <w:pgSz w:w="11906" w:h="16838"/>
          <w:pgMar w:top="1440" w:right="1800" w:bottom="1440" w:left="1800" w:header="851" w:footer="992" w:gutter="0"/>
          <w:cols w:space="425" w:num="1"/>
          <w:docGrid w:type="lines" w:linePitch="312" w:charSpace="0"/>
        </w:sectPr>
      </w:pPr>
    </w:p>
    <w:p w14:paraId="4C3994DF">
      <w:pPr>
        <w:widowControl/>
        <w:spacing w:before="100" w:beforeAutospacing="1" w:after="100" w:afterAutospacing="1"/>
        <w:jc w:val="center"/>
        <w:outlineLvl w:val="0"/>
        <w:rPr>
          <w:rFonts w:ascii="Times New Roman" w:hAnsi="Times New Roman" w:eastAsia="黑体" w:cs="Times New Roman"/>
          <w:snapToGrid w:val="0"/>
          <w:kern w:val="0"/>
          <w:sz w:val="30"/>
          <w:szCs w:val="30"/>
        </w:rPr>
      </w:pPr>
      <w:r>
        <w:rPr>
          <w:rFonts w:hint="eastAsia" w:ascii="Times New Roman" w:hAnsi="Times New Roman" w:eastAsia="黑体" w:cs="Times New Roman"/>
          <w:snapToGrid w:val="0"/>
          <w:kern w:val="0"/>
          <w:sz w:val="30"/>
          <w:szCs w:val="30"/>
        </w:rPr>
        <w:t>六、结论</w:t>
      </w: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14:paraId="27125F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63" w:hRule="atLeast"/>
        </w:trPr>
        <w:tc>
          <w:tcPr>
            <w:tcW w:w="8522" w:type="dxa"/>
          </w:tcPr>
          <w:p w14:paraId="2AD780D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评价报告认为，项目的建设符合国家及地方产业政策，选址符合用地规划，布局基本合理；项目污染防治措施可行，在建设单位在严格落实环境保护“三同时制度”并加强污染治理设施运行管理的前提下，各项污染物可做到达标排放。因此，从环境</w:t>
            </w:r>
            <w:r>
              <w:rPr>
                <w:rFonts w:hint="eastAsia" w:ascii="Times New Roman" w:hAnsi="Times New Roman" w:cs="Times New Roman"/>
                <w:sz w:val="24"/>
              </w:rPr>
              <w:t>影响</w:t>
            </w:r>
            <w:r>
              <w:rPr>
                <w:rFonts w:hint="default" w:ascii="Times New Roman" w:hAnsi="Times New Roman" w:cs="Times New Roman"/>
                <w:sz w:val="24"/>
              </w:rPr>
              <w:t>的角度</w:t>
            </w:r>
            <w:r>
              <w:rPr>
                <w:rFonts w:hint="eastAsia" w:ascii="Times New Roman" w:hAnsi="Times New Roman" w:cs="Times New Roman"/>
                <w:sz w:val="24"/>
              </w:rPr>
              <w:t>分析</w:t>
            </w:r>
            <w:r>
              <w:rPr>
                <w:rFonts w:hint="default" w:ascii="Times New Roman" w:hAnsi="Times New Roman" w:cs="Times New Roman"/>
                <w:sz w:val="24"/>
              </w:rPr>
              <w:t>，项目的建设是可行的。</w:t>
            </w:r>
          </w:p>
        </w:tc>
      </w:tr>
    </w:tbl>
    <w:p w14:paraId="0CA6C326">
      <w:pPr>
        <w:widowControl/>
        <w:jc w:val="left"/>
        <w:rPr>
          <w:rFonts w:ascii="Times New Roman" w:hAnsi="Times New Roman" w:cs="宋体"/>
          <w:sz w:val="24"/>
        </w:rPr>
        <w:sectPr>
          <w:pgSz w:w="11906" w:h="16838"/>
          <w:pgMar w:top="1440" w:right="1800" w:bottom="1440" w:left="1800" w:header="851" w:footer="992" w:gutter="0"/>
          <w:cols w:space="425" w:num="1"/>
          <w:docGrid w:type="lines" w:linePitch="312" w:charSpace="0"/>
        </w:sectPr>
      </w:pPr>
    </w:p>
    <w:p w14:paraId="31CA95D4">
      <w:pPr>
        <w:widowControl/>
        <w:spacing w:after="100" w:afterAutospacing="1" w:line="360" w:lineRule="auto"/>
        <w:jc w:val="center"/>
        <w:outlineLvl w:val="0"/>
        <w:rPr>
          <w:rFonts w:ascii="Times New Roman" w:hAnsi="Times New Roman" w:cs="Times New Roman"/>
          <w:snapToGrid w:val="0"/>
          <w:kern w:val="0"/>
          <w:sz w:val="38"/>
          <w:szCs w:val="38"/>
        </w:rPr>
      </w:pPr>
      <w:r>
        <w:rPr>
          <w:rFonts w:hint="eastAsia" w:ascii="Times New Roman" w:hAnsi="Times New Roman" w:cs="Times New Roman"/>
          <w:snapToGrid w:val="0"/>
          <w:kern w:val="0"/>
          <w:sz w:val="38"/>
          <w:szCs w:val="38"/>
        </w:rPr>
        <w:t>建设项目污染物排放量汇总表</w:t>
      </w:r>
    </w:p>
    <w:tbl>
      <w:tblPr>
        <w:tblStyle w:val="17"/>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134"/>
        <w:gridCol w:w="992"/>
        <w:gridCol w:w="1559"/>
        <w:gridCol w:w="1134"/>
        <w:gridCol w:w="1276"/>
        <w:gridCol w:w="1701"/>
        <w:gridCol w:w="992"/>
        <w:gridCol w:w="1418"/>
        <w:gridCol w:w="1642"/>
      </w:tblGrid>
      <w:tr w14:paraId="15371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tcBorders>
              <w:tl2br w:val="single" w:color="auto" w:sz="4" w:space="0"/>
            </w:tcBorders>
            <w:tcMar>
              <w:left w:w="28" w:type="dxa"/>
              <w:right w:w="28" w:type="dxa"/>
            </w:tcMar>
            <w:vAlign w:val="center"/>
          </w:tcPr>
          <w:p w14:paraId="40E53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right"/>
              <w:textAlignment w:val="auto"/>
              <w:rPr>
                <w:rFonts w:hint="default" w:ascii="Times New Roman" w:hAnsi="Times New Roman" w:eastAsia="黑体" w:cs="宋体"/>
                <w:snapToGrid w:val="0"/>
                <w:spacing w:val="-6"/>
                <w:kern w:val="21"/>
                <w:szCs w:val="21"/>
              </w:rPr>
            </w:pPr>
            <w:r>
              <w:rPr>
                <w:rFonts w:hint="eastAsia" w:ascii="Times New Roman" w:hAnsi="Times New Roman" w:eastAsia="黑体" w:cs="宋体"/>
                <w:snapToGrid w:val="0"/>
                <w:spacing w:val="-6"/>
                <w:kern w:val="21"/>
                <w:szCs w:val="21"/>
              </w:rPr>
              <w:t>项目</w:t>
            </w:r>
          </w:p>
          <w:p w14:paraId="0A999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left"/>
              <w:textAlignment w:val="auto"/>
              <w:rPr>
                <w:rFonts w:hint="default" w:ascii="Times New Roman" w:hAnsi="Times New Roman" w:eastAsia="黑体" w:cs="宋体"/>
                <w:snapToGrid w:val="0"/>
                <w:spacing w:val="-6"/>
                <w:kern w:val="21"/>
                <w:szCs w:val="21"/>
              </w:rPr>
            </w:pPr>
            <w:r>
              <w:rPr>
                <w:rFonts w:hint="eastAsia" w:ascii="Times New Roman" w:hAnsi="Times New Roman" w:eastAsia="黑体" w:cs="宋体"/>
                <w:snapToGrid w:val="0"/>
                <w:spacing w:val="-6"/>
                <w:kern w:val="21"/>
                <w:szCs w:val="21"/>
              </w:rPr>
              <w:t>分类</w:t>
            </w:r>
          </w:p>
        </w:tc>
        <w:tc>
          <w:tcPr>
            <w:tcW w:w="2126" w:type="dxa"/>
            <w:gridSpan w:val="2"/>
            <w:tcMar>
              <w:left w:w="28" w:type="dxa"/>
              <w:right w:w="28" w:type="dxa"/>
            </w:tcMar>
            <w:vAlign w:val="center"/>
          </w:tcPr>
          <w:p w14:paraId="4CADC0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宋体"/>
                <w:snapToGrid w:val="0"/>
                <w:spacing w:val="-6"/>
                <w:kern w:val="21"/>
                <w:szCs w:val="21"/>
              </w:rPr>
            </w:pPr>
            <w:r>
              <w:rPr>
                <w:rFonts w:hint="eastAsia" w:ascii="Times New Roman" w:hAnsi="Times New Roman" w:eastAsia="黑体" w:cs="宋体"/>
                <w:snapToGrid w:val="0"/>
                <w:spacing w:val="-6"/>
                <w:kern w:val="21"/>
                <w:szCs w:val="21"/>
              </w:rPr>
              <w:t>污染物名称</w:t>
            </w:r>
          </w:p>
        </w:tc>
        <w:tc>
          <w:tcPr>
            <w:tcW w:w="1559" w:type="dxa"/>
            <w:tcMar>
              <w:left w:w="28" w:type="dxa"/>
              <w:right w:w="28" w:type="dxa"/>
            </w:tcMar>
            <w:vAlign w:val="center"/>
          </w:tcPr>
          <w:p w14:paraId="205119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6"/>
                <w:kern w:val="21"/>
                <w:szCs w:val="21"/>
              </w:rPr>
            </w:pPr>
            <w:r>
              <w:rPr>
                <w:rFonts w:hint="default" w:ascii="Times New Roman" w:hAnsi="黑体" w:eastAsia="黑体" w:cs="Times New Roman"/>
                <w:snapToGrid w:val="0"/>
                <w:spacing w:val="-6"/>
                <w:kern w:val="21"/>
                <w:szCs w:val="21"/>
              </w:rPr>
              <w:t>现有工程</w:t>
            </w:r>
          </w:p>
          <w:p w14:paraId="6F27BB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6"/>
                <w:kern w:val="21"/>
                <w:szCs w:val="21"/>
              </w:rPr>
            </w:pPr>
            <w:r>
              <w:rPr>
                <w:rFonts w:hint="default" w:ascii="Times New Roman" w:hAnsi="黑体" w:eastAsia="黑体" w:cs="Times New Roman"/>
                <w:snapToGrid w:val="0"/>
                <w:spacing w:val="-6"/>
                <w:kern w:val="21"/>
                <w:szCs w:val="21"/>
              </w:rPr>
              <w:t>排放量（固体废物产生量）</w:t>
            </w: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1 \* GB3 \* MERGEFORMAT </w:instrText>
            </w:r>
            <w:r>
              <w:rPr>
                <w:rFonts w:hint="default" w:ascii="Times New Roman" w:hAnsi="Times New Roman" w:eastAsia="黑体" w:cs="Times New Roman"/>
                <w:snapToGrid w:val="0"/>
                <w:spacing w:val="-6"/>
                <w:kern w:val="21"/>
                <w:szCs w:val="21"/>
              </w:rPr>
              <w:fldChar w:fldCharType="separate"/>
            </w:r>
            <w:r>
              <w:rPr>
                <w:rFonts w:hint="default" w:ascii="黑体" w:hAnsi="黑体" w:eastAsia="黑体" w:cs="Times New Roman"/>
                <w:szCs w:val="21"/>
              </w:rPr>
              <w:t>①</w:t>
            </w:r>
            <w:r>
              <w:rPr>
                <w:rFonts w:hint="default" w:ascii="Times New Roman" w:hAnsi="Times New Roman" w:eastAsia="黑体" w:cs="Times New Roman"/>
                <w:snapToGrid w:val="0"/>
                <w:spacing w:val="-6"/>
                <w:kern w:val="21"/>
                <w:szCs w:val="21"/>
              </w:rPr>
              <w:fldChar w:fldCharType="end"/>
            </w:r>
          </w:p>
        </w:tc>
        <w:tc>
          <w:tcPr>
            <w:tcW w:w="1134" w:type="dxa"/>
            <w:tcMar>
              <w:left w:w="28" w:type="dxa"/>
              <w:right w:w="28" w:type="dxa"/>
            </w:tcMar>
            <w:vAlign w:val="center"/>
          </w:tcPr>
          <w:p w14:paraId="22E8AF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6"/>
                <w:kern w:val="21"/>
                <w:szCs w:val="21"/>
              </w:rPr>
            </w:pPr>
            <w:r>
              <w:rPr>
                <w:rFonts w:hint="default" w:ascii="Times New Roman" w:hAnsi="黑体" w:eastAsia="黑体" w:cs="Times New Roman"/>
                <w:snapToGrid w:val="0"/>
                <w:spacing w:val="-6"/>
                <w:kern w:val="21"/>
                <w:szCs w:val="21"/>
              </w:rPr>
              <w:t>现有工程</w:t>
            </w:r>
          </w:p>
          <w:p w14:paraId="5F4D4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6"/>
                <w:kern w:val="21"/>
                <w:szCs w:val="21"/>
              </w:rPr>
            </w:pPr>
            <w:r>
              <w:rPr>
                <w:rFonts w:hint="default" w:ascii="Times New Roman" w:hAnsi="黑体" w:eastAsia="黑体" w:cs="Times New Roman"/>
                <w:snapToGrid w:val="0"/>
                <w:spacing w:val="-6"/>
                <w:kern w:val="21"/>
                <w:szCs w:val="21"/>
              </w:rPr>
              <w:t>许可排放量</w:t>
            </w: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2 \* GB3 \* MERGEFORMAT </w:instrText>
            </w:r>
            <w:r>
              <w:rPr>
                <w:rFonts w:hint="default" w:ascii="Times New Roman" w:hAnsi="Times New Roman" w:eastAsia="黑体" w:cs="Times New Roman"/>
                <w:snapToGrid w:val="0"/>
                <w:spacing w:val="-6"/>
                <w:kern w:val="21"/>
                <w:szCs w:val="21"/>
              </w:rPr>
              <w:fldChar w:fldCharType="separate"/>
            </w:r>
            <w:r>
              <w:rPr>
                <w:rFonts w:hint="default" w:ascii="黑体" w:hAnsi="黑体" w:eastAsia="黑体" w:cs="Times New Roman"/>
                <w:snapToGrid w:val="0"/>
                <w:spacing w:val="-6"/>
                <w:kern w:val="21"/>
                <w:szCs w:val="21"/>
              </w:rPr>
              <w:t>②</w:t>
            </w:r>
            <w:r>
              <w:rPr>
                <w:rFonts w:hint="default" w:ascii="Times New Roman" w:hAnsi="Times New Roman" w:eastAsia="黑体" w:cs="Times New Roman"/>
                <w:snapToGrid w:val="0"/>
                <w:spacing w:val="-6"/>
                <w:kern w:val="21"/>
                <w:szCs w:val="21"/>
              </w:rPr>
              <w:fldChar w:fldCharType="end"/>
            </w:r>
          </w:p>
        </w:tc>
        <w:tc>
          <w:tcPr>
            <w:tcW w:w="1276" w:type="dxa"/>
            <w:tcMar>
              <w:left w:w="28" w:type="dxa"/>
              <w:right w:w="28" w:type="dxa"/>
            </w:tcMar>
            <w:vAlign w:val="center"/>
          </w:tcPr>
          <w:p w14:paraId="50FEE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6"/>
                <w:kern w:val="21"/>
                <w:szCs w:val="21"/>
              </w:rPr>
            </w:pPr>
            <w:r>
              <w:rPr>
                <w:rFonts w:hint="default" w:ascii="Times New Roman" w:hAnsi="黑体" w:eastAsia="黑体" w:cs="Times New Roman"/>
                <w:snapToGrid w:val="0"/>
                <w:spacing w:val="-6"/>
                <w:kern w:val="21"/>
                <w:szCs w:val="21"/>
              </w:rPr>
              <w:t>在建工程</w:t>
            </w:r>
          </w:p>
          <w:p w14:paraId="6690D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6"/>
                <w:kern w:val="21"/>
                <w:szCs w:val="21"/>
              </w:rPr>
            </w:pPr>
            <w:r>
              <w:rPr>
                <w:rFonts w:hint="default" w:ascii="Times New Roman" w:hAnsi="黑体" w:eastAsia="黑体" w:cs="Times New Roman"/>
                <w:snapToGrid w:val="0"/>
                <w:spacing w:val="-6"/>
                <w:kern w:val="21"/>
                <w:szCs w:val="21"/>
              </w:rPr>
              <w:t>排放量（固体废物产生量）</w:t>
            </w: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3 \* GB3 \* MERGEFORMAT </w:instrText>
            </w:r>
            <w:r>
              <w:rPr>
                <w:rFonts w:hint="default" w:ascii="Times New Roman" w:hAnsi="Times New Roman" w:eastAsia="黑体" w:cs="Times New Roman"/>
                <w:snapToGrid w:val="0"/>
                <w:spacing w:val="-6"/>
                <w:kern w:val="21"/>
                <w:szCs w:val="21"/>
              </w:rPr>
              <w:fldChar w:fldCharType="separate"/>
            </w:r>
            <w:r>
              <w:rPr>
                <w:rFonts w:hint="default" w:ascii="黑体" w:hAnsi="黑体" w:eastAsia="黑体" w:cs="Times New Roman"/>
                <w:szCs w:val="21"/>
              </w:rPr>
              <w:t>③</w:t>
            </w:r>
            <w:r>
              <w:rPr>
                <w:rFonts w:hint="default" w:ascii="Times New Roman" w:hAnsi="Times New Roman" w:eastAsia="黑体" w:cs="Times New Roman"/>
                <w:snapToGrid w:val="0"/>
                <w:spacing w:val="-6"/>
                <w:kern w:val="21"/>
                <w:szCs w:val="21"/>
              </w:rPr>
              <w:fldChar w:fldCharType="end"/>
            </w:r>
          </w:p>
        </w:tc>
        <w:tc>
          <w:tcPr>
            <w:tcW w:w="1701" w:type="dxa"/>
            <w:tcMar>
              <w:left w:w="28" w:type="dxa"/>
              <w:right w:w="28" w:type="dxa"/>
            </w:tcMar>
            <w:vAlign w:val="center"/>
          </w:tcPr>
          <w:p w14:paraId="15D9A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6"/>
                <w:kern w:val="21"/>
                <w:szCs w:val="21"/>
              </w:rPr>
            </w:pPr>
            <w:r>
              <w:rPr>
                <w:rFonts w:hint="default" w:ascii="Times New Roman" w:hAnsi="黑体" w:eastAsia="黑体" w:cs="Times New Roman"/>
                <w:snapToGrid w:val="0"/>
                <w:spacing w:val="-6"/>
                <w:kern w:val="21"/>
                <w:szCs w:val="21"/>
              </w:rPr>
              <w:t>本项目</w:t>
            </w:r>
          </w:p>
          <w:p w14:paraId="159EB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6"/>
                <w:kern w:val="21"/>
                <w:szCs w:val="21"/>
              </w:rPr>
            </w:pPr>
            <w:r>
              <w:rPr>
                <w:rFonts w:hint="default" w:ascii="Times New Roman" w:hAnsi="黑体" w:eastAsia="黑体" w:cs="Times New Roman"/>
                <w:snapToGrid w:val="0"/>
                <w:spacing w:val="-6"/>
                <w:kern w:val="21"/>
                <w:szCs w:val="21"/>
              </w:rPr>
              <w:t>排放量（固体废物产生量）</w:t>
            </w: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4 \* GB3 \* MERGEFORMAT </w:instrText>
            </w:r>
            <w:r>
              <w:rPr>
                <w:rFonts w:hint="default" w:ascii="Times New Roman" w:hAnsi="Times New Roman" w:eastAsia="黑体" w:cs="Times New Roman"/>
                <w:snapToGrid w:val="0"/>
                <w:spacing w:val="-6"/>
                <w:kern w:val="21"/>
                <w:szCs w:val="21"/>
              </w:rPr>
              <w:fldChar w:fldCharType="separate"/>
            </w:r>
            <w:r>
              <w:rPr>
                <w:rFonts w:hint="default" w:ascii="黑体" w:hAnsi="黑体" w:eastAsia="黑体" w:cs="Times New Roman"/>
                <w:szCs w:val="21"/>
              </w:rPr>
              <w:t>④</w:t>
            </w:r>
            <w:r>
              <w:rPr>
                <w:rFonts w:hint="default" w:ascii="Times New Roman" w:hAnsi="Times New Roman" w:eastAsia="黑体" w:cs="Times New Roman"/>
                <w:snapToGrid w:val="0"/>
                <w:spacing w:val="-6"/>
                <w:kern w:val="21"/>
                <w:szCs w:val="21"/>
              </w:rPr>
              <w:fldChar w:fldCharType="end"/>
            </w:r>
          </w:p>
        </w:tc>
        <w:tc>
          <w:tcPr>
            <w:tcW w:w="992" w:type="dxa"/>
            <w:tcMar>
              <w:left w:w="28" w:type="dxa"/>
              <w:right w:w="28" w:type="dxa"/>
            </w:tcMar>
            <w:vAlign w:val="center"/>
          </w:tcPr>
          <w:p w14:paraId="66ADE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16"/>
                <w:kern w:val="21"/>
                <w:szCs w:val="21"/>
              </w:rPr>
            </w:pPr>
            <w:r>
              <w:rPr>
                <w:rFonts w:hint="default" w:ascii="Times New Roman" w:hAnsi="黑体" w:eastAsia="黑体" w:cs="Times New Roman"/>
                <w:snapToGrid w:val="0"/>
                <w:spacing w:val="-16"/>
                <w:kern w:val="21"/>
                <w:szCs w:val="21"/>
              </w:rPr>
              <w:t>以新带老削减量（新建项目不填）</w:t>
            </w:r>
            <w:r>
              <w:rPr>
                <w:rFonts w:hint="default" w:ascii="Times New Roman" w:hAnsi="Times New Roman" w:eastAsia="黑体" w:cs="Times New Roman"/>
                <w:snapToGrid w:val="0"/>
                <w:spacing w:val="-16"/>
                <w:kern w:val="21"/>
                <w:szCs w:val="21"/>
              </w:rPr>
              <w:fldChar w:fldCharType="begin"/>
            </w:r>
            <w:r>
              <w:rPr>
                <w:rFonts w:hint="default" w:ascii="Times New Roman" w:hAnsi="Times New Roman" w:eastAsia="黑体" w:cs="Times New Roman"/>
                <w:snapToGrid w:val="0"/>
                <w:spacing w:val="-16"/>
                <w:kern w:val="21"/>
                <w:szCs w:val="21"/>
              </w:rPr>
              <w:instrText xml:space="preserve"> = 5 \* GB3 \* MERGEFORMAT </w:instrText>
            </w:r>
            <w:r>
              <w:rPr>
                <w:rFonts w:hint="default" w:ascii="Times New Roman" w:hAnsi="Times New Roman" w:eastAsia="黑体" w:cs="Times New Roman"/>
                <w:snapToGrid w:val="0"/>
                <w:spacing w:val="-16"/>
                <w:kern w:val="21"/>
                <w:szCs w:val="21"/>
              </w:rPr>
              <w:fldChar w:fldCharType="separate"/>
            </w:r>
            <w:r>
              <w:rPr>
                <w:rFonts w:hint="default" w:ascii="黑体" w:hAnsi="黑体" w:eastAsia="黑体" w:cs="Times New Roman"/>
                <w:szCs w:val="21"/>
              </w:rPr>
              <w:t>⑤</w:t>
            </w:r>
            <w:r>
              <w:rPr>
                <w:rFonts w:hint="default" w:ascii="Times New Roman" w:hAnsi="Times New Roman" w:eastAsia="黑体" w:cs="Times New Roman"/>
                <w:snapToGrid w:val="0"/>
                <w:spacing w:val="-16"/>
                <w:kern w:val="21"/>
                <w:szCs w:val="21"/>
              </w:rPr>
              <w:fldChar w:fldCharType="end"/>
            </w:r>
          </w:p>
        </w:tc>
        <w:tc>
          <w:tcPr>
            <w:tcW w:w="1418" w:type="dxa"/>
            <w:tcMar>
              <w:left w:w="28" w:type="dxa"/>
              <w:right w:w="28" w:type="dxa"/>
            </w:tcMar>
            <w:vAlign w:val="center"/>
          </w:tcPr>
          <w:p w14:paraId="4CC23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16"/>
                <w:kern w:val="21"/>
                <w:szCs w:val="21"/>
              </w:rPr>
            </w:pPr>
            <w:r>
              <w:rPr>
                <w:rFonts w:hint="default" w:ascii="Times New Roman" w:hAnsi="黑体" w:eastAsia="黑体" w:cs="Times New Roman"/>
                <w:snapToGrid w:val="0"/>
                <w:spacing w:val="-16"/>
                <w:kern w:val="21"/>
                <w:szCs w:val="21"/>
              </w:rPr>
              <w:t>本项目建成后</w:t>
            </w:r>
          </w:p>
          <w:p w14:paraId="761E3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16"/>
                <w:kern w:val="21"/>
                <w:szCs w:val="21"/>
              </w:rPr>
            </w:pPr>
            <w:r>
              <w:rPr>
                <w:rFonts w:hint="default" w:ascii="Times New Roman" w:hAnsi="黑体" w:eastAsia="黑体" w:cs="Times New Roman"/>
                <w:snapToGrid w:val="0"/>
                <w:spacing w:val="-16"/>
                <w:kern w:val="21"/>
                <w:szCs w:val="21"/>
              </w:rPr>
              <w:t>全厂排放量（固体废物产生量）</w:t>
            </w:r>
            <w:r>
              <w:rPr>
                <w:rFonts w:hint="default" w:ascii="Times New Roman" w:hAnsi="Times New Roman" w:eastAsia="黑体" w:cs="Times New Roman"/>
                <w:snapToGrid w:val="0"/>
                <w:spacing w:val="-16"/>
                <w:kern w:val="21"/>
                <w:szCs w:val="21"/>
              </w:rPr>
              <w:fldChar w:fldCharType="begin"/>
            </w:r>
            <w:r>
              <w:rPr>
                <w:rFonts w:hint="default" w:ascii="Times New Roman" w:hAnsi="Times New Roman" w:eastAsia="黑体" w:cs="Times New Roman"/>
                <w:snapToGrid w:val="0"/>
                <w:spacing w:val="-16"/>
                <w:kern w:val="21"/>
                <w:szCs w:val="21"/>
              </w:rPr>
              <w:instrText xml:space="preserve"> = 6 \* GB3 \* MERGEFORMAT </w:instrText>
            </w:r>
            <w:r>
              <w:rPr>
                <w:rFonts w:hint="default" w:ascii="Times New Roman" w:hAnsi="Times New Roman" w:eastAsia="黑体" w:cs="Times New Roman"/>
                <w:snapToGrid w:val="0"/>
                <w:spacing w:val="-16"/>
                <w:kern w:val="21"/>
                <w:szCs w:val="21"/>
              </w:rPr>
              <w:fldChar w:fldCharType="separate"/>
            </w:r>
            <w:r>
              <w:rPr>
                <w:rFonts w:hint="default" w:ascii="黑体" w:hAnsi="黑体" w:eastAsia="黑体" w:cs="Times New Roman"/>
                <w:szCs w:val="21"/>
              </w:rPr>
              <w:t>⑥</w:t>
            </w:r>
            <w:r>
              <w:rPr>
                <w:rFonts w:hint="default" w:ascii="Times New Roman" w:hAnsi="Times New Roman" w:eastAsia="黑体" w:cs="Times New Roman"/>
                <w:snapToGrid w:val="0"/>
                <w:spacing w:val="-16"/>
                <w:kern w:val="21"/>
                <w:szCs w:val="21"/>
              </w:rPr>
              <w:fldChar w:fldCharType="end"/>
            </w:r>
          </w:p>
        </w:tc>
        <w:tc>
          <w:tcPr>
            <w:tcW w:w="1642" w:type="dxa"/>
            <w:tcMar>
              <w:left w:w="28" w:type="dxa"/>
              <w:right w:w="28" w:type="dxa"/>
            </w:tcMar>
            <w:vAlign w:val="center"/>
          </w:tcPr>
          <w:p w14:paraId="0C7AE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黑体" w:cs="Times New Roman"/>
                <w:snapToGrid w:val="0"/>
                <w:spacing w:val="-6"/>
                <w:kern w:val="21"/>
                <w:szCs w:val="21"/>
              </w:rPr>
            </w:pPr>
            <w:r>
              <w:rPr>
                <w:rFonts w:hint="default" w:ascii="Times New Roman" w:hAnsi="黑体" w:eastAsia="黑体" w:cs="Times New Roman"/>
                <w:snapToGrid w:val="0"/>
                <w:spacing w:val="-6"/>
                <w:kern w:val="21"/>
                <w:szCs w:val="21"/>
              </w:rPr>
              <w:t>变化量</w:t>
            </w: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7 \* GB3 \* MERGEFORMAT </w:instrText>
            </w:r>
            <w:r>
              <w:rPr>
                <w:rFonts w:hint="default" w:ascii="Times New Roman" w:hAnsi="Times New Roman" w:eastAsia="黑体" w:cs="Times New Roman"/>
                <w:snapToGrid w:val="0"/>
                <w:spacing w:val="-6"/>
                <w:kern w:val="21"/>
                <w:szCs w:val="21"/>
              </w:rPr>
              <w:fldChar w:fldCharType="separate"/>
            </w:r>
            <w:r>
              <w:rPr>
                <w:rFonts w:hint="default" w:ascii="黑体" w:hAnsi="黑体" w:eastAsia="黑体" w:cs="Times New Roman"/>
                <w:szCs w:val="21"/>
              </w:rPr>
              <w:t>⑦</w:t>
            </w:r>
            <w:r>
              <w:rPr>
                <w:rFonts w:hint="default" w:ascii="Times New Roman" w:hAnsi="Times New Roman" w:eastAsia="黑体" w:cs="Times New Roman"/>
                <w:snapToGrid w:val="0"/>
                <w:spacing w:val="-6"/>
                <w:kern w:val="21"/>
                <w:szCs w:val="21"/>
              </w:rPr>
              <w:fldChar w:fldCharType="end"/>
            </w:r>
          </w:p>
        </w:tc>
      </w:tr>
      <w:tr w14:paraId="785E1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06DEBA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r>
              <w:rPr>
                <w:rFonts w:hint="eastAsia" w:ascii="Times New Roman" w:hAnsi="Times New Roman" w:eastAsia="宋体" w:cs="宋体"/>
                <w:snapToGrid w:val="0"/>
                <w:kern w:val="21"/>
                <w:szCs w:val="21"/>
              </w:rPr>
              <w:t>废气</w:t>
            </w:r>
          </w:p>
        </w:tc>
        <w:tc>
          <w:tcPr>
            <w:tcW w:w="1134" w:type="dxa"/>
            <w:vMerge w:val="restart"/>
            <w:vAlign w:val="center"/>
          </w:tcPr>
          <w:p w14:paraId="015A9B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非甲烷总烃</w:t>
            </w:r>
          </w:p>
        </w:tc>
        <w:tc>
          <w:tcPr>
            <w:tcW w:w="992" w:type="dxa"/>
            <w:vAlign w:val="center"/>
          </w:tcPr>
          <w:p w14:paraId="72E64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有组织</w:t>
            </w:r>
          </w:p>
        </w:tc>
        <w:tc>
          <w:tcPr>
            <w:tcW w:w="1559" w:type="dxa"/>
            <w:vAlign w:val="center"/>
          </w:tcPr>
          <w:p w14:paraId="783419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61816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276" w:type="dxa"/>
            <w:vAlign w:val="center"/>
          </w:tcPr>
          <w:p w14:paraId="4C636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63C7F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992" w:type="dxa"/>
            <w:vAlign w:val="center"/>
          </w:tcPr>
          <w:p w14:paraId="4142BF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418" w:type="dxa"/>
            <w:vAlign w:val="center"/>
          </w:tcPr>
          <w:p w14:paraId="3FCEDB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642" w:type="dxa"/>
            <w:vAlign w:val="center"/>
          </w:tcPr>
          <w:p w14:paraId="6BA1F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r>
      <w:tr w14:paraId="7345E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17F4AF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1134" w:type="dxa"/>
            <w:vMerge w:val="continue"/>
            <w:vAlign w:val="center"/>
          </w:tcPr>
          <w:p w14:paraId="44725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p>
        </w:tc>
        <w:tc>
          <w:tcPr>
            <w:tcW w:w="992" w:type="dxa"/>
            <w:vAlign w:val="center"/>
          </w:tcPr>
          <w:p w14:paraId="136C8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无组织</w:t>
            </w:r>
          </w:p>
        </w:tc>
        <w:tc>
          <w:tcPr>
            <w:tcW w:w="1559" w:type="dxa"/>
            <w:vAlign w:val="center"/>
          </w:tcPr>
          <w:p w14:paraId="120E1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058F0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276" w:type="dxa"/>
            <w:vAlign w:val="center"/>
          </w:tcPr>
          <w:p w14:paraId="66CD7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523C5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0.5</w:t>
            </w:r>
            <w:r>
              <w:rPr>
                <w:rFonts w:hint="eastAsia" w:ascii="Times New Roman" w:hAnsi="Times New Roman" w:eastAsia="宋体" w:cs="Times New Roman"/>
                <w:szCs w:val="21"/>
              </w:rPr>
              <w:t>t/a</w:t>
            </w:r>
          </w:p>
        </w:tc>
        <w:tc>
          <w:tcPr>
            <w:tcW w:w="992" w:type="dxa"/>
            <w:vAlign w:val="center"/>
          </w:tcPr>
          <w:p w14:paraId="4EAA7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418" w:type="dxa"/>
            <w:vAlign w:val="center"/>
          </w:tcPr>
          <w:p w14:paraId="05738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0.5</w:t>
            </w:r>
            <w:r>
              <w:rPr>
                <w:rFonts w:hint="eastAsia" w:ascii="Times New Roman" w:hAnsi="Times New Roman" w:eastAsia="宋体" w:cs="Times New Roman"/>
                <w:szCs w:val="21"/>
              </w:rPr>
              <w:t>t/a</w:t>
            </w:r>
          </w:p>
        </w:tc>
        <w:tc>
          <w:tcPr>
            <w:tcW w:w="1642" w:type="dxa"/>
            <w:vAlign w:val="center"/>
          </w:tcPr>
          <w:p w14:paraId="713EF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0.5</w:t>
            </w:r>
            <w:r>
              <w:rPr>
                <w:rFonts w:hint="eastAsia" w:ascii="Times New Roman" w:hAnsi="Times New Roman" w:eastAsia="宋体" w:cs="Times New Roman"/>
                <w:szCs w:val="21"/>
              </w:rPr>
              <w:t>t/a</w:t>
            </w:r>
          </w:p>
        </w:tc>
      </w:tr>
      <w:tr w14:paraId="03996A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2EC2A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1134" w:type="dxa"/>
            <w:vMerge w:val="restart"/>
            <w:vAlign w:val="center"/>
          </w:tcPr>
          <w:p w14:paraId="2DD26C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eastAsia" w:ascii="Times New Roman" w:hAnsi="Times New Roman" w:eastAsia="宋体" w:cs="Times New Roman"/>
                <w:snapToGrid w:val="0"/>
                <w:kern w:val="21"/>
                <w:szCs w:val="21"/>
                <w:lang w:val="en-US" w:eastAsia="zh-CN"/>
              </w:rPr>
            </w:pPr>
            <w:r>
              <w:rPr>
                <w:rFonts w:hint="eastAsia" w:ascii="Times New Roman" w:hAnsi="Times New Roman" w:eastAsia="宋体" w:cs="Times New Roman"/>
                <w:snapToGrid w:val="0"/>
                <w:kern w:val="21"/>
                <w:szCs w:val="21"/>
                <w:lang w:val="en-US" w:eastAsia="zh-CN"/>
              </w:rPr>
              <w:t>颗粒物</w:t>
            </w:r>
          </w:p>
        </w:tc>
        <w:tc>
          <w:tcPr>
            <w:tcW w:w="992" w:type="dxa"/>
            <w:vAlign w:val="center"/>
          </w:tcPr>
          <w:p w14:paraId="53B30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有组织</w:t>
            </w:r>
          </w:p>
        </w:tc>
        <w:tc>
          <w:tcPr>
            <w:tcW w:w="1559" w:type="dxa"/>
            <w:vAlign w:val="center"/>
          </w:tcPr>
          <w:p w14:paraId="2214CA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7976D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276" w:type="dxa"/>
            <w:vAlign w:val="center"/>
          </w:tcPr>
          <w:p w14:paraId="7F0D8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3AB25F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zCs w:val="21"/>
              </w:rPr>
            </w:pPr>
            <w:r>
              <w:rPr>
                <w:rFonts w:hint="default" w:ascii="Times New Roman" w:hAnsi="Times New Roman" w:eastAsia="宋体" w:cs="Times New Roman"/>
                <w:snapToGrid w:val="0"/>
                <w:kern w:val="21"/>
                <w:szCs w:val="21"/>
              </w:rPr>
              <w:t>/</w:t>
            </w:r>
          </w:p>
        </w:tc>
        <w:tc>
          <w:tcPr>
            <w:tcW w:w="992" w:type="dxa"/>
            <w:vAlign w:val="center"/>
          </w:tcPr>
          <w:p w14:paraId="3A41F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418" w:type="dxa"/>
            <w:vAlign w:val="center"/>
          </w:tcPr>
          <w:p w14:paraId="3240F0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zCs w:val="21"/>
              </w:rPr>
            </w:pPr>
            <w:r>
              <w:rPr>
                <w:rFonts w:hint="default" w:ascii="Times New Roman" w:hAnsi="Times New Roman" w:eastAsia="宋体" w:cs="Times New Roman"/>
                <w:snapToGrid w:val="0"/>
                <w:kern w:val="21"/>
                <w:szCs w:val="21"/>
              </w:rPr>
              <w:t>/</w:t>
            </w:r>
          </w:p>
        </w:tc>
        <w:tc>
          <w:tcPr>
            <w:tcW w:w="1642" w:type="dxa"/>
            <w:vAlign w:val="center"/>
          </w:tcPr>
          <w:p w14:paraId="48BDA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zCs w:val="21"/>
              </w:rPr>
            </w:pPr>
            <w:r>
              <w:rPr>
                <w:rFonts w:hint="default" w:ascii="Times New Roman" w:hAnsi="Times New Roman" w:eastAsia="宋体" w:cs="Times New Roman"/>
                <w:snapToGrid w:val="0"/>
                <w:kern w:val="21"/>
                <w:szCs w:val="21"/>
              </w:rPr>
              <w:t>/</w:t>
            </w:r>
          </w:p>
        </w:tc>
      </w:tr>
      <w:tr w14:paraId="7CA9AA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4E6B4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1134" w:type="dxa"/>
            <w:vMerge w:val="continue"/>
            <w:vAlign w:val="center"/>
          </w:tcPr>
          <w:p w14:paraId="7B99D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p>
        </w:tc>
        <w:tc>
          <w:tcPr>
            <w:tcW w:w="992" w:type="dxa"/>
            <w:vAlign w:val="center"/>
          </w:tcPr>
          <w:p w14:paraId="59EE8E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无组织</w:t>
            </w:r>
          </w:p>
        </w:tc>
        <w:tc>
          <w:tcPr>
            <w:tcW w:w="1559" w:type="dxa"/>
            <w:vAlign w:val="center"/>
          </w:tcPr>
          <w:p w14:paraId="200A6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5A0B9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276" w:type="dxa"/>
            <w:vAlign w:val="center"/>
          </w:tcPr>
          <w:p w14:paraId="0EDCD2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44A535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0.0145</w:t>
            </w:r>
            <w:r>
              <w:rPr>
                <w:rFonts w:hint="eastAsia" w:ascii="Times New Roman" w:hAnsi="Times New Roman" w:eastAsia="宋体" w:cs="Times New Roman"/>
                <w:szCs w:val="21"/>
              </w:rPr>
              <w:t>t/a</w:t>
            </w:r>
          </w:p>
        </w:tc>
        <w:tc>
          <w:tcPr>
            <w:tcW w:w="992" w:type="dxa"/>
            <w:vAlign w:val="center"/>
          </w:tcPr>
          <w:p w14:paraId="54A37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418" w:type="dxa"/>
            <w:vAlign w:val="center"/>
          </w:tcPr>
          <w:p w14:paraId="5225A6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0.0145</w:t>
            </w:r>
            <w:r>
              <w:rPr>
                <w:rFonts w:hint="eastAsia" w:ascii="Times New Roman" w:hAnsi="Times New Roman" w:eastAsia="宋体" w:cs="Times New Roman"/>
                <w:szCs w:val="21"/>
              </w:rPr>
              <w:t>t/a</w:t>
            </w:r>
          </w:p>
        </w:tc>
        <w:tc>
          <w:tcPr>
            <w:tcW w:w="1642" w:type="dxa"/>
            <w:vAlign w:val="center"/>
          </w:tcPr>
          <w:p w14:paraId="02018D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0.0</w:t>
            </w: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45</w:t>
            </w:r>
            <w:r>
              <w:rPr>
                <w:rFonts w:hint="eastAsia" w:ascii="Times New Roman" w:hAnsi="Times New Roman" w:eastAsia="宋体" w:cs="Times New Roman"/>
                <w:szCs w:val="21"/>
              </w:rPr>
              <w:t>t/a</w:t>
            </w:r>
          </w:p>
        </w:tc>
      </w:tr>
      <w:tr w14:paraId="0238B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57935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r>
              <w:rPr>
                <w:rFonts w:hint="eastAsia" w:ascii="Times New Roman" w:hAnsi="Times New Roman" w:eastAsia="宋体" w:cs="宋体"/>
                <w:snapToGrid w:val="0"/>
                <w:kern w:val="21"/>
                <w:szCs w:val="21"/>
              </w:rPr>
              <w:t>废水</w:t>
            </w:r>
          </w:p>
        </w:tc>
        <w:tc>
          <w:tcPr>
            <w:tcW w:w="2126" w:type="dxa"/>
            <w:gridSpan w:val="2"/>
            <w:vAlign w:val="center"/>
          </w:tcPr>
          <w:p w14:paraId="28226B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COD</w:t>
            </w:r>
            <w:r>
              <w:rPr>
                <w:rFonts w:hint="eastAsia" w:ascii="Times New Roman" w:hAnsi="Times New Roman" w:eastAsia="宋体" w:cs="Times New Roman"/>
                <w:snapToGrid w:val="0"/>
                <w:kern w:val="21"/>
                <w:szCs w:val="21"/>
                <w:vertAlign w:val="subscript"/>
              </w:rPr>
              <w:t>Cr</w:t>
            </w:r>
          </w:p>
        </w:tc>
        <w:tc>
          <w:tcPr>
            <w:tcW w:w="1559" w:type="dxa"/>
            <w:vAlign w:val="center"/>
          </w:tcPr>
          <w:p w14:paraId="25E4C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29E03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276" w:type="dxa"/>
            <w:vAlign w:val="center"/>
          </w:tcPr>
          <w:p w14:paraId="7DF32A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5BE18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0.5934t/a</w:t>
            </w:r>
          </w:p>
        </w:tc>
        <w:tc>
          <w:tcPr>
            <w:tcW w:w="992" w:type="dxa"/>
            <w:vAlign w:val="center"/>
          </w:tcPr>
          <w:p w14:paraId="29B8D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418" w:type="dxa"/>
            <w:vAlign w:val="center"/>
          </w:tcPr>
          <w:p w14:paraId="09D26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0.5934t/a</w:t>
            </w:r>
          </w:p>
        </w:tc>
        <w:tc>
          <w:tcPr>
            <w:tcW w:w="1642" w:type="dxa"/>
            <w:vAlign w:val="center"/>
          </w:tcPr>
          <w:p w14:paraId="5D9F4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napToGrid w:val="0"/>
                <w:kern w:val="21"/>
                <w:szCs w:val="21"/>
              </w:rPr>
              <w:t>＋</w:t>
            </w:r>
            <w:r>
              <w:rPr>
                <w:rFonts w:hint="eastAsia" w:ascii="Times New Roman" w:hAnsi="Times New Roman" w:eastAsia="宋体" w:cs="Times New Roman"/>
                <w:szCs w:val="21"/>
              </w:rPr>
              <w:t>0.5934t/a</w:t>
            </w:r>
          </w:p>
        </w:tc>
      </w:tr>
      <w:tr w14:paraId="409E7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6BC02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2126" w:type="dxa"/>
            <w:gridSpan w:val="2"/>
            <w:vAlign w:val="center"/>
          </w:tcPr>
          <w:p w14:paraId="2B7F0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BOD</w:t>
            </w:r>
            <w:r>
              <w:rPr>
                <w:rFonts w:hint="default" w:ascii="Times New Roman" w:hAnsi="Times New Roman" w:eastAsia="宋体" w:cs="Times New Roman"/>
                <w:snapToGrid w:val="0"/>
                <w:kern w:val="21"/>
                <w:szCs w:val="21"/>
                <w:vertAlign w:val="subscript"/>
              </w:rPr>
              <w:t>5</w:t>
            </w:r>
          </w:p>
        </w:tc>
        <w:tc>
          <w:tcPr>
            <w:tcW w:w="1559" w:type="dxa"/>
            <w:vAlign w:val="center"/>
          </w:tcPr>
          <w:p w14:paraId="75BE7D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7261A0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276" w:type="dxa"/>
            <w:vAlign w:val="center"/>
          </w:tcPr>
          <w:p w14:paraId="00460A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0C842E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0.1984t/a</w:t>
            </w:r>
          </w:p>
        </w:tc>
        <w:tc>
          <w:tcPr>
            <w:tcW w:w="992" w:type="dxa"/>
            <w:vAlign w:val="center"/>
          </w:tcPr>
          <w:p w14:paraId="534C2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418" w:type="dxa"/>
            <w:vAlign w:val="center"/>
          </w:tcPr>
          <w:p w14:paraId="180FC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0.1984t/a</w:t>
            </w:r>
          </w:p>
        </w:tc>
        <w:tc>
          <w:tcPr>
            <w:tcW w:w="1642" w:type="dxa"/>
            <w:vAlign w:val="center"/>
          </w:tcPr>
          <w:p w14:paraId="71ACC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napToGrid w:val="0"/>
                <w:kern w:val="21"/>
                <w:szCs w:val="21"/>
              </w:rPr>
              <w:t>＋</w:t>
            </w:r>
            <w:r>
              <w:rPr>
                <w:rFonts w:hint="eastAsia" w:ascii="Times New Roman" w:hAnsi="Times New Roman" w:eastAsia="宋体" w:cs="Times New Roman"/>
                <w:szCs w:val="21"/>
              </w:rPr>
              <w:t>0.1984t/a</w:t>
            </w:r>
          </w:p>
        </w:tc>
      </w:tr>
      <w:tr w14:paraId="75B3E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52BD8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2126" w:type="dxa"/>
            <w:gridSpan w:val="2"/>
            <w:vAlign w:val="center"/>
          </w:tcPr>
          <w:p w14:paraId="2E1E03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SS</w:t>
            </w:r>
          </w:p>
        </w:tc>
        <w:tc>
          <w:tcPr>
            <w:tcW w:w="1559" w:type="dxa"/>
            <w:vAlign w:val="center"/>
          </w:tcPr>
          <w:p w14:paraId="6BC42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2E257D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276" w:type="dxa"/>
            <w:vAlign w:val="center"/>
          </w:tcPr>
          <w:p w14:paraId="638AA8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0A99BB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0.3086t/a</w:t>
            </w:r>
          </w:p>
        </w:tc>
        <w:tc>
          <w:tcPr>
            <w:tcW w:w="992" w:type="dxa"/>
            <w:vAlign w:val="center"/>
          </w:tcPr>
          <w:p w14:paraId="16C50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418" w:type="dxa"/>
            <w:vAlign w:val="center"/>
          </w:tcPr>
          <w:p w14:paraId="0BF33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0.3086t/a</w:t>
            </w:r>
          </w:p>
        </w:tc>
        <w:tc>
          <w:tcPr>
            <w:tcW w:w="1642" w:type="dxa"/>
            <w:vAlign w:val="center"/>
          </w:tcPr>
          <w:p w14:paraId="7038D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napToGrid w:val="0"/>
                <w:kern w:val="21"/>
                <w:szCs w:val="21"/>
              </w:rPr>
              <w:t>＋</w:t>
            </w:r>
            <w:r>
              <w:rPr>
                <w:rFonts w:hint="eastAsia" w:ascii="Times New Roman" w:hAnsi="Times New Roman" w:eastAsia="宋体" w:cs="Times New Roman"/>
                <w:szCs w:val="21"/>
              </w:rPr>
              <w:t>0.3086t/a</w:t>
            </w:r>
          </w:p>
        </w:tc>
      </w:tr>
      <w:tr w14:paraId="04DC6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308151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2126" w:type="dxa"/>
            <w:gridSpan w:val="2"/>
            <w:vAlign w:val="center"/>
          </w:tcPr>
          <w:p w14:paraId="61739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NH</w:t>
            </w:r>
            <w:r>
              <w:rPr>
                <w:rFonts w:hint="default" w:ascii="Times New Roman" w:hAnsi="Times New Roman" w:eastAsia="宋体" w:cs="Times New Roman"/>
                <w:snapToGrid w:val="0"/>
                <w:kern w:val="21"/>
                <w:szCs w:val="21"/>
                <w:vertAlign w:val="subscript"/>
              </w:rPr>
              <w:t>3</w:t>
            </w:r>
            <w:r>
              <w:rPr>
                <w:rFonts w:hint="default" w:ascii="Times New Roman" w:hAnsi="Times New Roman" w:eastAsia="宋体" w:cs="Times New Roman"/>
                <w:snapToGrid w:val="0"/>
                <w:kern w:val="21"/>
                <w:szCs w:val="21"/>
              </w:rPr>
              <w:t>-N</w:t>
            </w:r>
          </w:p>
        </w:tc>
        <w:tc>
          <w:tcPr>
            <w:tcW w:w="1559" w:type="dxa"/>
            <w:vAlign w:val="center"/>
          </w:tcPr>
          <w:p w14:paraId="6BD961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1060B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276" w:type="dxa"/>
            <w:vAlign w:val="center"/>
          </w:tcPr>
          <w:p w14:paraId="7E66A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1929E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0.0479t/a</w:t>
            </w:r>
          </w:p>
        </w:tc>
        <w:tc>
          <w:tcPr>
            <w:tcW w:w="992" w:type="dxa"/>
            <w:vAlign w:val="center"/>
          </w:tcPr>
          <w:p w14:paraId="13EB4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418" w:type="dxa"/>
            <w:vAlign w:val="center"/>
          </w:tcPr>
          <w:p w14:paraId="459C5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0.0479t/a</w:t>
            </w:r>
          </w:p>
        </w:tc>
        <w:tc>
          <w:tcPr>
            <w:tcW w:w="1642" w:type="dxa"/>
            <w:vAlign w:val="center"/>
          </w:tcPr>
          <w:p w14:paraId="7A882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napToGrid w:val="0"/>
                <w:kern w:val="21"/>
                <w:szCs w:val="21"/>
              </w:rPr>
              <w:t>＋</w:t>
            </w:r>
            <w:r>
              <w:rPr>
                <w:rFonts w:hint="eastAsia" w:ascii="Times New Roman" w:hAnsi="Times New Roman" w:eastAsia="宋体" w:cs="Times New Roman"/>
                <w:szCs w:val="21"/>
              </w:rPr>
              <w:t>0.0479t/a</w:t>
            </w:r>
          </w:p>
        </w:tc>
      </w:tr>
      <w:tr w14:paraId="1AE97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033D1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r>
              <w:rPr>
                <w:rFonts w:hint="eastAsia" w:ascii="Times New Roman" w:hAnsi="Times New Roman" w:eastAsia="宋体" w:cs="宋体"/>
                <w:snapToGrid w:val="0"/>
                <w:kern w:val="21"/>
                <w:szCs w:val="21"/>
              </w:rPr>
              <w:t>一般工业固体废物</w:t>
            </w:r>
          </w:p>
        </w:tc>
        <w:tc>
          <w:tcPr>
            <w:tcW w:w="2126" w:type="dxa"/>
            <w:gridSpan w:val="2"/>
            <w:vAlign w:val="center"/>
          </w:tcPr>
          <w:p w14:paraId="6B80B7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不合格品、边角料</w:t>
            </w:r>
          </w:p>
        </w:tc>
        <w:tc>
          <w:tcPr>
            <w:tcW w:w="1559" w:type="dxa"/>
            <w:vAlign w:val="center"/>
          </w:tcPr>
          <w:p w14:paraId="4B32C3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0EDE70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14:paraId="162A9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2D1E9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3.85t/a</w:t>
            </w:r>
          </w:p>
        </w:tc>
        <w:tc>
          <w:tcPr>
            <w:tcW w:w="992" w:type="dxa"/>
            <w:vAlign w:val="center"/>
          </w:tcPr>
          <w:p w14:paraId="5AD66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418" w:type="dxa"/>
            <w:vAlign w:val="center"/>
          </w:tcPr>
          <w:p w14:paraId="542A6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3.85t/a</w:t>
            </w:r>
          </w:p>
        </w:tc>
        <w:tc>
          <w:tcPr>
            <w:tcW w:w="1642" w:type="dxa"/>
            <w:vAlign w:val="center"/>
          </w:tcPr>
          <w:p w14:paraId="5D3350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＋3.85t/a</w:t>
            </w:r>
          </w:p>
        </w:tc>
      </w:tr>
      <w:tr w14:paraId="557E6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73089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2126" w:type="dxa"/>
            <w:gridSpan w:val="2"/>
            <w:vAlign w:val="center"/>
          </w:tcPr>
          <w:p w14:paraId="2A24AD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废包装材料</w:t>
            </w:r>
          </w:p>
        </w:tc>
        <w:tc>
          <w:tcPr>
            <w:tcW w:w="1559" w:type="dxa"/>
            <w:vAlign w:val="center"/>
          </w:tcPr>
          <w:p w14:paraId="5F3BE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69017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14:paraId="3982E1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73F7F6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0.2t/a</w:t>
            </w:r>
          </w:p>
        </w:tc>
        <w:tc>
          <w:tcPr>
            <w:tcW w:w="992" w:type="dxa"/>
            <w:vAlign w:val="center"/>
          </w:tcPr>
          <w:p w14:paraId="429AB9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418" w:type="dxa"/>
            <w:vAlign w:val="center"/>
          </w:tcPr>
          <w:p w14:paraId="1DF59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0.2t/a</w:t>
            </w:r>
          </w:p>
        </w:tc>
        <w:tc>
          <w:tcPr>
            <w:tcW w:w="1642" w:type="dxa"/>
            <w:vAlign w:val="center"/>
          </w:tcPr>
          <w:p w14:paraId="3C588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＋0.2t/a</w:t>
            </w:r>
          </w:p>
        </w:tc>
      </w:tr>
      <w:tr w14:paraId="7BDFE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048FD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2126" w:type="dxa"/>
            <w:gridSpan w:val="2"/>
            <w:vAlign w:val="center"/>
          </w:tcPr>
          <w:p w14:paraId="3D098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废干燥剂</w:t>
            </w:r>
          </w:p>
        </w:tc>
        <w:tc>
          <w:tcPr>
            <w:tcW w:w="1559" w:type="dxa"/>
            <w:vAlign w:val="center"/>
          </w:tcPr>
          <w:p w14:paraId="3A7F3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4061A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14:paraId="5D1713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38CFA8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lang w:val="en-US" w:eastAsia="zh-CN"/>
              </w:rPr>
              <w:t>0.1</w:t>
            </w:r>
            <w:r>
              <w:rPr>
                <w:rFonts w:hint="eastAsia" w:ascii="Times New Roman" w:hAnsi="Times New Roman" w:eastAsia="宋体" w:cs="Times New Roman"/>
                <w:snapToGrid w:val="0"/>
                <w:kern w:val="21"/>
                <w:szCs w:val="21"/>
              </w:rPr>
              <w:t>t/a</w:t>
            </w:r>
          </w:p>
        </w:tc>
        <w:tc>
          <w:tcPr>
            <w:tcW w:w="992" w:type="dxa"/>
            <w:vAlign w:val="center"/>
          </w:tcPr>
          <w:p w14:paraId="030C3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418" w:type="dxa"/>
            <w:vAlign w:val="center"/>
          </w:tcPr>
          <w:p w14:paraId="5F993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0.1t/a</w:t>
            </w:r>
          </w:p>
        </w:tc>
        <w:tc>
          <w:tcPr>
            <w:tcW w:w="1642" w:type="dxa"/>
            <w:vAlign w:val="center"/>
          </w:tcPr>
          <w:p w14:paraId="20501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＋0.1t/a</w:t>
            </w:r>
          </w:p>
        </w:tc>
      </w:tr>
      <w:tr w14:paraId="5D416E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Align w:val="center"/>
          </w:tcPr>
          <w:p w14:paraId="4C07C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r>
              <w:rPr>
                <w:rFonts w:hint="default" w:ascii="Times New Roman" w:hAnsi="Times New Roman" w:eastAsia="宋体" w:cs="宋体"/>
                <w:snapToGrid w:val="0"/>
                <w:kern w:val="21"/>
                <w:szCs w:val="21"/>
              </w:rPr>
              <w:t>生活垃圾</w:t>
            </w:r>
          </w:p>
        </w:tc>
        <w:tc>
          <w:tcPr>
            <w:tcW w:w="2126" w:type="dxa"/>
            <w:gridSpan w:val="2"/>
            <w:vAlign w:val="center"/>
          </w:tcPr>
          <w:p w14:paraId="157E2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生活垃圾</w:t>
            </w:r>
          </w:p>
        </w:tc>
        <w:tc>
          <w:tcPr>
            <w:tcW w:w="1559" w:type="dxa"/>
            <w:vAlign w:val="center"/>
          </w:tcPr>
          <w:p w14:paraId="2A71E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0984E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14:paraId="374A82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38B47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2.25t/a</w:t>
            </w:r>
          </w:p>
        </w:tc>
        <w:tc>
          <w:tcPr>
            <w:tcW w:w="992" w:type="dxa"/>
            <w:vAlign w:val="center"/>
          </w:tcPr>
          <w:p w14:paraId="30DF6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418" w:type="dxa"/>
            <w:vAlign w:val="center"/>
          </w:tcPr>
          <w:p w14:paraId="23899D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2.25t/a</w:t>
            </w:r>
          </w:p>
        </w:tc>
        <w:tc>
          <w:tcPr>
            <w:tcW w:w="1642" w:type="dxa"/>
            <w:vAlign w:val="center"/>
          </w:tcPr>
          <w:p w14:paraId="532DF2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＋2.25t/a</w:t>
            </w:r>
          </w:p>
        </w:tc>
      </w:tr>
      <w:tr w14:paraId="7D778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7E41A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r>
              <w:rPr>
                <w:rFonts w:hint="default" w:ascii="Times New Roman" w:hAnsi="Times New Roman" w:eastAsia="宋体" w:cs="宋体"/>
                <w:snapToGrid w:val="0"/>
                <w:kern w:val="21"/>
                <w:szCs w:val="21"/>
              </w:rPr>
              <w:t>危险废物</w:t>
            </w:r>
          </w:p>
        </w:tc>
        <w:tc>
          <w:tcPr>
            <w:tcW w:w="2126" w:type="dxa"/>
            <w:gridSpan w:val="2"/>
            <w:vAlign w:val="center"/>
          </w:tcPr>
          <w:p w14:paraId="5389D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废无尘布</w:t>
            </w:r>
          </w:p>
        </w:tc>
        <w:tc>
          <w:tcPr>
            <w:tcW w:w="1559" w:type="dxa"/>
            <w:vAlign w:val="center"/>
          </w:tcPr>
          <w:p w14:paraId="449B44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134" w:type="dxa"/>
            <w:vAlign w:val="center"/>
          </w:tcPr>
          <w:p w14:paraId="51318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14:paraId="4F8C0A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14:paraId="68D0E9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0.05t/a</w:t>
            </w:r>
          </w:p>
        </w:tc>
        <w:tc>
          <w:tcPr>
            <w:tcW w:w="992" w:type="dxa"/>
            <w:vAlign w:val="center"/>
          </w:tcPr>
          <w:p w14:paraId="04E55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418" w:type="dxa"/>
            <w:vAlign w:val="center"/>
          </w:tcPr>
          <w:p w14:paraId="64536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0.05t/a</w:t>
            </w:r>
          </w:p>
        </w:tc>
        <w:tc>
          <w:tcPr>
            <w:tcW w:w="1642" w:type="dxa"/>
            <w:vAlign w:val="center"/>
          </w:tcPr>
          <w:p w14:paraId="46792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napToGrid w:val="0"/>
                <w:kern w:val="21"/>
                <w:szCs w:val="21"/>
              </w:rPr>
              <w:t>＋</w:t>
            </w:r>
            <w:r>
              <w:rPr>
                <w:rFonts w:hint="eastAsia" w:ascii="Times New Roman" w:hAnsi="Times New Roman" w:eastAsia="宋体" w:cs="Times New Roman"/>
                <w:szCs w:val="21"/>
              </w:rPr>
              <w:t>0.05t/a</w:t>
            </w:r>
          </w:p>
        </w:tc>
      </w:tr>
      <w:tr w14:paraId="63DBC7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0B5683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2126" w:type="dxa"/>
            <w:gridSpan w:val="2"/>
            <w:vAlign w:val="center"/>
          </w:tcPr>
          <w:p w14:paraId="29CAB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废弃样品</w:t>
            </w:r>
          </w:p>
        </w:tc>
        <w:tc>
          <w:tcPr>
            <w:tcW w:w="1559" w:type="dxa"/>
            <w:vAlign w:val="center"/>
          </w:tcPr>
          <w:p w14:paraId="22276E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134" w:type="dxa"/>
            <w:vAlign w:val="center"/>
          </w:tcPr>
          <w:p w14:paraId="7D7ED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14:paraId="4629C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14:paraId="38BE5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0.8t/a</w:t>
            </w:r>
          </w:p>
        </w:tc>
        <w:tc>
          <w:tcPr>
            <w:tcW w:w="992" w:type="dxa"/>
            <w:vAlign w:val="center"/>
          </w:tcPr>
          <w:p w14:paraId="54799F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418" w:type="dxa"/>
            <w:vAlign w:val="center"/>
          </w:tcPr>
          <w:p w14:paraId="4D1BB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0.8t/a</w:t>
            </w:r>
          </w:p>
        </w:tc>
        <w:tc>
          <w:tcPr>
            <w:tcW w:w="1642" w:type="dxa"/>
            <w:vAlign w:val="center"/>
          </w:tcPr>
          <w:p w14:paraId="274926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napToGrid w:val="0"/>
                <w:kern w:val="21"/>
                <w:szCs w:val="21"/>
              </w:rPr>
              <w:t>＋</w:t>
            </w:r>
            <w:r>
              <w:rPr>
                <w:rFonts w:hint="eastAsia" w:ascii="Times New Roman" w:hAnsi="Times New Roman" w:eastAsia="宋体" w:cs="Times New Roman"/>
                <w:szCs w:val="21"/>
              </w:rPr>
              <w:t>0.8t/a</w:t>
            </w:r>
          </w:p>
        </w:tc>
      </w:tr>
      <w:tr w14:paraId="1F2F2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34FE1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2126" w:type="dxa"/>
            <w:gridSpan w:val="2"/>
            <w:vAlign w:val="center"/>
          </w:tcPr>
          <w:p w14:paraId="00085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实验废液</w:t>
            </w:r>
          </w:p>
        </w:tc>
        <w:tc>
          <w:tcPr>
            <w:tcW w:w="1559" w:type="dxa"/>
            <w:vAlign w:val="center"/>
          </w:tcPr>
          <w:p w14:paraId="3C45D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134" w:type="dxa"/>
            <w:vAlign w:val="center"/>
          </w:tcPr>
          <w:p w14:paraId="092CD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14:paraId="38A192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14:paraId="15E700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rPr>
              <w:t>t/a</w:t>
            </w:r>
          </w:p>
        </w:tc>
        <w:tc>
          <w:tcPr>
            <w:tcW w:w="992" w:type="dxa"/>
            <w:vAlign w:val="center"/>
          </w:tcPr>
          <w:p w14:paraId="29E570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418" w:type="dxa"/>
            <w:vAlign w:val="center"/>
          </w:tcPr>
          <w:p w14:paraId="4BD30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rPr>
              <w:t>t/a</w:t>
            </w:r>
          </w:p>
        </w:tc>
        <w:tc>
          <w:tcPr>
            <w:tcW w:w="1642" w:type="dxa"/>
            <w:vAlign w:val="center"/>
          </w:tcPr>
          <w:p w14:paraId="725D1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r>
              <w:rPr>
                <w:rFonts w:hint="eastAsia" w:ascii="Times New Roman" w:hAnsi="Times New Roman" w:eastAsia="宋体" w:cs="Times New Roman"/>
                <w:snapToGrid w:val="0"/>
                <w:kern w:val="21"/>
                <w:szCs w:val="21"/>
                <w:lang w:val="en-US" w:eastAsia="zh-CN"/>
              </w:rPr>
              <w:t>1.5</w:t>
            </w:r>
            <w:r>
              <w:rPr>
                <w:rFonts w:hint="eastAsia" w:ascii="Times New Roman" w:hAnsi="Times New Roman" w:eastAsia="宋体" w:cs="Times New Roman"/>
                <w:szCs w:val="21"/>
              </w:rPr>
              <w:t>t/a</w:t>
            </w:r>
          </w:p>
        </w:tc>
      </w:tr>
      <w:tr w14:paraId="539D4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4DA78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2126" w:type="dxa"/>
            <w:gridSpan w:val="2"/>
            <w:vAlign w:val="center"/>
          </w:tcPr>
          <w:p w14:paraId="1F8E4F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废培养</w:t>
            </w:r>
            <w:r>
              <w:rPr>
                <w:rFonts w:hint="eastAsia" w:ascii="Times New Roman" w:hAnsi="Times New Roman" w:eastAsia="宋体" w:cs="Times New Roman"/>
                <w:szCs w:val="21"/>
                <w:lang w:val="en-US" w:eastAsia="zh-CN"/>
              </w:rPr>
              <w:t>基</w:t>
            </w:r>
          </w:p>
        </w:tc>
        <w:tc>
          <w:tcPr>
            <w:tcW w:w="1559" w:type="dxa"/>
            <w:vAlign w:val="center"/>
          </w:tcPr>
          <w:p w14:paraId="1B73F9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134" w:type="dxa"/>
            <w:vAlign w:val="center"/>
          </w:tcPr>
          <w:p w14:paraId="0E80A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14:paraId="60AF8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14:paraId="26792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025</w:t>
            </w:r>
            <w:r>
              <w:rPr>
                <w:rFonts w:hint="eastAsia" w:ascii="Times New Roman" w:hAnsi="Times New Roman" w:eastAsia="宋体" w:cs="Times New Roman"/>
                <w:szCs w:val="21"/>
              </w:rPr>
              <w:t>t/a</w:t>
            </w:r>
          </w:p>
        </w:tc>
        <w:tc>
          <w:tcPr>
            <w:tcW w:w="992" w:type="dxa"/>
            <w:vAlign w:val="center"/>
          </w:tcPr>
          <w:p w14:paraId="20DB7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418" w:type="dxa"/>
            <w:vAlign w:val="center"/>
          </w:tcPr>
          <w:p w14:paraId="02F14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025</w:t>
            </w:r>
            <w:r>
              <w:rPr>
                <w:rFonts w:hint="eastAsia" w:ascii="Times New Roman" w:hAnsi="Times New Roman" w:eastAsia="宋体" w:cs="Times New Roman"/>
                <w:szCs w:val="21"/>
              </w:rPr>
              <w:t>t/a</w:t>
            </w:r>
          </w:p>
        </w:tc>
        <w:tc>
          <w:tcPr>
            <w:tcW w:w="1642" w:type="dxa"/>
            <w:vAlign w:val="center"/>
          </w:tcPr>
          <w:p w14:paraId="33EA7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leftChars="0" w:right="0" w:rightChars="0"/>
              <w:jc w:val="center"/>
              <w:textAlignment w:val="auto"/>
              <w:rPr>
                <w:rFonts w:hint="eastAsia"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025</w:t>
            </w:r>
            <w:r>
              <w:rPr>
                <w:rFonts w:hint="eastAsia" w:ascii="Times New Roman" w:hAnsi="Times New Roman" w:eastAsia="宋体" w:cs="Times New Roman"/>
                <w:szCs w:val="21"/>
              </w:rPr>
              <w:t>t/a</w:t>
            </w:r>
          </w:p>
        </w:tc>
      </w:tr>
      <w:tr w14:paraId="693F1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9BDF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宋体"/>
                <w:snapToGrid w:val="0"/>
                <w:kern w:val="21"/>
                <w:szCs w:val="21"/>
              </w:rPr>
            </w:pPr>
          </w:p>
        </w:tc>
        <w:tc>
          <w:tcPr>
            <w:tcW w:w="2126" w:type="dxa"/>
            <w:gridSpan w:val="2"/>
            <w:vAlign w:val="center"/>
          </w:tcPr>
          <w:p w14:paraId="480132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一次、二次清洗废液</w:t>
            </w:r>
          </w:p>
        </w:tc>
        <w:tc>
          <w:tcPr>
            <w:tcW w:w="1559" w:type="dxa"/>
            <w:vAlign w:val="center"/>
          </w:tcPr>
          <w:p w14:paraId="07E87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134" w:type="dxa"/>
            <w:vAlign w:val="center"/>
          </w:tcPr>
          <w:p w14:paraId="2F364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14:paraId="20E5E7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701" w:type="dxa"/>
            <w:vAlign w:val="center"/>
          </w:tcPr>
          <w:p w14:paraId="64D75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12t/a</w:t>
            </w:r>
          </w:p>
        </w:tc>
        <w:tc>
          <w:tcPr>
            <w:tcW w:w="992" w:type="dxa"/>
            <w:vAlign w:val="center"/>
          </w:tcPr>
          <w:p w14:paraId="208E4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napToGrid w:val="0"/>
                <w:kern w:val="21"/>
                <w:szCs w:val="21"/>
              </w:rPr>
            </w:pPr>
            <w:r>
              <w:rPr>
                <w:rFonts w:hint="default" w:ascii="Times New Roman" w:hAnsi="Times New Roman" w:eastAsia="宋体" w:cs="Times New Roman"/>
                <w:snapToGrid w:val="0"/>
                <w:kern w:val="21"/>
                <w:szCs w:val="21"/>
              </w:rPr>
              <w:t>/</w:t>
            </w:r>
          </w:p>
        </w:tc>
        <w:tc>
          <w:tcPr>
            <w:tcW w:w="1418" w:type="dxa"/>
            <w:vAlign w:val="center"/>
          </w:tcPr>
          <w:p w14:paraId="0A429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rPr>
              <w:t>12t/a</w:t>
            </w:r>
          </w:p>
        </w:tc>
        <w:tc>
          <w:tcPr>
            <w:tcW w:w="1642" w:type="dxa"/>
            <w:vAlign w:val="center"/>
          </w:tcPr>
          <w:p w14:paraId="0A0596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9"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napToGrid w:val="0"/>
                <w:kern w:val="21"/>
                <w:szCs w:val="21"/>
              </w:rPr>
              <w:t>＋</w:t>
            </w:r>
            <w:r>
              <w:rPr>
                <w:rFonts w:hint="eastAsia" w:ascii="Times New Roman" w:hAnsi="Times New Roman" w:eastAsia="宋体" w:cs="Times New Roman"/>
                <w:szCs w:val="21"/>
              </w:rPr>
              <w:t>12t/a</w:t>
            </w:r>
          </w:p>
        </w:tc>
      </w:tr>
    </w:tbl>
    <w:p w14:paraId="4781D528">
      <w:pPr>
        <w:pStyle w:val="42"/>
        <w:adjustRightInd/>
        <w:snapToGrid/>
        <w:spacing w:beforeLines="80" w:after="31"/>
        <w:jc w:val="left"/>
        <w:rPr>
          <w:rFonts w:ascii="Times New Roman" w:hAnsi="Times New Roman"/>
          <w:snapToGrid w:val="0"/>
          <w:spacing w:val="-6"/>
          <w:kern w:val="21"/>
          <w:szCs w:val="21"/>
        </w:rPr>
      </w:pPr>
      <w:r>
        <w:rPr>
          <w:rFonts w:ascii="Times New Roman" w:hAnsi="Times New Roman"/>
          <w:snapToGrid w:val="0"/>
          <w:kern w:val="21"/>
          <w:szCs w:val="21"/>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hint="eastAsia" w:ascii="Times New Roman" w:hAnsi="Times New Roman" w:eastAsia="宋体" w:cs="宋体"/>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hint="eastAsia" w:ascii="Times New Roman" w:hAnsi="Times New Roman" w:eastAsia="宋体" w:cs="宋体"/>
          <w:szCs w:val="21"/>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3 \* GB3 \* MERGEFORMAT </w:instrText>
      </w:r>
      <w:r>
        <w:rPr>
          <w:rFonts w:ascii="Times New Roman" w:hAnsi="Times New Roman"/>
          <w:snapToGrid w:val="0"/>
          <w:spacing w:val="-6"/>
          <w:kern w:val="21"/>
          <w:szCs w:val="21"/>
        </w:rPr>
        <w:fldChar w:fldCharType="separate"/>
      </w:r>
      <w:r>
        <w:rPr>
          <w:rFonts w:hint="eastAsia" w:ascii="Times New Roman" w:hAnsi="Times New Roman" w:eastAsia="宋体" w:cs="宋体"/>
          <w:szCs w:val="21"/>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4 \* GB3 \* MERGEFORMAT </w:instrText>
      </w:r>
      <w:r>
        <w:rPr>
          <w:rFonts w:ascii="Times New Roman" w:hAnsi="Times New Roman"/>
          <w:snapToGrid w:val="0"/>
          <w:spacing w:val="-6"/>
          <w:kern w:val="21"/>
          <w:szCs w:val="21"/>
        </w:rPr>
        <w:fldChar w:fldCharType="separate"/>
      </w:r>
      <w:r>
        <w:rPr>
          <w:rFonts w:hint="eastAsia" w:ascii="Times New Roman" w:hAnsi="Times New Roman" w:eastAsia="宋体" w:cs="宋体"/>
          <w:szCs w:val="21"/>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5 \* GB3 \* MERGEFORMAT </w:instrText>
      </w:r>
      <w:r>
        <w:rPr>
          <w:rFonts w:ascii="Times New Roman" w:hAnsi="Times New Roman"/>
          <w:snapToGrid w:val="0"/>
          <w:spacing w:val="-16"/>
          <w:kern w:val="21"/>
          <w:szCs w:val="21"/>
        </w:rPr>
        <w:fldChar w:fldCharType="separate"/>
      </w:r>
      <w:r>
        <w:rPr>
          <w:rFonts w:hint="eastAsia" w:ascii="Times New Roman" w:hAnsi="Times New Roman" w:eastAsia="宋体" w:cs="宋体"/>
          <w:szCs w:val="21"/>
        </w:rPr>
        <w:t>⑤</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7 \* GB3 \* MERGEFORMAT </w:instrText>
      </w:r>
      <w:r>
        <w:rPr>
          <w:rFonts w:ascii="Times New Roman" w:hAnsi="Times New Roman"/>
          <w:snapToGrid w:val="0"/>
          <w:spacing w:val="-6"/>
          <w:kern w:val="21"/>
          <w:szCs w:val="21"/>
        </w:rPr>
        <w:fldChar w:fldCharType="separate"/>
      </w:r>
      <w:r>
        <w:rPr>
          <w:rFonts w:hint="eastAsia" w:ascii="Times New Roman" w:hAnsi="Times New Roman" w:eastAsia="宋体" w:cs="宋体"/>
          <w:szCs w:val="21"/>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hint="eastAsia" w:ascii="Times New Roman" w:hAnsi="Times New Roman" w:eastAsia="宋体" w:cs="宋体"/>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hint="eastAsia" w:ascii="Times New Roman" w:hAnsi="Times New Roman" w:eastAsia="宋体" w:cs="宋体"/>
          <w:szCs w:val="21"/>
        </w:rPr>
        <w:t>①</w:t>
      </w:r>
      <w:r>
        <w:rPr>
          <w:rFonts w:ascii="Times New Roman" w:hAnsi="Times New Roman"/>
          <w:snapToGrid w:val="0"/>
          <w:spacing w:val="-6"/>
          <w:kern w:val="21"/>
          <w:szCs w:val="21"/>
        </w:rPr>
        <w:fldChar w:fldCharType="end"/>
      </w:r>
    </w:p>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ËÎÌå">
    <w:altName w:val="Times New Roman"/>
    <w:panose1 w:val="00000000000000000000"/>
    <w:charset w:val="00"/>
    <w:family w:val="auto"/>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992891"/>
    </w:sdtPr>
    <w:sdtContent>
      <w:p w14:paraId="45F84561">
        <w:pPr>
          <w:pStyle w:val="9"/>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BC5D3">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47465233"/>
                          </w:sdtPr>
                          <w:sdtContent>
                            <w:p w14:paraId="273A2443">
                              <w:pPr>
                                <w:pStyle w:val="9"/>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5</w:t>
                              </w:r>
                              <w:r>
                                <w:rPr>
                                  <w:rFonts w:ascii="Times New Roman" w:hAnsi="Times New Roman" w:cs="Times New Roman"/>
                                  <w:sz w:val="20"/>
                                  <w:szCs w:val="20"/>
                                </w:rPr>
                                <w:fldChar w:fldCharType="end"/>
                              </w:r>
                            </w:p>
                          </w:sdtContent>
                        </w:sdt>
                        <w:p w14:paraId="0BDE6B4A">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HpDM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dB6QzNwIAAHEEAAAOAAAAAAAAAAEAIAAAAB8BAABkcnMvZTJvRG9jLnht&#10;bFBLBQYAAAAABgAGAFkBAADIBQAAAAA=&#10;">
              <v:fill on="f" focussize="0,0"/>
              <v:stroke on="f" weight="0.5pt"/>
              <v:imagedata o:title=""/>
              <o:lock v:ext="edit" aspectratio="f"/>
              <v:textbox inset="0mm,0mm,0mm,0mm" style="mso-fit-shape-to-text:t;">
                <w:txbxContent>
                  <w:sdt>
                    <w:sdtPr>
                      <w:id w:val="147465233"/>
                    </w:sdtPr>
                    <w:sdtContent>
                      <w:p w14:paraId="273A2443">
                        <w:pPr>
                          <w:pStyle w:val="9"/>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5</w:t>
                        </w:r>
                        <w:r>
                          <w:rPr>
                            <w:rFonts w:ascii="Times New Roman" w:hAnsi="Times New Roman" w:cs="Times New Roman"/>
                            <w:sz w:val="20"/>
                            <w:szCs w:val="20"/>
                          </w:rPr>
                          <w:fldChar w:fldCharType="end"/>
                        </w:r>
                      </w:p>
                    </w:sdtContent>
                  </w:sdt>
                  <w:p w14:paraId="0BDE6B4A">
                    <w:pPr>
                      <w:pStyle w:val="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5742F">
    <w:pPr>
      <w:pStyle w:val="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47481786"/>
                          </w:sdtPr>
                          <w:sdtContent>
                            <w:p w14:paraId="54205DBB">
                              <w:pPr>
                                <w:pStyle w:val="9"/>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43</w:t>
                              </w:r>
                              <w:r>
                                <w:rPr>
                                  <w:rFonts w:ascii="Times New Roman" w:hAnsi="Times New Roman" w:cs="Times New Roman"/>
                                  <w:sz w:val="20"/>
                                  <w:szCs w:val="20"/>
                                </w:rPr>
                                <w:fldChar w:fldCharType="end"/>
                              </w:r>
                            </w:p>
                          </w:sdtContent>
                        </w:sdt>
                        <w:p w14:paraId="1207A829">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wLmM4AgAAc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aPAuYzgCAABxBAAADgAAAAAAAAABACAAAAAfAQAAZHJzL2Uyb0RvYy54&#10;bWxQSwUGAAAAAAYABgBZAQAAyQUAAAAA&#10;">
              <v:fill on="f" focussize="0,0"/>
              <v:stroke on="f" weight="0.5pt"/>
              <v:imagedata o:title=""/>
              <o:lock v:ext="edit" aspectratio="f"/>
              <v:textbox inset="0mm,0mm,0mm,0mm" style="mso-fit-shape-to-text:t;">
                <w:txbxContent>
                  <w:sdt>
                    <w:sdtPr>
                      <w:id w:val="147481786"/>
                    </w:sdtPr>
                    <w:sdtContent>
                      <w:p w14:paraId="54205DBB">
                        <w:pPr>
                          <w:pStyle w:val="9"/>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43</w:t>
                        </w:r>
                        <w:r>
                          <w:rPr>
                            <w:rFonts w:ascii="Times New Roman" w:hAnsi="Times New Roman" w:cs="Times New Roman"/>
                            <w:sz w:val="20"/>
                            <w:szCs w:val="20"/>
                          </w:rPr>
                          <w:fldChar w:fldCharType="end"/>
                        </w:r>
                      </w:p>
                    </w:sdtContent>
                  </w:sdt>
                  <w:p w14:paraId="1207A829">
                    <w:pPr>
                      <w:pStyle w:val="3"/>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E8523">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B91E8">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56D0C">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4NjhmYzM4MDM5OWE3OTM0YjU1NzIxMWIwYTBiN2MifQ=="/>
  </w:docVars>
  <w:rsids>
    <w:rsidRoot w:val="00172A27"/>
    <w:rsid w:val="0000037A"/>
    <w:rsid w:val="000005F6"/>
    <w:rsid w:val="000007E8"/>
    <w:rsid w:val="00000ABA"/>
    <w:rsid w:val="00000C30"/>
    <w:rsid w:val="00000CE2"/>
    <w:rsid w:val="00000EEC"/>
    <w:rsid w:val="00000F9B"/>
    <w:rsid w:val="00001264"/>
    <w:rsid w:val="000014BF"/>
    <w:rsid w:val="00001565"/>
    <w:rsid w:val="000016D7"/>
    <w:rsid w:val="0000192D"/>
    <w:rsid w:val="000021DF"/>
    <w:rsid w:val="000021F4"/>
    <w:rsid w:val="00002350"/>
    <w:rsid w:val="00002425"/>
    <w:rsid w:val="000024B5"/>
    <w:rsid w:val="0000286A"/>
    <w:rsid w:val="00002EA1"/>
    <w:rsid w:val="00003341"/>
    <w:rsid w:val="000034ED"/>
    <w:rsid w:val="00003D35"/>
    <w:rsid w:val="00003E73"/>
    <w:rsid w:val="000042C1"/>
    <w:rsid w:val="000042F5"/>
    <w:rsid w:val="00004371"/>
    <w:rsid w:val="00004AFC"/>
    <w:rsid w:val="00004C0B"/>
    <w:rsid w:val="0000520F"/>
    <w:rsid w:val="0000532A"/>
    <w:rsid w:val="00005613"/>
    <w:rsid w:val="0000641C"/>
    <w:rsid w:val="00006695"/>
    <w:rsid w:val="00006879"/>
    <w:rsid w:val="000068EB"/>
    <w:rsid w:val="0000691F"/>
    <w:rsid w:val="00006A7B"/>
    <w:rsid w:val="00006D0B"/>
    <w:rsid w:val="00006F6C"/>
    <w:rsid w:val="000073E3"/>
    <w:rsid w:val="000074DF"/>
    <w:rsid w:val="00007CAE"/>
    <w:rsid w:val="0001005D"/>
    <w:rsid w:val="00010349"/>
    <w:rsid w:val="000105F4"/>
    <w:rsid w:val="00010F7C"/>
    <w:rsid w:val="00011501"/>
    <w:rsid w:val="00011C11"/>
    <w:rsid w:val="00011D8C"/>
    <w:rsid w:val="00012083"/>
    <w:rsid w:val="00012197"/>
    <w:rsid w:val="00012418"/>
    <w:rsid w:val="0001301A"/>
    <w:rsid w:val="0001370C"/>
    <w:rsid w:val="00013C81"/>
    <w:rsid w:val="00014427"/>
    <w:rsid w:val="000150C6"/>
    <w:rsid w:val="00015113"/>
    <w:rsid w:val="000154C0"/>
    <w:rsid w:val="00015646"/>
    <w:rsid w:val="000161FD"/>
    <w:rsid w:val="00016271"/>
    <w:rsid w:val="0001636E"/>
    <w:rsid w:val="000166BE"/>
    <w:rsid w:val="00016874"/>
    <w:rsid w:val="00016A0C"/>
    <w:rsid w:val="00016D43"/>
    <w:rsid w:val="00016F81"/>
    <w:rsid w:val="00017140"/>
    <w:rsid w:val="000173FC"/>
    <w:rsid w:val="00017795"/>
    <w:rsid w:val="00020530"/>
    <w:rsid w:val="00020863"/>
    <w:rsid w:val="00020940"/>
    <w:rsid w:val="0002096C"/>
    <w:rsid w:val="00020B14"/>
    <w:rsid w:val="000212C1"/>
    <w:rsid w:val="0002170D"/>
    <w:rsid w:val="000217AA"/>
    <w:rsid w:val="00021C5B"/>
    <w:rsid w:val="00021CB0"/>
    <w:rsid w:val="000221FC"/>
    <w:rsid w:val="00023326"/>
    <w:rsid w:val="0002373B"/>
    <w:rsid w:val="00023865"/>
    <w:rsid w:val="00023C0C"/>
    <w:rsid w:val="00024B40"/>
    <w:rsid w:val="00025253"/>
    <w:rsid w:val="00025709"/>
    <w:rsid w:val="000258A1"/>
    <w:rsid w:val="00025C39"/>
    <w:rsid w:val="00025E46"/>
    <w:rsid w:val="00026200"/>
    <w:rsid w:val="00026345"/>
    <w:rsid w:val="00026506"/>
    <w:rsid w:val="000267B1"/>
    <w:rsid w:val="000267BB"/>
    <w:rsid w:val="00026D29"/>
    <w:rsid w:val="00026E45"/>
    <w:rsid w:val="00026F6B"/>
    <w:rsid w:val="0002708E"/>
    <w:rsid w:val="0002723D"/>
    <w:rsid w:val="0002730A"/>
    <w:rsid w:val="00027345"/>
    <w:rsid w:val="000277C9"/>
    <w:rsid w:val="00027B0F"/>
    <w:rsid w:val="00027C1E"/>
    <w:rsid w:val="00030180"/>
    <w:rsid w:val="00030268"/>
    <w:rsid w:val="000306A8"/>
    <w:rsid w:val="000307AD"/>
    <w:rsid w:val="00030D9E"/>
    <w:rsid w:val="00030E8B"/>
    <w:rsid w:val="00030F9E"/>
    <w:rsid w:val="00031321"/>
    <w:rsid w:val="00031D85"/>
    <w:rsid w:val="00031F01"/>
    <w:rsid w:val="00032107"/>
    <w:rsid w:val="000322BF"/>
    <w:rsid w:val="00032429"/>
    <w:rsid w:val="00032827"/>
    <w:rsid w:val="000329DC"/>
    <w:rsid w:val="00032FE6"/>
    <w:rsid w:val="0003318F"/>
    <w:rsid w:val="00033279"/>
    <w:rsid w:val="000333C1"/>
    <w:rsid w:val="00033A1E"/>
    <w:rsid w:val="00033B8C"/>
    <w:rsid w:val="00033D2D"/>
    <w:rsid w:val="0003403E"/>
    <w:rsid w:val="00034091"/>
    <w:rsid w:val="00034A5B"/>
    <w:rsid w:val="00034C12"/>
    <w:rsid w:val="00036469"/>
    <w:rsid w:val="00036A1F"/>
    <w:rsid w:val="00036D78"/>
    <w:rsid w:val="00036DA6"/>
    <w:rsid w:val="00036F08"/>
    <w:rsid w:val="00037064"/>
    <w:rsid w:val="0003709D"/>
    <w:rsid w:val="00037901"/>
    <w:rsid w:val="00037979"/>
    <w:rsid w:val="0004041B"/>
    <w:rsid w:val="00040461"/>
    <w:rsid w:val="0004048D"/>
    <w:rsid w:val="000411B3"/>
    <w:rsid w:val="00041B9E"/>
    <w:rsid w:val="00041CAF"/>
    <w:rsid w:val="000420EE"/>
    <w:rsid w:val="00042462"/>
    <w:rsid w:val="0004274F"/>
    <w:rsid w:val="00042A8B"/>
    <w:rsid w:val="00042BA3"/>
    <w:rsid w:val="00042C54"/>
    <w:rsid w:val="00043028"/>
    <w:rsid w:val="0004316B"/>
    <w:rsid w:val="000431B3"/>
    <w:rsid w:val="000439E1"/>
    <w:rsid w:val="00043AB4"/>
    <w:rsid w:val="00044405"/>
    <w:rsid w:val="00044546"/>
    <w:rsid w:val="00044645"/>
    <w:rsid w:val="00044E38"/>
    <w:rsid w:val="00044E9C"/>
    <w:rsid w:val="00045204"/>
    <w:rsid w:val="000453B0"/>
    <w:rsid w:val="00045959"/>
    <w:rsid w:val="00045AD1"/>
    <w:rsid w:val="000460E1"/>
    <w:rsid w:val="00046107"/>
    <w:rsid w:val="000461F9"/>
    <w:rsid w:val="000464E5"/>
    <w:rsid w:val="00046E9A"/>
    <w:rsid w:val="0004747B"/>
    <w:rsid w:val="000475B9"/>
    <w:rsid w:val="00047D2C"/>
    <w:rsid w:val="00047DA8"/>
    <w:rsid w:val="00047E46"/>
    <w:rsid w:val="000501C5"/>
    <w:rsid w:val="000501F0"/>
    <w:rsid w:val="0005097D"/>
    <w:rsid w:val="00050B0B"/>
    <w:rsid w:val="00050C9E"/>
    <w:rsid w:val="00050D18"/>
    <w:rsid w:val="00050D74"/>
    <w:rsid w:val="00050EB7"/>
    <w:rsid w:val="00051373"/>
    <w:rsid w:val="00051DCF"/>
    <w:rsid w:val="00052436"/>
    <w:rsid w:val="00052CB3"/>
    <w:rsid w:val="00052FC8"/>
    <w:rsid w:val="000538C8"/>
    <w:rsid w:val="00053B80"/>
    <w:rsid w:val="00053F84"/>
    <w:rsid w:val="000540E0"/>
    <w:rsid w:val="00054283"/>
    <w:rsid w:val="00055112"/>
    <w:rsid w:val="0005512C"/>
    <w:rsid w:val="00055154"/>
    <w:rsid w:val="00055292"/>
    <w:rsid w:val="00055BC8"/>
    <w:rsid w:val="00055D7E"/>
    <w:rsid w:val="00056366"/>
    <w:rsid w:val="00056476"/>
    <w:rsid w:val="00056CEF"/>
    <w:rsid w:val="00057B0E"/>
    <w:rsid w:val="00057E43"/>
    <w:rsid w:val="00060719"/>
    <w:rsid w:val="000609BD"/>
    <w:rsid w:val="00060F2F"/>
    <w:rsid w:val="00061317"/>
    <w:rsid w:val="000613A2"/>
    <w:rsid w:val="000616CB"/>
    <w:rsid w:val="000616D5"/>
    <w:rsid w:val="000618C1"/>
    <w:rsid w:val="0006200A"/>
    <w:rsid w:val="0006211C"/>
    <w:rsid w:val="000624C8"/>
    <w:rsid w:val="00062536"/>
    <w:rsid w:val="0006293D"/>
    <w:rsid w:val="00062FB3"/>
    <w:rsid w:val="00063A34"/>
    <w:rsid w:val="00064039"/>
    <w:rsid w:val="00064260"/>
    <w:rsid w:val="00064492"/>
    <w:rsid w:val="00064702"/>
    <w:rsid w:val="0006472A"/>
    <w:rsid w:val="00064919"/>
    <w:rsid w:val="000649F2"/>
    <w:rsid w:val="00064AA0"/>
    <w:rsid w:val="00064E99"/>
    <w:rsid w:val="0006512F"/>
    <w:rsid w:val="00065151"/>
    <w:rsid w:val="000657B7"/>
    <w:rsid w:val="00065E3B"/>
    <w:rsid w:val="00066174"/>
    <w:rsid w:val="000669E3"/>
    <w:rsid w:val="00066AA4"/>
    <w:rsid w:val="00067009"/>
    <w:rsid w:val="00067875"/>
    <w:rsid w:val="000706FD"/>
    <w:rsid w:val="000709A9"/>
    <w:rsid w:val="00070BFD"/>
    <w:rsid w:val="000713E3"/>
    <w:rsid w:val="000713F0"/>
    <w:rsid w:val="00071621"/>
    <w:rsid w:val="0007186C"/>
    <w:rsid w:val="00071C60"/>
    <w:rsid w:val="00071D61"/>
    <w:rsid w:val="00072010"/>
    <w:rsid w:val="0007219A"/>
    <w:rsid w:val="00072513"/>
    <w:rsid w:val="00072E00"/>
    <w:rsid w:val="000735A7"/>
    <w:rsid w:val="0007370C"/>
    <w:rsid w:val="0007478C"/>
    <w:rsid w:val="000754EE"/>
    <w:rsid w:val="00075CCA"/>
    <w:rsid w:val="00076248"/>
    <w:rsid w:val="00077581"/>
    <w:rsid w:val="00077643"/>
    <w:rsid w:val="00077654"/>
    <w:rsid w:val="00077F08"/>
    <w:rsid w:val="00080045"/>
    <w:rsid w:val="00080652"/>
    <w:rsid w:val="00080AF8"/>
    <w:rsid w:val="000810C1"/>
    <w:rsid w:val="000810C3"/>
    <w:rsid w:val="00081AAE"/>
    <w:rsid w:val="00081AEF"/>
    <w:rsid w:val="00081E6A"/>
    <w:rsid w:val="00081EAE"/>
    <w:rsid w:val="0008207A"/>
    <w:rsid w:val="00082B26"/>
    <w:rsid w:val="00082E52"/>
    <w:rsid w:val="00083D30"/>
    <w:rsid w:val="00083F5E"/>
    <w:rsid w:val="00084248"/>
    <w:rsid w:val="000844DA"/>
    <w:rsid w:val="000847AC"/>
    <w:rsid w:val="00084913"/>
    <w:rsid w:val="000852F0"/>
    <w:rsid w:val="000856BF"/>
    <w:rsid w:val="00085BF4"/>
    <w:rsid w:val="00085EF5"/>
    <w:rsid w:val="00085F08"/>
    <w:rsid w:val="000861C1"/>
    <w:rsid w:val="000864DF"/>
    <w:rsid w:val="0008775C"/>
    <w:rsid w:val="00090457"/>
    <w:rsid w:val="00091088"/>
    <w:rsid w:val="0009131B"/>
    <w:rsid w:val="00091332"/>
    <w:rsid w:val="0009160F"/>
    <w:rsid w:val="0009215D"/>
    <w:rsid w:val="000923D7"/>
    <w:rsid w:val="00092401"/>
    <w:rsid w:val="00092704"/>
    <w:rsid w:val="00094238"/>
    <w:rsid w:val="000951E7"/>
    <w:rsid w:val="00095296"/>
    <w:rsid w:val="00095364"/>
    <w:rsid w:val="00095BC1"/>
    <w:rsid w:val="00095BE9"/>
    <w:rsid w:val="00095DBD"/>
    <w:rsid w:val="0009607E"/>
    <w:rsid w:val="000961B7"/>
    <w:rsid w:val="0009650F"/>
    <w:rsid w:val="0009655A"/>
    <w:rsid w:val="00096CB6"/>
    <w:rsid w:val="00097204"/>
    <w:rsid w:val="000974B3"/>
    <w:rsid w:val="000979C0"/>
    <w:rsid w:val="00097DF3"/>
    <w:rsid w:val="000A06F3"/>
    <w:rsid w:val="000A0A69"/>
    <w:rsid w:val="000A0F75"/>
    <w:rsid w:val="000A1116"/>
    <w:rsid w:val="000A1374"/>
    <w:rsid w:val="000A1A8A"/>
    <w:rsid w:val="000A1E29"/>
    <w:rsid w:val="000A227F"/>
    <w:rsid w:val="000A2611"/>
    <w:rsid w:val="000A2728"/>
    <w:rsid w:val="000A2F52"/>
    <w:rsid w:val="000A3659"/>
    <w:rsid w:val="000A37C9"/>
    <w:rsid w:val="000A3F2F"/>
    <w:rsid w:val="000A3FD5"/>
    <w:rsid w:val="000A4265"/>
    <w:rsid w:val="000A440A"/>
    <w:rsid w:val="000A527A"/>
    <w:rsid w:val="000A53B3"/>
    <w:rsid w:val="000A5651"/>
    <w:rsid w:val="000A59F1"/>
    <w:rsid w:val="000A5A03"/>
    <w:rsid w:val="000A5DCA"/>
    <w:rsid w:val="000A6556"/>
    <w:rsid w:val="000A698F"/>
    <w:rsid w:val="000A6A36"/>
    <w:rsid w:val="000A6AD0"/>
    <w:rsid w:val="000A7583"/>
    <w:rsid w:val="000A7625"/>
    <w:rsid w:val="000A773E"/>
    <w:rsid w:val="000A78DE"/>
    <w:rsid w:val="000A7A23"/>
    <w:rsid w:val="000A7D98"/>
    <w:rsid w:val="000B038F"/>
    <w:rsid w:val="000B09D8"/>
    <w:rsid w:val="000B0A12"/>
    <w:rsid w:val="000B0C22"/>
    <w:rsid w:val="000B0E40"/>
    <w:rsid w:val="000B181D"/>
    <w:rsid w:val="000B1EDA"/>
    <w:rsid w:val="000B1F55"/>
    <w:rsid w:val="000B2068"/>
    <w:rsid w:val="000B2095"/>
    <w:rsid w:val="000B21C0"/>
    <w:rsid w:val="000B2888"/>
    <w:rsid w:val="000B2B18"/>
    <w:rsid w:val="000B31ED"/>
    <w:rsid w:val="000B351E"/>
    <w:rsid w:val="000B377C"/>
    <w:rsid w:val="000B43C9"/>
    <w:rsid w:val="000B4403"/>
    <w:rsid w:val="000B4917"/>
    <w:rsid w:val="000B4A05"/>
    <w:rsid w:val="000B5137"/>
    <w:rsid w:val="000B5445"/>
    <w:rsid w:val="000B6252"/>
    <w:rsid w:val="000B62B8"/>
    <w:rsid w:val="000B6D8B"/>
    <w:rsid w:val="000B6F05"/>
    <w:rsid w:val="000B7279"/>
    <w:rsid w:val="000B790E"/>
    <w:rsid w:val="000B7B77"/>
    <w:rsid w:val="000B7CC9"/>
    <w:rsid w:val="000C0139"/>
    <w:rsid w:val="000C0583"/>
    <w:rsid w:val="000C0AD0"/>
    <w:rsid w:val="000C10EC"/>
    <w:rsid w:val="000C1167"/>
    <w:rsid w:val="000C1A40"/>
    <w:rsid w:val="000C1BEE"/>
    <w:rsid w:val="000C3287"/>
    <w:rsid w:val="000C3401"/>
    <w:rsid w:val="000C34B5"/>
    <w:rsid w:val="000C3B6E"/>
    <w:rsid w:val="000C3EE1"/>
    <w:rsid w:val="000C4B4E"/>
    <w:rsid w:val="000C4EA5"/>
    <w:rsid w:val="000C4F5E"/>
    <w:rsid w:val="000C57B2"/>
    <w:rsid w:val="000C599B"/>
    <w:rsid w:val="000C5A4C"/>
    <w:rsid w:val="000C6343"/>
    <w:rsid w:val="000C650B"/>
    <w:rsid w:val="000C653F"/>
    <w:rsid w:val="000C6732"/>
    <w:rsid w:val="000C6AA0"/>
    <w:rsid w:val="000C6B69"/>
    <w:rsid w:val="000C6C1F"/>
    <w:rsid w:val="000C71D0"/>
    <w:rsid w:val="000C746F"/>
    <w:rsid w:val="000C77E8"/>
    <w:rsid w:val="000C7919"/>
    <w:rsid w:val="000C7A8E"/>
    <w:rsid w:val="000C7AAD"/>
    <w:rsid w:val="000D03ED"/>
    <w:rsid w:val="000D046B"/>
    <w:rsid w:val="000D0C4E"/>
    <w:rsid w:val="000D0F67"/>
    <w:rsid w:val="000D1559"/>
    <w:rsid w:val="000D1AA4"/>
    <w:rsid w:val="000D1B07"/>
    <w:rsid w:val="000D1BD4"/>
    <w:rsid w:val="000D20EE"/>
    <w:rsid w:val="000D2107"/>
    <w:rsid w:val="000D2111"/>
    <w:rsid w:val="000D2290"/>
    <w:rsid w:val="000D26E9"/>
    <w:rsid w:val="000D27D0"/>
    <w:rsid w:val="000D2F04"/>
    <w:rsid w:val="000D33AA"/>
    <w:rsid w:val="000D3D4E"/>
    <w:rsid w:val="000D6343"/>
    <w:rsid w:val="000D6698"/>
    <w:rsid w:val="000D69DA"/>
    <w:rsid w:val="000D73DD"/>
    <w:rsid w:val="000D748B"/>
    <w:rsid w:val="000D7D3B"/>
    <w:rsid w:val="000D7D4A"/>
    <w:rsid w:val="000E0A21"/>
    <w:rsid w:val="000E0DAE"/>
    <w:rsid w:val="000E0E00"/>
    <w:rsid w:val="000E1547"/>
    <w:rsid w:val="000E1DA9"/>
    <w:rsid w:val="000E1F31"/>
    <w:rsid w:val="000E2258"/>
    <w:rsid w:val="000E2365"/>
    <w:rsid w:val="000E256C"/>
    <w:rsid w:val="000E2FBB"/>
    <w:rsid w:val="000E36E6"/>
    <w:rsid w:val="000E3AD7"/>
    <w:rsid w:val="000E3E26"/>
    <w:rsid w:val="000E3EA5"/>
    <w:rsid w:val="000E3EE4"/>
    <w:rsid w:val="000E3F59"/>
    <w:rsid w:val="000E4BE4"/>
    <w:rsid w:val="000E4F5F"/>
    <w:rsid w:val="000E4FD2"/>
    <w:rsid w:val="000E5747"/>
    <w:rsid w:val="000E5916"/>
    <w:rsid w:val="000E6A2D"/>
    <w:rsid w:val="000E6A33"/>
    <w:rsid w:val="000E73DE"/>
    <w:rsid w:val="000E7C60"/>
    <w:rsid w:val="000F0339"/>
    <w:rsid w:val="000F0EA0"/>
    <w:rsid w:val="000F102B"/>
    <w:rsid w:val="000F19F1"/>
    <w:rsid w:val="000F1B99"/>
    <w:rsid w:val="000F2231"/>
    <w:rsid w:val="000F2423"/>
    <w:rsid w:val="000F348C"/>
    <w:rsid w:val="000F4B31"/>
    <w:rsid w:val="000F4F1F"/>
    <w:rsid w:val="000F51B4"/>
    <w:rsid w:val="000F5469"/>
    <w:rsid w:val="000F54C0"/>
    <w:rsid w:val="000F57FE"/>
    <w:rsid w:val="000F60F4"/>
    <w:rsid w:val="000F6111"/>
    <w:rsid w:val="000F6447"/>
    <w:rsid w:val="000F6BA9"/>
    <w:rsid w:val="000F6C2D"/>
    <w:rsid w:val="000F6C35"/>
    <w:rsid w:val="000F710C"/>
    <w:rsid w:val="000F77F3"/>
    <w:rsid w:val="000F78A0"/>
    <w:rsid w:val="000F7EE9"/>
    <w:rsid w:val="001006F6"/>
    <w:rsid w:val="00100A5D"/>
    <w:rsid w:val="00100B23"/>
    <w:rsid w:val="00100DBE"/>
    <w:rsid w:val="00100EDF"/>
    <w:rsid w:val="001018EC"/>
    <w:rsid w:val="00102275"/>
    <w:rsid w:val="00103603"/>
    <w:rsid w:val="00103FB7"/>
    <w:rsid w:val="0010426F"/>
    <w:rsid w:val="00104BBB"/>
    <w:rsid w:val="0010524E"/>
    <w:rsid w:val="0010592A"/>
    <w:rsid w:val="00106304"/>
    <w:rsid w:val="00107015"/>
    <w:rsid w:val="001070AF"/>
    <w:rsid w:val="001070B7"/>
    <w:rsid w:val="001074BE"/>
    <w:rsid w:val="00107594"/>
    <w:rsid w:val="00107C02"/>
    <w:rsid w:val="00110523"/>
    <w:rsid w:val="00110A49"/>
    <w:rsid w:val="00110F73"/>
    <w:rsid w:val="00111507"/>
    <w:rsid w:val="00111628"/>
    <w:rsid w:val="00111909"/>
    <w:rsid w:val="0011199E"/>
    <w:rsid w:val="001120D8"/>
    <w:rsid w:val="0011270F"/>
    <w:rsid w:val="00112975"/>
    <w:rsid w:val="00112CAF"/>
    <w:rsid w:val="00112FDD"/>
    <w:rsid w:val="00113308"/>
    <w:rsid w:val="00113346"/>
    <w:rsid w:val="001136D7"/>
    <w:rsid w:val="00114397"/>
    <w:rsid w:val="001145D7"/>
    <w:rsid w:val="00114866"/>
    <w:rsid w:val="0011488D"/>
    <w:rsid w:val="0011504B"/>
    <w:rsid w:val="00115620"/>
    <w:rsid w:val="00115D5E"/>
    <w:rsid w:val="00115DEE"/>
    <w:rsid w:val="00116F1F"/>
    <w:rsid w:val="001173A3"/>
    <w:rsid w:val="0011753D"/>
    <w:rsid w:val="0011772A"/>
    <w:rsid w:val="00117B7B"/>
    <w:rsid w:val="00117DD7"/>
    <w:rsid w:val="0012010C"/>
    <w:rsid w:val="00120449"/>
    <w:rsid w:val="00120468"/>
    <w:rsid w:val="001205DE"/>
    <w:rsid w:val="00120C0A"/>
    <w:rsid w:val="00120CB9"/>
    <w:rsid w:val="00121028"/>
    <w:rsid w:val="00121463"/>
    <w:rsid w:val="00121579"/>
    <w:rsid w:val="00121857"/>
    <w:rsid w:val="00121941"/>
    <w:rsid w:val="00121D08"/>
    <w:rsid w:val="00121D48"/>
    <w:rsid w:val="00121D5F"/>
    <w:rsid w:val="00122284"/>
    <w:rsid w:val="00122588"/>
    <w:rsid w:val="00122707"/>
    <w:rsid w:val="0012277E"/>
    <w:rsid w:val="00122836"/>
    <w:rsid w:val="00123277"/>
    <w:rsid w:val="001233A4"/>
    <w:rsid w:val="001233C3"/>
    <w:rsid w:val="0012384F"/>
    <w:rsid w:val="00123EF5"/>
    <w:rsid w:val="001240DC"/>
    <w:rsid w:val="00124435"/>
    <w:rsid w:val="00124451"/>
    <w:rsid w:val="0012463B"/>
    <w:rsid w:val="00124953"/>
    <w:rsid w:val="00124C5E"/>
    <w:rsid w:val="00125175"/>
    <w:rsid w:val="00125365"/>
    <w:rsid w:val="0012547A"/>
    <w:rsid w:val="00125A53"/>
    <w:rsid w:val="00125F36"/>
    <w:rsid w:val="0012640B"/>
    <w:rsid w:val="001265CE"/>
    <w:rsid w:val="00126A2E"/>
    <w:rsid w:val="00126B8D"/>
    <w:rsid w:val="00127058"/>
    <w:rsid w:val="0012722D"/>
    <w:rsid w:val="0012767B"/>
    <w:rsid w:val="00127AC6"/>
    <w:rsid w:val="00127DB4"/>
    <w:rsid w:val="00130617"/>
    <w:rsid w:val="00130644"/>
    <w:rsid w:val="0013125C"/>
    <w:rsid w:val="001320E9"/>
    <w:rsid w:val="001322A1"/>
    <w:rsid w:val="0013296E"/>
    <w:rsid w:val="00132E41"/>
    <w:rsid w:val="00132E53"/>
    <w:rsid w:val="0013300F"/>
    <w:rsid w:val="0013318B"/>
    <w:rsid w:val="001338ED"/>
    <w:rsid w:val="0013411C"/>
    <w:rsid w:val="00134827"/>
    <w:rsid w:val="00134D60"/>
    <w:rsid w:val="00134FB3"/>
    <w:rsid w:val="00135109"/>
    <w:rsid w:val="00135500"/>
    <w:rsid w:val="00135855"/>
    <w:rsid w:val="0013645D"/>
    <w:rsid w:val="001366EF"/>
    <w:rsid w:val="00136730"/>
    <w:rsid w:val="00136E51"/>
    <w:rsid w:val="00136FAB"/>
    <w:rsid w:val="00137303"/>
    <w:rsid w:val="001373CA"/>
    <w:rsid w:val="00137777"/>
    <w:rsid w:val="001378C4"/>
    <w:rsid w:val="00140066"/>
    <w:rsid w:val="00140170"/>
    <w:rsid w:val="001401E7"/>
    <w:rsid w:val="00140E92"/>
    <w:rsid w:val="00141050"/>
    <w:rsid w:val="00141AAA"/>
    <w:rsid w:val="00141EC2"/>
    <w:rsid w:val="0014211F"/>
    <w:rsid w:val="0014234A"/>
    <w:rsid w:val="0014271C"/>
    <w:rsid w:val="00142AAC"/>
    <w:rsid w:val="00142C46"/>
    <w:rsid w:val="00143A00"/>
    <w:rsid w:val="00143CDB"/>
    <w:rsid w:val="00144BF1"/>
    <w:rsid w:val="00144BF3"/>
    <w:rsid w:val="00144F78"/>
    <w:rsid w:val="00145325"/>
    <w:rsid w:val="00146068"/>
    <w:rsid w:val="0014616A"/>
    <w:rsid w:val="0014648A"/>
    <w:rsid w:val="00146910"/>
    <w:rsid w:val="00146F3B"/>
    <w:rsid w:val="00147D42"/>
    <w:rsid w:val="00147DD6"/>
    <w:rsid w:val="00150188"/>
    <w:rsid w:val="00150281"/>
    <w:rsid w:val="001505DB"/>
    <w:rsid w:val="001506C7"/>
    <w:rsid w:val="001511A2"/>
    <w:rsid w:val="00151535"/>
    <w:rsid w:val="00151E9D"/>
    <w:rsid w:val="00152006"/>
    <w:rsid w:val="00152110"/>
    <w:rsid w:val="001522A4"/>
    <w:rsid w:val="00152832"/>
    <w:rsid w:val="00152AFF"/>
    <w:rsid w:val="00152F3A"/>
    <w:rsid w:val="00153465"/>
    <w:rsid w:val="001538F8"/>
    <w:rsid w:val="00153B8F"/>
    <w:rsid w:val="00153CE4"/>
    <w:rsid w:val="00153FEE"/>
    <w:rsid w:val="00154139"/>
    <w:rsid w:val="0015548C"/>
    <w:rsid w:val="001557E5"/>
    <w:rsid w:val="001557FC"/>
    <w:rsid w:val="00155B28"/>
    <w:rsid w:val="0015605B"/>
    <w:rsid w:val="00156423"/>
    <w:rsid w:val="00156565"/>
    <w:rsid w:val="00156D2C"/>
    <w:rsid w:val="0015729D"/>
    <w:rsid w:val="00157526"/>
    <w:rsid w:val="001576E0"/>
    <w:rsid w:val="00157C34"/>
    <w:rsid w:val="00160B93"/>
    <w:rsid w:val="001612F8"/>
    <w:rsid w:val="00161DA0"/>
    <w:rsid w:val="00162324"/>
    <w:rsid w:val="0016236F"/>
    <w:rsid w:val="00163591"/>
    <w:rsid w:val="001637E4"/>
    <w:rsid w:val="001638A1"/>
    <w:rsid w:val="00163A88"/>
    <w:rsid w:val="00163DB7"/>
    <w:rsid w:val="001644F9"/>
    <w:rsid w:val="001645F1"/>
    <w:rsid w:val="0016516C"/>
    <w:rsid w:val="00165478"/>
    <w:rsid w:val="001656CB"/>
    <w:rsid w:val="00165AEC"/>
    <w:rsid w:val="00165C0D"/>
    <w:rsid w:val="00165D57"/>
    <w:rsid w:val="00165F24"/>
    <w:rsid w:val="001660EA"/>
    <w:rsid w:val="00166135"/>
    <w:rsid w:val="00166F50"/>
    <w:rsid w:val="00167370"/>
    <w:rsid w:val="001676BB"/>
    <w:rsid w:val="001676D6"/>
    <w:rsid w:val="00167BA5"/>
    <w:rsid w:val="00167CA5"/>
    <w:rsid w:val="00167EA9"/>
    <w:rsid w:val="00167EC1"/>
    <w:rsid w:val="00167F3B"/>
    <w:rsid w:val="00170508"/>
    <w:rsid w:val="0017087D"/>
    <w:rsid w:val="001708A4"/>
    <w:rsid w:val="00170C39"/>
    <w:rsid w:val="00170C3B"/>
    <w:rsid w:val="00170ECE"/>
    <w:rsid w:val="00171A96"/>
    <w:rsid w:val="00171B03"/>
    <w:rsid w:val="00171F87"/>
    <w:rsid w:val="001729E3"/>
    <w:rsid w:val="00172A27"/>
    <w:rsid w:val="00172B0F"/>
    <w:rsid w:val="00172F9E"/>
    <w:rsid w:val="001731D7"/>
    <w:rsid w:val="00173F53"/>
    <w:rsid w:val="00173FD8"/>
    <w:rsid w:val="001746D7"/>
    <w:rsid w:val="001747D1"/>
    <w:rsid w:val="0017480E"/>
    <w:rsid w:val="001750D7"/>
    <w:rsid w:val="001755D9"/>
    <w:rsid w:val="001756FA"/>
    <w:rsid w:val="00176012"/>
    <w:rsid w:val="001760D9"/>
    <w:rsid w:val="00176274"/>
    <w:rsid w:val="0017668E"/>
    <w:rsid w:val="00176DE0"/>
    <w:rsid w:val="00177005"/>
    <w:rsid w:val="0017700B"/>
    <w:rsid w:val="0017729E"/>
    <w:rsid w:val="001776B1"/>
    <w:rsid w:val="00177834"/>
    <w:rsid w:val="001778DE"/>
    <w:rsid w:val="00177E6E"/>
    <w:rsid w:val="00177F20"/>
    <w:rsid w:val="001800A0"/>
    <w:rsid w:val="001801B0"/>
    <w:rsid w:val="001801B5"/>
    <w:rsid w:val="0018057F"/>
    <w:rsid w:val="00181326"/>
    <w:rsid w:val="001824A0"/>
    <w:rsid w:val="00182AF4"/>
    <w:rsid w:val="0018311E"/>
    <w:rsid w:val="00183347"/>
    <w:rsid w:val="001834F0"/>
    <w:rsid w:val="001836ED"/>
    <w:rsid w:val="00183B8B"/>
    <w:rsid w:val="00183DC5"/>
    <w:rsid w:val="00183F35"/>
    <w:rsid w:val="00184344"/>
    <w:rsid w:val="0018516C"/>
    <w:rsid w:val="00185355"/>
    <w:rsid w:val="0018575C"/>
    <w:rsid w:val="0018629F"/>
    <w:rsid w:val="0018741F"/>
    <w:rsid w:val="00187B45"/>
    <w:rsid w:val="00190385"/>
    <w:rsid w:val="00190A2F"/>
    <w:rsid w:val="00190BD3"/>
    <w:rsid w:val="00190CF8"/>
    <w:rsid w:val="001918B5"/>
    <w:rsid w:val="00191B90"/>
    <w:rsid w:val="00191BAE"/>
    <w:rsid w:val="00191C95"/>
    <w:rsid w:val="001920B7"/>
    <w:rsid w:val="00192434"/>
    <w:rsid w:val="001929F4"/>
    <w:rsid w:val="00192B2B"/>
    <w:rsid w:val="001938F4"/>
    <w:rsid w:val="00193C25"/>
    <w:rsid w:val="00194AF0"/>
    <w:rsid w:val="00194D1E"/>
    <w:rsid w:val="00194F8A"/>
    <w:rsid w:val="001953B0"/>
    <w:rsid w:val="00195966"/>
    <w:rsid w:val="001959A7"/>
    <w:rsid w:val="001966E3"/>
    <w:rsid w:val="001967B2"/>
    <w:rsid w:val="0019693B"/>
    <w:rsid w:val="00196C77"/>
    <w:rsid w:val="00196E6A"/>
    <w:rsid w:val="00197663"/>
    <w:rsid w:val="00197B07"/>
    <w:rsid w:val="00197E22"/>
    <w:rsid w:val="001A090E"/>
    <w:rsid w:val="001A11AA"/>
    <w:rsid w:val="001A1631"/>
    <w:rsid w:val="001A1C1F"/>
    <w:rsid w:val="001A1D0A"/>
    <w:rsid w:val="001A2C32"/>
    <w:rsid w:val="001A2D03"/>
    <w:rsid w:val="001A3185"/>
    <w:rsid w:val="001A323E"/>
    <w:rsid w:val="001A3514"/>
    <w:rsid w:val="001A38D1"/>
    <w:rsid w:val="001A3DFF"/>
    <w:rsid w:val="001A436B"/>
    <w:rsid w:val="001A4B97"/>
    <w:rsid w:val="001A4DF9"/>
    <w:rsid w:val="001A4FD1"/>
    <w:rsid w:val="001A56E7"/>
    <w:rsid w:val="001A598A"/>
    <w:rsid w:val="001A5A1C"/>
    <w:rsid w:val="001A609F"/>
    <w:rsid w:val="001A6E0C"/>
    <w:rsid w:val="001A788A"/>
    <w:rsid w:val="001A7F6A"/>
    <w:rsid w:val="001B0151"/>
    <w:rsid w:val="001B033C"/>
    <w:rsid w:val="001B04E2"/>
    <w:rsid w:val="001B0824"/>
    <w:rsid w:val="001B0BC9"/>
    <w:rsid w:val="001B0D7B"/>
    <w:rsid w:val="001B12D3"/>
    <w:rsid w:val="001B17ED"/>
    <w:rsid w:val="001B1D1E"/>
    <w:rsid w:val="001B1E6B"/>
    <w:rsid w:val="001B2185"/>
    <w:rsid w:val="001B2368"/>
    <w:rsid w:val="001B2AA2"/>
    <w:rsid w:val="001B2BE1"/>
    <w:rsid w:val="001B2D41"/>
    <w:rsid w:val="001B31A2"/>
    <w:rsid w:val="001B33AD"/>
    <w:rsid w:val="001B3BF2"/>
    <w:rsid w:val="001B4036"/>
    <w:rsid w:val="001B45B1"/>
    <w:rsid w:val="001B55C9"/>
    <w:rsid w:val="001B58E5"/>
    <w:rsid w:val="001B596F"/>
    <w:rsid w:val="001B5A76"/>
    <w:rsid w:val="001B5D8F"/>
    <w:rsid w:val="001B5E28"/>
    <w:rsid w:val="001B607E"/>
    <w:rsid w:val="001B6F2B"/>
    <w:rsid w:val="001B6F3D"/>
    <w:rsid w:val="001B6FF3"/>
    <w:rsid w:val="001B7068"/>
    <w:rsid w:val="001B73D3"/>
    <w:rsid w:val="001B7AD5"/>
    <w:rsid w:val="001B7AF0"/>
    <w:rsid w:val="001B7BB2"/>
    <w:rsid w:val="001C0073"/>
    <w:rsid w:val="001C058C"/>
    <w:rsid w:val="001C0E71"/>
    <w:rsid w:val="001C1481"/>
    <w:rsid w:val="001C1589"/>
    <w:rsid w:val="001C17A2"/>
    <w:rsid w:val="001C19E4"/>
    <w:rsid w:val="001C1E70"/>
    <w:rsid w:val="001C237E"/>
    <w:rsid w:val="001C2D65"/>
    <w:rsid w:val="001C2DE5"/>
    <w:rsid w:val="001C31D4"/>
    <w:rsid w:val="001C32C1"/>
    <w:rsid w:val="001C3AB4"/>
    <w:rsid w:val="001C4A4C"/>
    <w:rsid w:val="001C4CD9"/>
    <w:rsid w:val="001C4D1D"/>
    <w:rsid w:val="001C4F3C"/>
    <w:rsid w:val="001C500B"/>
    <w:rsid w:val="001C50F6"/>
    <w:rsid w:val="001C51D4"/>
    <w:rsid w:val="001C5419"/>
    <w:rsid w:val="001C5D48"/>
    <w:rsid w:val="001C5EFD"/>
    <w:rsid w:val="001C6093"/>
    <w:rsid w:val="001C6203"/>
    <w:rsid w:val="001C63DF"/>
    <w:rsid w:val="001C64F6"/>
    <w:rsid w:val="001C6762"/>
    <w:rsid w:val="001C6B6C"/>
    <w:rsid w:val="001C6D0C"/>
    <w:rsid w:val="001C6F07"/>
    <w:rsid w:val="001C6F3C"/>
    <w:rsid w:val="001C6F8E"/>
    <w:rsid w:val="001C6FDB"/>
    <w:rsid w:val="001C70E9"/>
    <w:rsid w:val="001C7110"/>
    <w:rsid w:val="001C799C"/>
    <w:rsid w:val="001C7D0D"/>
    <w:rsid w:val="001D0062"/>
    <w:rsid w:val="001D006A"/>
    <w:rsid w:val="001D0258"/>
    <w:rsid w:val="001D02AB"/>
    <w:rsid w:val="001D0727"/>
    <w:rsid w:val="001D0E4D"/>
    <w:rsid w:val="001D1A22"/>
    <w:rsid w:val="001D1A89"/>
    <w:rsid w:val="001D1B38"/>
    <w:rsid w:val="001D237E"/>
    <w:rsid w:val="001D23D2"/>
    <w:rsid w:val="001D25FE"/>
    <w:rsid w:val="001D33AC"/>
    <w:rsid w:val="001D33AE"/>
    <w:rsid w:val="001D3A5B"/>
    <w:rsid w:val="001D3A98"/>
    <w:rsid w:val="001D3BAC"/>
    <w:rsid w:val="001D44F1"/>
    <w:rsid w:val="001D48FD"/>
    <w:rsid w:val="001D5023"/>
    <w:rsid w:val="001D6095"/>
    <w:rsid w:val="001D62FB"/>
    <w:rsid w:val="001D69B3"/>
    <w:rsid w:val="001D6D1D"/>
    <w:rsid w:val="001D7B84"/>
    <w:rsid w:val="001E0252"/>
    <w:rsid w:val="001E0962"/>
    <w:rsid w:val="001E0AD3"/>
    <w:rsid w:val="001E0D99"/>
    <w:rsid w:val="001E104D"/>
    <w:rsid w:val="001E154B"/>
    <w:rsid w:val="001E1C0B"/>
    <w:rsid w:val="001E1C8C"/>
    <w:rsid w:val="001E1D60"/>
    <w:rsid w:val="001E1F43"/>
    <w:rsid w:val="001E2E68"/>
    <w:rsid w:val="001E31D9"/>
    <w:rsid w:val="001E3478"/>
    <w:rsid w:val="001E35A3"/>
    <w:rsid w:val="001E3B0D"/>
    <w:rsid w:val="001E3CA7"/>
    <w:rsid w:val="001E3D4A"/>
    <w:rsid w:val="001E403B"/>
    <w:rsid w:val="001E4D70"/>
    <w:rsid w:val="001E57DB"/>
    <w:rsid w:val="001E593C"/>
    <w:rsid w:val="001E6192"/>
    <w:rsid w:val="001E625A"/>
    <w:rsid w:val="001E6846"/>
    <w:rsid w:val="001E7300"/>
    <w:rsid w:val="001E768A"/>
    <w:rsid w:val="001F094F"/>
    <w:rsid w:val="001F0A57"/>
    <w:rsid w:val="001F0B23"/>
    <w:rsid w:val="001F0FB2"/>
    <w:rsid w:val="001F1D01"/>
    <w:rsid w:val="001F2344"/>
    <w:rsid w:val="001F2712"/>
    <w:rsid w:val="001F2C80"/>
    <w:rsid w:val="001F33E3"/>
    <w:rsid w:val="001F369A"/>
    <w:rsid w:val="001F3EB4"/>
    <w:rsid w:val="001F40E6"/>
    <w:rsid w:val="001F40F7"/>
    <w:rsid w:val="001F4231"/>
    <w:rsid w:val="001F4430"/>
    <w:rsid w:val="001F5587"/>
    <w:rsid w:val="001F5691"/>
    <w:rsid w:val="001F5A01"/>
    <w:rsid w:val="001F5C73"/>
    <w:rsid w:val="001F67A0"/>
    <w:rsid w:val="001F67EE"/>
    <w:rsid w:val="001F6F34"/>
    <w:rsid w:val="001F6F98"/>
    <w:rsid w:val="001F71BC"/>
    <w:rsid w:val="001F77FF"/>
    <w:rsid w:val="001F7840"/>
    <w:rsid w:val="001F7ADD"/>
    <w:rsid w:val="001F7BD2"/>
    <w:rsid w:val="001F7DB9"/>
    <w:rsid w:val="00200168"/>
    <w:rsid w:val="002001DA"/>
    <w:rsid w:val="0020030F"/>
    <w:rsid w:val="00200C0F"/>
    <w:rsid w:val="00200FFA"/>
    <w:rsid w:val="00201B0D"/>
    <w:rsid w:val="00201DA3"/>
    <w:rsid w:val="00201E49"/>
    <w:rsid w:val="0020208A"/>
    <w:rsid w:val="002021AD"/>
    <w:rsid w:val="0020252D"/>
    <w:rsid w:val="00202DF0"/>
    <w:rsid w:val="0020368F"/>
    <w:rsid w:val="00203839"/>
    <w:rsid w:val="00203ACD"/>
    <w:rsid w:val="00203B32"/>
    <w:rsid w:val="00203BA9"/>
    <w:rsid w:val="00203C6F"/>
    <w:rsid w:val="00203CE4"/>
    <w:rsid w:val="00203F5C"/>
    <w:rsid w:val="002043A5"/>
    <w:rsid w:val="00204448"/>
    <w:rsid w:val="002044AE"/>
    <w:rsid w:val="002046A3"/>
    <w:rsid w:val="0020482B"/>
    <w:rsid w:val="00204ED3"/>
    <w:rsid w:val="00205553"/>
    <w:rsid w:val="002055AA"/>
    <w:rsid w:val="00205D0B"/>
    <w:rsid w:val="00206086"/>
    <w:rsid w:val="00206942"/>
    <w:rsid w:val="002069C5"/>
    <w:rsid w:val="002070A4"/>
    <w:rsid w:val="002078AC"/>
    <w:rsid w:val="0020790F"/>
    <w:rsid w:val="00207B40"/>
    <w:rsid w:val="00207E63"/>
    <w:rsid w:val="00207ED8"/>
    <w:rsid w:val="00210039"/>
    <w:rsid w:val="002104BB"/>
    <w:rsid w:val="00210E55"/>
    <w:rsid w:val="00211104"/>
    <w:rsid w:val="002113A4"/>
    <w:rsid w:val="002115F8"/>
    <w:rsid w:val="0021167D"/>
    <w:rsid w:val="002117D3"/>
    <w:rsid w:val="00211A14"/>
    <w:rsid w:val="00211CF3"/>
    <w:rsid w:val="002124FD"/>
    <w:rsid w:val="00212E4C"/>
    <w:rsid w:val="00213249"/>
    <w:rsid w:val="002140E7"/>
    <w:rsid w:val="00214332"/>
    <w:rsid w:val="002143CD"/>
    <w:rsid w:val="0021468C"/>
    <w:rsid w:val="00214A22"/>
    <w:rsid w:val="00215215"/>
    <w:rsid w:val="002155BF"/>
    <w:rsid w:val="00215EAD"/>
    <w:rsid w:val="00215ED2"/>
    <w:rsid w:val="002162E1"/>
    <w:rsid w:val="00216546"/>
    <w:rsid w:val="00216D4F"/>
    <w:rsid w:val="00217483"/>
    <w:rsid w:val="00220284"/>
    <w:rsid w:val="00220D1B"/>
    <w:rsid w:val="00220EF1"/>
    <w:rsid w:val="002210D5"/>
    <w:rsid w:val="00221DF0"/>
    <w:rsid w:val="00222644"/>
    <w:rsid w:val="0022286F"/>
    <w:rsid w:val="0022332E"/>
    <w:rsid w:val="00223EC5"/>
    <w:rsid w:val="0022402A"/>
    <w:rsid w:val="00224126"/>
    <w:rsid w:val="002245D4"/>
    <w:rsid w:val="00224687"/>
    <w:rsid w:val="002248CB"/>
    <w:rsid w:val="00224E6F"/>
    <w:rsid w:val="00225983"/>
    <w:rsid w:val="00225CD5"/>
    <w:rsid w:val="00226924"/>
    <w:rsid w:val="002269A6"/>
    <w:rsid w:val="00226C61"/>
    <w:rsid w:val="00227598"/>
    <w:rsid w:val="00227D91"/>
    <w:rsid w:val="0023053F"/>
    <w:rsid w:val="00230AF1"/>
    <w:rsid w:val="00230BBB"/>
    <w:rsid w:val="00230C1E"/>
    <w:rsid w:val="00230C4E"/>
    <w:rsid w:val="00231B40"/>
    <w:rsid w:val="00231F87"/>
    <w:rsid w:val="00232210"/>
    <w:rsid w:val="00232391"/>
    <w:rsid w:val="00232B0C"/>
    <w:rsid w:val="00232B80"/>
    <w:rsid w:val="00232EAC"/>
    <w:rsid w:val="00233516"/>
    <w:rsid w:val="00233978"/>
    <w:rsid w:val="0023453B"/>
    <w:rsid w:val="00235322"/>
    <w:rsid w:val="002354E3"/>
    <w:rsid w:val="002358C5"/>
    <w:rsid w:val="002363AA"/>
    <w:rsid w:val="00236716"/>
    <w:rsid w:val="0023722C"/>
    <w:rsid w:val="00237362"/>
    <w:rsid w:val="00237570"/>
    <w:rsid w:val="002378E2"/>
    <w:rsid w:val="0023799F"/>
    <w:rsid w:val="00237AFC"/>
    <w:rsid w:val="00237CD4"/>
    <w:rsid w:val="00237F54"/>
    <w:rsid w:val="0024006F"/>
    <w:rsid w:val="00240367"/>
    <w:rsid w:val="0024037B"/>
    <w:rsid w:val="00240828"/>
    <w:rsid w:val="00240A21"/>
    <w:rsid w:val="00240CAD"/>
    <w:rsid w:val="00240FDC"/>
    <w:rsid w:val="00241371"/>
    <w:rsid w:val="002419F8"/>
    <w:rsid w:val="00241B6B"/>
    <w:rsid w:val="00241F6A"/>
    <w:rsid w:val="002424D1"/>
    <w:rsid w:val="0024318C"/>
    <w:rsid w:val="002437D2"/>
    <w:rsid w:val="00243A1F"/>
    <w:rsid w:val="0024411B"/>
    <w:rsid w:val="002443B3"/>
    <w:rsid w:val="0024476C"/>
    <w:rsid w:val="00245084"/>
    <w:rsid w:val="00245FA0"/>
    <w:rsid w:val="0024609A"/>
    <w:rsid w:val="00246626"/>
    <w:rsid w:val="00246B39"/>
    <w:rsid w:val="00247082"/>
    <w:rsid w:val="002479CB"/>
    <w:rsid w:val="00247AC2"/>
    <w:rsid w:val="00247BD9"/>
    <w:rsid w:val="00247BED"/>
    <w:rsid w:val="00247D9A"/>
    <w:rsid w:val="00250523"/>
    <w:rsid w:val="002505EB"/>
    <w:rsid w:val="00250858"/>
    <w:rsid w:val="0025097E"/>
    <w:rsid w:val="002509F5"/>
    <w:rsid w:val="00250D8F"/>
    <w:rsid w:val="00250E1A"/>
    <w:rsid w:val="00250E20"/>
    <w:rsid w:val="002518AE"/>
    <w:rsid w:val="00251962"/>
    <w:rsid w:val="0025260F"/>
    <w:rsid w:val="00252B66"/>
    <w:rsid w:val="002532BF"/>
    <w:rsid w:val="00254145"/>
    <w:rsid w:val="0025422A"/>
    <w:rsid w:val="0025450A"/>
    <w:rsid w:val="002554B0"/>
    <w:rsid w:val="00255632"/>
    <w:rsid w:val="002559B1"/>
    <w:rsid w:val="00255A32"/>
    <w:rsid w:val="00255B28"/>
    <w:rsid w:val="00255B6A"/>
    <w:rsid w:val="00255B8C"/>
    <w:rsid w:val="00255EDD"/>
    <w:rsid w:val="00255F2B"/>
    <w:rsid w:val="0025655F"/>
    <w:rsid w:val="00256BEC"/>
    <w:rsid w:val="002577A5"/>
    <w:rsid w:val="00257BDC"/>
    <w:rsid w:val="00257FB4"/>
    <w:rsid w:val="00260500"/>
    <w:rsid w:val="00260BBC"/>
    <w:rsid w:val="00260F94"/>
    <w:rsid w:val="002611F5"/>
    <w:rsid w:val="002617BF"/>
    <w:rsid w:val="00262328"/>
    <w:rsid w:val="0026244D"/>
    <w:rsid w:val="00262919"/>
    <w:rsid w:val="00262D5E"/>
    <w:rsid w:val="00263510"/>
    <w:rsid w:val="00263589"/>
    <w:rsid w:val="002637A2"/>
    <w:rsid w:val="00263BBC"/>
    <w:rsid w:val="00263CEE"/>
    <w:rsid w:val="00264047"/>
    <w:rsid w:val="0026441A"/>
    <w:rsid w:val="00264733"/>
    <w:rsid w:val="00264D66"/>
    <w:rsid w:val="00264D82"/>
    <w:rsid w:val="0026553A"/>
    <w:rsid w:val="00265DA2"/>
    <w:rsid w:val="00266722"/>
    <w:rsid w:val="002667A5"/>
    <w:rsid w:val="00266C04"/>
    <w:rsid w:val="00266D0A"/>
    <w:rsid w:val="00266E9D"/>
    <w:rsid w:val="002672AD"/>
    <w:rsid w:val="002676F3"/>
    <w:rsid w:val="00267772"/>
    <w:rsid w:val="00267AC3"/>
    <w:rsid w:val="00267C7E"/>
    <w:rsid w:val="00267D4B"/>
    <w:rsid w:val="0027045F"/>
    <w:rsid w:val="002704AE"/>
    <w:rsid w:val="00270518"/>
    <w:rsid w:val="00270788"/>
    <w:rsid w:val="00270932"/>
    <w:rsid w:val="00270BEB"/>
    <w:rsid w:val="00270E1B"/>
    <w:rsid w:val="00271177"/>
    <w:rsid w:val="002714C7"/>
    <w:rsid w:val="002718DC"/>
    <w:rsid w:val="00271D75"/>
    <w:rsid w:val="002723AD"/>
    <w:rsid w:val="0027295A"/>
    <w:rsid w:val="00273591"/>
    <w:rsid w:val="0027381D"/>
    <w:rsid w:val="00273AD7"/>
    <w:rsid w:val="00273BBB"/>
    <w:rsid w:val="00273F0F"/>
    <w:rsid w:val="00274379"/>
    <w:rsid w:val="00274412"/>
    <w:rsid w:val="00274CA4"/>
    <w:rsid w:val="00274CCB"/>
    <w:rsid w:val="0027595D"/>
    <w:rsid w:val="00275B48"/>
    <w:rsid w:val="00276D05"/>
    <w:rsid w:val="00276F20"/>
    <w:rsid w:val="00277187"/>
    <w:rsid w:val="00277C86"/>
    <w:rsid w:val="002801EF"/>
    <w:rsid w:val="0028084D"/>
    <w:rsid w:val="00280C1C"/>
    <w:rsid w:val="0028116A"/>
    <w:rsid w:val="00281B96"/>
    <w:rsid w:val="002824E9"/>
    <w:rsid w:val="002839C9"/>
    <w:rsid w:val="00284003"/>
    <w:rsid w:val="002844A8"/>
    <w:rsid w:val="00284D15"/>
    <w:rsid w:val="002850D5"/>
    <w:rsid w:val="002850FB"/>
    <w:rsid w:val="00285787"/>
    <w:rsid w:val="00286DC5"/>
    <w:rsid w:val="00286E30"/>
    <w:rsid w:val="002873CB"/>
    <w:rsid w:val="00287BCE"/>
    <w:rsid w:val="00287CEF"/>
    <w:rsid w:val="00287FD9"/>
    <w:rsid w:val="002904FF"/>
    <w:rsid w:val="0029079A"/>
    <w:rsid w:val="00290912"/>
    <w:rsid w:val="00290C43"/>
    <w:rsid w:val="002911E1"/>
    <w:rsid w:val="002913EC"/>
    <w:rsid w:val="00291D2B"/>
    <w:rsid w:val="00292216"/>
    <w:rsid w:val="00292252"/>
    <w:rsid w:val="0029252B"/>
    <w:rsid w:val="002926D7"/>
    <w:rsid w:val="0029285A"/>
    <w:rsid w:val="002928A1"/>
    <w:rsid w:val="00292EF5"/>
    <w:rsid w:val="00292F58"/>
    <w:rsid w:val="00292FCB"/>
    <w:rsid w:val="002930F7"/>
    <w:rsid w:val="0029368D"/>
    <w:rsid w:val="00293941"/>
    <w:rsid w:val="00293B82"/>
    <w:rsid w:val="00293BC9"/>
    <w:rsid w:val="00293F6B"/>
    <w:rsid w:val="0029467C"/>
    <w:rsid w:val="00294D20"/>
    <w:rsid w:val="00294DC0"/>
    <w:rsid w:val="00294FBB"/>
    <w:rsid w:val="00295374"/>
    <w:rsid w:val="00295A23"/>
    <w:rsid w:val="00296502"/>
    <w:rsid w:val="002965A8"/>
    <w:rsid w:val="00296AD1"/>
    <w:rsid w:val="0029773A"/>
    <w:rsid w:val="00297986"/>
    <w:rsid w:val="00297D2D"/>
    <w:rsid w:val="00297EEA"/>
    <w:rsid w:val="00297EF5"/>
    <w:rsid w:val="00297F2C"/>
    <w:rsid w:val="002A02FC"/>
    <w:rsid w:val="002A0B2E"/>
    <w:rsid w:val="002A0BD0"/>
    <w:rsid w:val="002A1CF0"/>
    <w:rsid w:val="002A26A0"/>
    <w:rsid w:val="002A3047"/>
    <w:rsid w:val="002A31EE"/>
    <w:rsid w:val="002A3284"/>
    <w:rsid w:val="002A37D0"/>
    <w:rsid w:val="002A465A"/>
    <w:rsid w:val="002A4A61"/>
    <w:rsid w:val="002A4B9E"/>
    <w:rsid w:val="002A4D43"/>
    <w:rsid w:val="002A4DA0"/>
    <w:rsid w:val="002A5454"/>
    <w:rsid w:val="002A54FF"/>
    <w:rsid w:val="002A5503"/>
    <w:rsid w:val="002A59AA"/>
    <w:rsid w:val="002A5B04"/>
    <w:rsid w:val="002A5BC2"/>
    <w:rsid w:val="002A5DE2"/>
    <w:rsid w:val="002A625A"/>
    <w:rsid w:val="002A62EB"/>
    <w:rsid w:val="002A6FD5"/>
    <w:rsid w:val="002A729C"/>
    <w:rsid w:val="002B03BD"/>
    <w:rsid w:val="002B0681"/>
    <w:rsid w:val="002B07EC"/>
    <w:rsid w:val="002B0D63"/>
    <w:rsid w:val="002B0F15"/>
    <w:rsid w:val="002B1740"/>
    <w:rsid w:val="002B195A"/>
    <w:rsid w:val="002B25E3"/>
    <w:rsid w:val="002B27F2"/>
    <w:rsid w:val="002B2A41"/>
    <w:rsid w:val="002B2BC6"/>
    <w:rsid w:val="002B2CD4"/>
    <w:rsid w:val="002B2D3C"/>
    <w:rsid w:val="002B2D71"/>
    <w:rsid w:val="002B2EC0"/>
    <w:rsid w:val="002B3094"/>
    <w:rsid w:val="002B329B"/>
    <w:rsid w:val="002B3364"/>
    <w:rsid w:val="002B3524"/>
    <w:rsid w:val="002B3726"/>
    <w:rsid w:val="002B4B77"/>
    <w:rsid w:val="002B4D94"/>
    <w:rsid w:val="002B4E98"/>
    <w:rsid w:val="002B5507"/>
    <w:rsid w:val="002B5663"/>
    <w:rsid w:val="002B6260"/>
    <w:rsid w:val="002B6551"/>
    <w:rsid w:val="002B6CEA"/>
    <w:rsid w:val="002B6FC5"/>
    <w:rsid w:val="002B734E"/>
    <w:rsid w:val="002B73BE"/>
    <w:rsid w:val="002B744F"/>
    <w:rsid w:val="002B7467"/>
    <w:rsid w:val="002B799B"/>
    <w:rsid w:val="002B7D3A"/>
    <w:rsid w:val="002C0B22"/>
    <w:rsid w:val="002C0BAE"/>
    <w:rsid w:val="002C1157"/>
    <w:rsid w:val="002C1201"/>
    <w:rsid w:val="002C12CA"/>
    <w:rsid w:val="002C1463"/>
    <w:rsid w:val="002C16C7"/>
    <w:rsid w:val="002C1753"/>
    <w:rsid w:val="002C18D1"/>
    <w:rsid w:val="002C1957"/>
    <w:rsid w:val="002C1A23"/>
    <w:rsid w:val="002C1D1D"/>
    <w:rsid w:val="002C1E2D"/>
    <w:rsid w:val="002C2457"/>
    <w:rsid w:val="002C2790"/>
    <w:rsid w:val="002C28A6"/>
    <w:rsid w:val="002C2C13"/>
    <w:rsid w:val="002C3708"/>
    <w:rsid w:val="002C37E9"/>
    <w:rsid w:val="002C3C06"/>
    <w:rsid w:val="002C3D4F"/>
    <w:rsid w:val="002C48F3"/>
    <w:rsid w:val="002C4BD6"/>
    <w:rsid w:val="002C5244"/>
    <w:rsid w:val="002C53B5"/>
    <w:rsid w:val="002C54C7"/>
    <w:rsid w:val="002C58A5"/>
    <w:rsid w:val="002C6020"/>
    <w:rsid w:val="002C639E"/>
    <w:rsid w:val="002C66AE"/>
    <w:rsid w:val="002C68FD"/>
    <w:rsid w:val="002C71DE"/>
    <w:rsid w:val="002C759D"/>
    <w:rsid w:val="002C7742"/>
    <w:rsid w:val="002C783D"/>
    <w:rsid w:val="002C7E8D"/>
    <w:rsid w:val="002C7F33"/>
    <w:rsid w:val="002C7FBA"/>
    <w:rsid w:val="002C7FDC"/>
    <w:rsid w:val="002D0777"/>
    <w:rsid w:val="002D18C5"/>
    <w:rsid w:val="002D1B07"/>
    <w:rsid w:val="002D2211"/>
    <w:rsid w:val="002D2266"/>
    <w:rsid w:val="002D248B"/>
    <w:rsid w:val="002D253C"/>
    <w:rsid w:val="002D26A7"/>
    <w:rsid w:val="002D288B"/>
    <w:rsid w:val="002D2A8B"/>
    <w:rsid w:val="002D309B"/>
    <w:rsid w:val="002D34AA"/>
    <w:rsid w:val="002D3506"/>
    <w:rsid w:val="002D35D8"/>
    <w:rsid w:val="002D3BD0"/>
    <w:rsid w:val="002D3FD4"/>
    <w:rsid w:val="002D43F9"/>
    <w:rsid w:val="002D5237"/>
    <w:rsid w:val="002D55D1"/>
    <w:rsid w:val="002D578A"/>
    <w:rsid w:val="002D5B51"/>
    <w:rsid w:val="002D63EB"/>
    <w:rsid w:val="002D6A59"/>
    <w:rsid w:val="002D7599"/>
    <w:rsid w:val="002D7776"/>
    <w:rsid w:val="002D78C4"/>
    <w:rsid w:val="002D7EB3"/>
    <w:rsid w:val="002D7FB3"/>
    <w:rsid w:val="002E038A"/>
    <w:rsid w:val="002E04DF"/>
    <w:rsid w:val="002E069B"/>
    <w:rsid w:val="002E0B84"/>
    <w:rsid w:val="002E0C25"/>
    <w:rsid w:val="002E1925"/>
    <w:rsid w:val="002E1A46"/>
    <w:rsid w:val="002E1AA5"/>
    <w:rsid w:val="002E2388"/>
    <w:rsid w:val="002E2BC8"/>
    <w:rsid w:val="002E2C11"/>
    <w:rsid w:val="002E36BE"/>
    <w:rsid w:val="002E38E2"/>
    <w:rsid w:val="002E3BF2"/>
    <w:rsid w:val="002E40F6"/>
    <w:rsid w:val="002E4428"/>
    <w:rsid w:val="002E4498"/>
    <w:rsid w:val="002E454F"/>
    <w:rsid w:val="002E4903"/>
    <w:rsid w:val="002E4DFF"/>
    <w:rsid w:val="002E545C"/>
    <w:rsid w:val="002E5CDB"/>
    <w:rsid w:val="002E617C"/>
    <w:rsid w:val="002E68C7"/>
    <w:rsid w:val="002E6DA4"/>
    <w:rsid w:val="002E6E74"/>
    <w:rsid w:val="002E74A3"/>
    <w:rsid w:val="002E74D3"/>
    <w:rsid w:val="002E79EF"/>
    <w:rsid w:val="002E7CCE"/>
    <w:rsid w:val="002E7D06"/>
    <w:rsid w:val="002E7DE2"/>
    <w:rsid w:val="002E7F5A"/>
    <w:rsid w:val="002F00D1"/>
    <w:rsid w:val="002F03D4"/>
    <w:rsid w:val="002F042B"/>
    <w:rsid w:val="002F0432"/>
    <w:rsid w:val="002F099B"/>
    <w:rsid w:val="002F099E"/>
    <w:rsid w:val="002F0D91"/>
    <w:rsid w:val="002F11E3"/>
    <w:rsid w:val="002F123E"/>
    <w:rsid w:val="002F1371"/>
    <w:rsid w:val="002F172B"/>
    <w:rsid w:val="002F191C"/>
    <w:rsid w:val="002F1973"/>
    <w:rsid w:val="002F1981"/>
    <w:rsid w:val="002F1AA1"/>
    <w:rsid w:val="002F1B19"/>
    <w:rsid w:val="002F1D5A"/>
    <w:rsid w:val="002F1E8C"/>
    <w:rsid w:val="002F23FE"/>
    <w:rsid w:val="002F2553"/>
    <w:rsid w:val="002F2690"/>
    <w:rsid w:val="002F28B2"/>
    <w:rsid w:val="002F2C2A"/>
    <w:rsid w:val="002F442D"/>
    <w:rsid w:val="002F44DD"/>
    <w:rsid w:val="002F4746"/>
    <w:rsid w:val="002F4A43"/>
    <w:rsid w:val="002F4AAE"/>
    <w:rsid w:val="002F4B81"/>
    <w:rsid w:val="002F4EE4"/>
    <w:rsid w:val="002F515E"/>
    <w:rsid w:val="002F533E"/>
    <w:rsid w:val="002F5409"/>
    <w:rsid w:val="002F5AC8"/>
    <w:rsid w:val="002F5BA6"/>
    <w:rsid w:val="002F6610"/>
    <w:rsid w:val="002F66E2"/>
    <w:rsid w:val="002F6810"/>
    <w:rsid w:val="002F6F44"/>
    <w:rsid w:val="002F6FF8"/>
    <w:rsid w:val="002F7076"/>
    <w:rsid w:val="002F7C34"/>
    <w:rsid w:val="002F7CB3"/>
    <w:rsid w:val="00300599"/>
    <w:rsid w:val="00301E93"/>
    <w:rsid w:val="00301EC6"/>
    <w:rsid w:val="00302B74"/>
    <w:rsid w:val="00302D11"/>
    <w:rsid w:val="00303367"/>
    <w:rsid w:val="003039BA"/>
    <w:rsid w:val="00303C65"/>
    <w:rsid w:val="0030402F"/>
    <w:rsid w:val="003045D4"/>
    <w:rsid w:val="0030483E"/>
    <w:rsid w:val="00304A2A"/>
    <w:rsid w:val="00304AD7"/>
    <w:rsid w:val="003050F4"/>
    <w:rsid w:val="0030562E"/>
    <w:rsid w:val="00305670"/>
    <w:rsid w:val="003058F8"/>
    <w:rsid w:val="00305E6D"/>
    <w:rsid w:val="00305EEA"/>
    <w:rsid w:val="00307437"/>
    <w:rsid w:val="0030786B"/>
    <w:rsid w:val="0031013D"/>
    <w:rsid w:val="003104F8"/>
    <w:rsid w:val="0031058A"/>
    <w:rsid w:val="003105AC"/>
    <w:rsid w:val="0031061D"/>
    <w:rsid w:val="00310BAF"/>
    <w:rsid w:val="00310D8F"/>
    <w:rsid w:val="003110E3"/>
    <w:rsid w:val="0031120B"/>
    <w:rsid w:val="0031121D"/>
    <w:rsid w:val="00311383"/>
    <w:rsid w:val="00311734"/>
    <w:rsid w:val="00312E55"/>
    <w:rsid w:val="00312E9F"/>
    <w:rsid w:val="003137D9"/>
    <w:rsid w:val="00313B65"/>
    <w:rsid w:val="00313C4A"/>
    <w:rsid w:val="0031419E"/>
    <w:rsid w:val="00314982"/>
    <w:rsid w:val="0031549F"/>
    <w:rsid w:val="003155B5"/>
    <w:rsid w:val="00315835"/>
    <w:rsid w:val="00315B2D"/>
    <w:rsid w:val="00316A04"/>
    <w:rsid w:val="00316E8B"/>
    <w:rsid w:val="00316F6D"/>
    <w:rsid w:val="003170DC"/>
    <w:rsid w:val="0031750D"/>
    <w:rsid w:val="00317589"/>
    <w:rsid w:val="00317649"/>
    <w:rsid w:val="0031796C"/>
    <w:rsid w:val="003200C7"/>
    <w:rsid w:val="00320122"/>
    <w:rsid w:val="0032027B"/>
    <w:rsid w:val="00320280"/>
    <w:rsid w:val="003203E8"/>
    <w:rsid w:val="00320638"/>
    <w:rsid w:val="0032070D"/>
    <w:rsid w:val="00320AE3"/>
    <w:rsid w:val="00320B88"/>
    <w:rsid w:val="00320BCE"/>
    <w:rsid w:val="00321002"/>
    <w:rsid w:val="003212EA"/>
    <w:rsid w:val="003213C6"/>
    <w:rsid w:val="003215DD"/>
    <w:rsid w:val="0032161B"/>
    <w:rsid w:val="0032162F"/>
    <w:rsid w:val="00321B8E"/>
    <w:rsid w:val="00322436"/>
    <w:rsid w:val="003225DD"/>
    <w:rsid w:val="00322B15"/>
    <w:rsid w:val="00322D9D"/>
    <w:rsid w:val="00323458"/>
    <w:rsid w:val="00323A6D"/>
    <w:rsid w:val="00323A90"/>
    <w:rsid w:val="00323B12"/>
    <w:rsid w:val="00324083"/>
    <w:rsid w:val="00324415"/>
    <w:rsid w:val="0032446A"/>
    <w:rsid w:val="003248FA"/>
    <w:rsid w:val="00325031"/>
    <w:rsid w:val="00325854"/>
    <w:rsid w:val="0032589A"/>
    <w:rsid w:val="00325B70"/>
    <w:rsid w:val="00325D92"/>
    <w:rsid w:val="00325E43"/>
    <w:rsid w:val="00326021"/>
    <w:rsid w:val="0032645C"/>
    <w:rsid w:val="003264A0"/>
    <w:rsid w:val="003268AE"/>
    <w:rsid w:val="003269BA"/>
    <w:rsid w:val="00326B09"/>
    <w:rsid w:val="00326DF2"/>
    <w:rsid w:val="00326FB0"/>
    <w:rsid w:val="003276CE"/>
    <w:rsid w:val="003279BF"/>
    <w:rsid w:val="003300FB"/>
    <w:rsid w:val="00330513"/>
    <w:rsid w:val="0033071B"/>
    <w:rsid w:val="00330C9A"/>
    <w:rsid w:val="00330CC0"/>
    <w:rsid w:val="003310E1"/>
    <w:rsid w:val="00332582"/>
    <w:rsid w:val="00332610"/>
    <w:rsid w:val="00332752"/>
    <w:rsid w:val="00332E0C"/>
    <w:rsid w:val="003338D8"/>
    <w:rsid w:val="00333BFD"/>
    <w:rsid w:val="00333E4C"/>
    <w:rsid w:val="00334D49"/>
    <w:rsid w:val="00335432"/>
    <w:rsid w:val="003359E8"/>
    <w:rsid w:val="00335C96"/>
    <w:rsid w:val="00335EB3"/>
    <w:rsid w:val="0033671A"/>
    <w:rsid w:val="00336ED7"/>
    <w:rsid w:val="003378F0"/>
    <w:rsid w:val="00337A8B"/>
    <w:rsid w:val="00337E1A"/>
    <w:rsid w:val="00337F86"/>
    <w:rsid w:val="003400AC"/>
    <w:rsid w:val="0034025F"/>
    <w:rsid w:val="00340495"/>
    <w:rsid w:val="00340662"/>
    <w:rsid w:val="00340894"/>
    <w:rsid w:val="00340CCF"/>
    <w:rsid w:val="00341337"/>
    <w:rsid w:val="0034192B"/>
    <w:rsid w:val="00341974"/>
    <w:rsid w:val="00341DF7"/>
    <w:rsid w:val="0034265E"/>
    <w:rsid w:val="00342881"/>
    <w:rsid w:val="003429A6"/>
    <w:rsid w:val="00342BCE"/>
    <w:rsid w:val="00342F08"/>
    <w:rsid w:val="00343086"/>
    <w:rsid w:val="00343114"/>
    <w:rsid w:val="003433C6"/>
    <w:rsid w:val="003436CD"/>
    <w:rsid w:val="00343CBF"/>
    <w:rsid w:val="00344BD2"/>
    <w:rsid w:val="00344BFC"/>
    <w:rsid w:val="00344C71"/>
    <w:rsid w:val="00345015"/>
    <w:rsid w:val="00345129"/>
    <w:rsid w:val="003453B8"/>
    <w:rsid w:val="003459AB"/>
    <w:rsid w:val="0034618C"/>
    <w:rsid w:val="00346953"/>
    <w:rsid w:val="0034713A"/>
    <w:rsid w:val="003476E2"/>
    <w:rsid w:val="00347E06"/>
    <w:rsid w:val="0035013A"/>
    <w:rsid w:val="00350B1C"/>
    <w:rsid w:val="00350C42"/>
    <w:rsid w:val="00350F95"/>
    <w:rsid w:val="0035190B"/>
    <w:rsid w:val="00351949"/>
    <w:rsid w:val="003519F4"/>
    <w:rsid w:val="00351E35"/>
    <w:rsid w:val="003520D6"/>
    <w:rsid w:val="003520F2"/>
    <w:rsid w:val="00352627"/>
    <w:rsid w:val="00352C74"/>
    <w:rsid w:val="00352ED8"/>
    <w:rsid w:val="003533DB"/>
    <w:rsid w:val="00353F64"/>
    <w:rsid w:val="00354229"/>
    <w:rsid w:val="00354503"/>
    <w:rsid w:val="00354F72"/>
    <w:rsid w:val="00355C97"/>
    <w:rsid w:val="00355D87"/>
    <w:rsid w:val="0035624A"/>
    <w:rsid w:val="00356914"/>
    <w:rsid w:val="00356C95"/>
    <w:rsid w:val="00357280"/>
    <w:rsid w:val="0035744D"/>
    <w:rsid w:val="003576F4"/>
    <w:rsid w:val="0036036A"/>
    <w:rsid w:val="003608A5"/>
    <w:rsid w:val="00360EC6"/>
    <w:rsid w:val="00361306"/>
    <w:rsid w:val="00361C39"/>
    <w:rsid w:val="00362759"/>
    <w:rsid w:val="00362C55"/>
    <w:rsid w:val="00362C7B"/>
    <w:rsid w:val="0036338F"/>
    <w:rsid w:val="00363CAD"/>
    <w:rsid w:val="00364237"/>
    <w:rsid w:val="003644BB"/>
    <w:rsid w:val="0036489F"/>
    <w:rsid w:val="00364C4D"/>
    <w:rsid w:val="00364DD3"/>
    <w:rsid w:val="00364E2F"/>
    <w:rsid w:val="003650AC"/>
    <w:rsid w:val="00365461"/>
    <w:rsid w:val="00365944"/>
    <w:rsid w:val="00365BE0"/>
    <w:rsid w:val="00366A45"/>
    <w:rsid w:val="00366BDB"/>
    <w:rsid w:val="00367674"/>
    <w:rsid w:val="00367FE6"/>
    <w:rsid w:val="00370195"/>
    <w:rsid w:val="0037050C"/>
    <w:rsid w:val="00370750"/>
    <w:rsid w:val="00370753"/>
    <w:rsid w:val="00370907"/>
    <w:rsid w:val="003709B1"/>
    <w:rsid w:val="003709BA"/>
    <w:rsid w:val="0037123D"/>
    <w:rsid w:val="00371385"/>
    <w:rsid w:val="003715DF"/>
    <w:rsid w:val="00371A7A"/>
    <w:rsid w:val="0037223B"/>
    <w:rsid w:val="00372448"/>
    <w:rsid w:val="003724D8"/>
    <w:rsid w:val="00373776"/>
    <w:rsid w:val="00373F52"/>
    <w:rsid w:val="0037423F"/>
    <w:rsid w:val="003744C0"/>
    <w:rsid w:val="00374C34"/>
    <w:rsid w:val="00374EFC"/>
    <w:rsid w:val="003751C8"/>
    <w:rsid w:val="00375260"/>
    <w:rsid w:val="00375349"/>
    <w:rsid w:val="0037579A"/>
    <w:rsid w:val="00375883"/>
    <w:rsid w:val="00375D11"/>
    <w:rsid w:val="003767A4"/>
    <w:rsid w:val="003768DD"/>
    <w:rsid w:val="00376C9A"/>
    <w:rsid w:val="00376E0E"/>
    <w:rsid w:val="003773D6"/>
    <w:rsid w:val="003774DE"/>
    <w:rsid w:val="003775C7"/>
    <w:rsid w:val="00377D2A"/>
    <w:rsid w:val="00377E57"/>
    <w:rsid w:val="003801DA"/>
    <w:rsid w:val="00380223"/>
    <w:rsid w:val="003809BA"/>
    <w:rsid w:val="00380A84"/>
    <w:rsid w:val="00381324"/>
    <w:rsid w:val="0038184E"/>
    <w:rsid w:val="003823E9"/>
    <w:rsid w:val="0038287C"/>
    <w:rsid w:val="00382E3A"/>
    <w:rsid w:val="0038324F"/>
    <w:rsid w:val="00384556"/>
    <w:rsid w:val="00384B5C"/>
    <w:rsid w:val="00384E7F"/>
    <w:rsid w:val="00385107"/>
    <w:rsid w:val="00385231"/>
    <w:rsid w:val="00385766"/>
    <w:rsid w:val="00385AAC"/>
    <w:rsid w:val="00385BDB"/>
    <w:rsid w:val="00385D21"/>
    <w:rsid w:val="00386F12"/>
    <w:rsid w:val="0038729F"/>
    <w:rsid w:val="00387313"/>
    <w:rsid w:val="00387A82"/>
    <w:rsid w:val="00390355"/>
    <w:rsid w:val="00390456"/>
    <w:rsid w:val="003907B6"/>
    <w:rsid w:val="00390B4A"/>
    <w:rsid w:val="00390C99"/>
    <w:rsid w:val="00391251"/>
    <w:rsid w:val="00391506"/>
    <w:rsid w:val="00391C94"/>
    <w:rsid w:val="00391CA1"/>
    <w:rsid w:val="00391CDE"/>
    <w:rsid w:val="00392018"/>
    <w:rsid w:val="003920EA"/>
    <w:rsid w:val="00392449"/>
    <w:rsid w:val="00392648"/>
    <w:rsid w:val="00392666"/>
    <w:rsid w:val="0039292A"/>
    <w:rsid w:val="00392B55"/>
    <w:rsid w:val="00392B6C"/>
    <w:rsid w:val="00392DF3"/>
    <w:rsid w:val="00393240"/>
    <w:rsid w:val="00393409"/>
    <w:rsid w:val="003935E0"/>
    <w:rsid w:val="00393862"/>
    <w:rsid w:val="00393A0C"/>
    <w:rsid w:val="003942DA"/>
    <w:rsid w:val="00394B8C"/>
    <w:rsid w:val="00394CDE"/>
    <w:rsid w:val="00394E69"/>
    <w:rsid w:val="003950DA"/>
    <w:rsid w:val="00395251"/>
    <w:rsid w:val="00395678"/>
    <w:rsid w:val="00395CCD"/>
    <w:rsid w:val="00395E81"/>
    <w:rsid w:val="00396514"/>
    <w:rsid w:val="00396ADA"/>
    <w:rsid w:val="0039774C"/>
    <w:rsid w:val="003977FD"/>
    <w:rsid w:val="00397AD5"/>
    <w:rsid w:val="00397DAE"/>
    <w:rsid w:val="003A051C"/>
    <w:rsid w:val="003A0DD2"/>
    <w:rsid w:val="003A10A2"/>
    <w:rsid w:val="003A1174"/>
    <w:rsid w:val="003A1697"/>
    <w:rsid w:val="003A1732"/>
    <w:rsid w:val="003A1CFE"/>
    <w:rsid w:val="003A1EC3"/>
    <w:rsid w:val="003A23F1"/>
    <w:rsid w:val="003A2ED1"/>
    <w:rsid w:val="003A2F45"/>
    <w:rsid w:val="003A310C"/>
    <w:rsid w:val="003A31F2"/>
    <w:rsid w:val="003A323B"/>
    <w:rsid w:val="003A3391"/>
    <w:rsid w:val="003A3621"/>
    <w:rsid w:val="003A4101"/>
    <w:rsid w:val="003A441F"/>
    <w:rsid w:val="003A443F"/>
    <w:rsid w:val="003A4751"/>
    <w:rsid w:val="003A4967"/>
    <w:rsid w:val="003A49BD"/>
    <w:rsid w:val="003A4A11"/>
    <w:rsid w:val="003A4A61"/>
    <w:rsid w:val="003A5061"/>
    <w:rsid w:val="003A5985"/>
    <w:rsid w:val="003A5D46"/>
    <w:rsid w:val="003A5EFC"/>
    <w:rsid w:val="003A5FB8"/>
    <w:rsid w:val="003A65A0"/>
    <w:rsid w:val="003A677E"/>
    <w:rsid w:val="003A682B"/>
    <w:rsid w:val="003A6A51"/>
    <w:rsid w:val="003A6BC7"/>
    <w:rsid w:val="003A6E72"/>
    <w:rsid w:val="003A7392"/>
    <w:rsid w:val="003A74DD"/>
    <w:rsid w:val="003A7695"/>
    <w:rsid w:val="003A77EB"/>
    <w:rsid w:val="003A7D65"/>
    <w:rsid w:val="003A7F89"/>
    <w:rsid w:val="003B0EB3"/>
    <w:rsid w:val="003B105A"/>
    <w:rsid w:val="003B150E"/>
    <w:rsid w:val="003B1780"/>
    <w:rsid w:val="003B181B"/>
    <w:rsid w:val="003B1E88"/>
    <w:rsid w:val="003B26B2"/>
    <w:rsid w:val="003B2CDA"/>
    <w:rsid w:val="003B2D2D"/>
    <w:rsid w:val="003B324A"/>
    <w:rsid w:val="003B384A"/>
    <w:rsid w:val="003B514D"/>
    <w:rsid w:val="003B527C"/>
    <w:rsid w:val="003B57A9"/>
    <w:rsid w:val="003B583D"/>
    <w:rsid w:val="003B5955"/>
    <w:rsid w:val="003B5976"/>
    <w:rsid w:val="003B65AA"/>
    <w:rsid w:val="003B69B3"/>
    <w:rsid w:val="003B6EB6"/>
    <w:rsid w:val="003B761A"/>
    <w:rsid w:val="003B79E3"/>
    <w:rsid w:val="003B7B9E"/>
    <w:rsid w:val="003B7C99"/>
    <w:rsid w:val="003C01C7"/>
    <w:rsid w:val="003C0356"/>
    <w:rsid w:val="003C0639"/>
    <w:rsid w:val="003C0CFD"/>
    <w:rsid w:val="003C0E0E"/>
    <w:rsid w:val="003C0E10"/>
    <w:rsid w:val="003C11A5"/>
    <w:rsid w:val="003C153C"/>
    <w:rsid w:val="003C1F63"/>
    <w:rsid w:val="003C27B1"/>
    <w:rsid w:val="003C27B7"/>
    <w:rsid w:val="003C27E7"/>
    <w:rsid w:val="003C2E61"/>
    <w:rsid w:val="003C33B0"/>
    <w:rsid w:val="003C355C"/>
    <w:rsid w:val="003C35C4"/>
    <w:rsid w:val="003C3E8E"/>
    <w:rsid w:val="003C3F41"/>
    <w:rsid w:val="003C40C7"/>
    <w:rsid w:val="003C44E4"/>
    <w:rsid w:val="003C481C"/>
    <w:rsid w:val="003C498F"/>
    <w:rsid w:val="003C4F56"/>
    <w:rsid w:val="003C5207"/>
    <w:rsid w:val="003C613F"/>
    <w:rsid w:val="003C629B"/>
    <w:rsid w:val="003C6767"/>
    <w:rsid w:val="003C6E0C"/>
    <w:rsid w:val="003C6F37"/>
    <w:rsid w:val="003C7116"/>
    <w:rsid w:val="003C714B"/>
    <w:rsid w:val="003C7551"/>
    <w:rsid w:val="003D098A"/>
    <w:rsid w:val="003D1309"/>
    <w:rsid w:val="003D161D"/>
    <w:rsid w:val="003D194E"/>
    <w:rsid w:val="003D1B34"/>
    <w:rsid w:val="003D1C79"/>
    <w:rsid w:val="003D1D61"/>
    <w:rsid w:val="003D1E2F"/>
    <w:rsid w:val="003D296F"/>
    <w:rsid w:val="003D2FF8"/>
    <w:rsid w:val="003D3208"/>
    <w:rsid w:val="003D3586"/>
    <w:rsid w:val="003D36A8"/>
    <w:rsid w:val="003D4BD0"/>
    <w:rsid w:val="003D4CFA"/>
    <w:rsid w:val="003D4DEE"/>
    <w:rsid w:val="003D517F"/>
    <w:rsid w:val="003D5714"/>
    <w:rsid w:val="003D59FF"/>
    <w:rsid w:val="003D5A72"/>
    <w:rsid w:val="003D5F3F"/>
    <w:rsid w:val="003D6333"/>
    <w:rsid w:val="003D63F4"/>
    <w:rsid w:val="003D6C0E"/>
    <w:rsid w:val="003D6C11"/>
    <w:rsid w:val="003D6FE5"/>
    <w:rsid w:val="003D7228"/>
    <w:rsid w:val="003D7610"/>
    <w:rsid w:val="003D79D7"/>
    <w:rsid w:val="003D7C2F"/>
    <w:rsid w:val="003D7E48"/>
    <w:rsid w:val="003D7FBF"/>
    <w:rsid w:val="003E01DC"/>
    <w:rsid w:val="003E05B5"/>
    <w:rsid w:val="003E0875"/>
    <w:rsid w:val="003E0FFC"/>
    <w:rsid w:val="003E15E2"/>
    <w:rsid w:val="003E1AFF"/>
    <w:rsid w:val="003E1EB2"/>
    <w:rsid w:val="003E2090"/>
    <w:rsid w:val="003E28C6"/>
    <w:rsid w:val="003E2C2D"/>
    <w:rsid w:val="003E2EB0"/>
    <w:rsid w:val="003E3323"/>
    <w:rsid w:val="003E3A4E"/>
    <w:rsid w:val="003E3D38"/>
    <w:rsid w:val="003E3E4D"/>
    <w:rsid w:val="003E3EF7"/>
    <w:rsid w:val="003E41B4"/>
    <w:rsid w:val="003E4583"/>
    <w:rsid w:val="003E4696"/>
    <w:rsid w:val="003E46D1"/>
    <w:rsid w:val="003E4A1D"/>
    <w:rsid w:val="003E4E60"/>
    <w:rsid w:val="003E4FBB"/>
    <w:rsid w:val="003E5F76"/>
    <w:rsid w:val="003E5FCD"/>
    <w:rsid w:val="003E7201"/>
    <w:rsid w:val="003E7263"/>
    <w:rsid w:val="003E7E5B"/>
    <w:rsid w:val="003F0739"/>
    <w:rsid w:val="003F0B65"/>
    <w:rsid w:val="003F0C09"/>
    <w:rsid w:val="003F1303"/>
    <w:rsid w:val="003F1867"/>
    <w:rsid w:val="003F205F"/>
    <w:rsid w:val="003F2201"/>
    <w:rsid w:val="003F266E"/>
    <w:rsid w:val="003F2779"/>
    <w:rsid w:val="003F2AF7"/>
    <w:rsid w:val="003F3111"/>
    <w:rsid w:val="003F31DF"/>
    <w:rsid w:val="003F322E"/>
    <w:rsid w:val="003F38BE"/>
    <w:rsid w:val="003F3F8B"/>
    <w:rsid w:val="003F4111"/>
    <w:rsid w:val="003F4229"/>
    <w:rsid w:val="003F4956"/>
    <w:rsid w:val="003F5092"/>
    <w:rsid w:val="003F54B8"/>
    <w:rsid w:val="003F5832"/>
    <w:rsid w:val="003F618C"/>
    <w:rsid w:val="003F6B22"/>
    <w:rsid w:val="003F6F6C"/>
    <w:rsid w:val="003F73F5"/>
    <w:rsid w:val="0040036B"/>
    <w:rsid w:val="00400811"/>
    <w:rsid w:val="00400EE8"/>
    <w:rsid w:val="004011FE"/>
    <w:rsid w:val="00401521"/>
    <w:rsid w:val="004019DC"/>
    <w:rsid w:val="00401F61"/>
    <w:rsid w:val="00402516"/>
    <w:rsid w:val="00402B80"/>
    <w:rsid w:val="00402E7E"/>
    <w:rsid w:val="00403006"/>
    <w:rsid w:val="00403C89"/>
    <w:rsid w:val="00403C9D"/>
    <w:rsid w:val="00403D25"/>
    <w:rsid w:val="00403E72"/>
    <w:rsid w:val="00404913"/>
    <w:rsid w:val="00404A09"/>
    <w:rsid w:val="00404E9B"/>
    <w:rsid w:val="00405C13"/>
    <w:rsid w:val="00405F42"/>
    <w:rsid w:val="00406027"/>
    <w:rsid w:val="00406107"/>
    <w:rsid w:val="00406EE3"/>
    <w:rsid w:val="00406F16"/>
    <w:rsid w:val="00406F93"/>
    <w:rsid w:val="00407190"/>
    <w:rsid w:val="00407A9C"/>
    <w:rsid w:val="00407B53"/>
    <w:rsid w:val="004104A3"/>
    <w:rsid w:val="004104B4"/>
    <w:rsid w:val="00410884"/>
    <w:rsid w:val="00410ED1"/>
    <w:rsid w:val="00411040"/>
    <w:rsid w:val="00411069"/>
    <w:rsid w:val="0041143E"/>
    <w:rsid w:val="00411886"/>
    <w:rsid w:val="00411A06"/>
    <w:rsid w:val="004123D6"/>
    <w:rsid w:val="004126DB"/>
    <w:rsid w:val="00413079"/>
    <w:rsid w:val="004136BB"/>
    <w:rsid w:val="00413908"/>
    <w:rsid w:val="00413A13"/>
    <w:rsid w:val="00414808"/>
    <w:rsid w:val="00414898"/>
    <w:rsid w:val="00414FE8"/>
    <w:rsid w:val="00414FED"/>
    <w:rsid w:val="0041522F"/>
    <w:rsid w:val="0041578A"/>
    <w:rsid w:val="00415B84"/>
    <w:rsid w:val="00415ECE"/>
    <w:rsid w:val="00416392"/>
    <w:rsid w:val="00417143"/>
    <w:rsid w:val="004171D0"/>
    <w:rsid w:val="0041768F"/>
    <w:rsid w:val="00417E24"/>
    <w:rsid w:val="00420476"/>
    <w:rsid w:val="00420E3C"/>
    <w:rsid w:val="00420ED4"/>
    <w:rsid w:val="00421AE7"/>
    <w:rsid w:val="00421BA5"/>
    <w:rsid w:val="00421C3F"/>
    <w:rsid w:val="00422316"/>
    <w:rsid w:val="004229ED"/>
    <w:rsid w:val="00422B5D"/>
    <w:rsid w:val="00423275"/>
    <w:rsid w:val="00423D04"/>
    <w:rsid w:val="00423E96"/>
    <w:rsid w:val="00423FA7"/>
    <w:rsid w:val="004247BF"/>
    <w:rsid w:val="004249D7"/>
    <w:rsid w:val="00424EBE"/>
    <w:rsid w:val="00425801"/>
    <w:rsid w:val="00425EE6"/>
    <w:rsid w:val="00425F22"/>
    <w:rsid w:val="00426031"/>
    <w:rsid w:val="004260C1"/>
    <w:rsid w:val="0042621E"/>
    <w:rsid w:val="004264A7"/>
    <w:rsid w:val="00426E02"/>
    <w:rsid w:val="00427044"/>
    <w:rsid w:val="0042720E"/>
    <w:rsid w:val="00427603"/>
    <w:rsid w:val="00427869"/>
    <w:rsid w:val="004300C9"/>
    <w:rsid w:val="004301FF"/>
    <w:rsid w:val="0043079D"/>
    <w:rsid w:val="00430A5F"/>
    <w:rsid w:val="00430F26"/>
    <w:rsid w:val="004313C6"/>
    <w:rsid w:val="004317FB"/>
    <w:rsid w:val="0043189A"/>
    <w:rsid w:val="00431DA9"/>
    <w:rsid w:val="00432CAD"/>
    <w:rsid w:val="0043303B"/>
    <w:rsid w:val="004331A6"/>
    <w:rsid w:val="00433596"/>
    <w:rsid w:val="00433736"/>
    <w:rsid w:val="0043384E"/>
    <w:rsid w:val="00433E32"/>
    <w:rsid w:val="0043495A"/>
    <w:rsid w:val="004351FE"/>
    <w:rsid w:val="004352AF"/>
    <w:rsid w:val="004356BB"/>
    <w:rsid w:val="00435A19"/>
    <w:rsid w:val="00436741"/>
    <w:rsid w:val="004374EC"/>
    <w:rsid w:val="0043782D"/>
    <w:rsid w:val="00437AA4"/>
    <w:rsid w:val="00437CA2"/>
    <w:rsid w:val="00437E9D"/>
    <w:rsid w:val="004401B0"/>
    <w:rsid w:val="00440C2F"/>
    <w:rsid w:val="00441136"/>
    <w:rsid w:val="00441B40"/>
    <w:rsid w:val="00441C91"/>
    <w:rsid w:val="00441EE0"/>
    <w:rsid w:val="00441F21"/>
    <w:rsid w:val="0044220F"/>
    <w:rsid w:val="004424F4"/>
    <w:rsid w:val="00442B1A"/>
    <w:rsid w:val="004432B3"/>
    <w:rsid w:val="004432DF"/>
    <w:rsid w:val="004437C3"/>
    <w:rsid w:val="004439AE"/>
    <w:rsid w:val="00443D0D"/>
    <w:rsid w:val="00444270"/>
    <w:rsid w:val="00445240"/>
    <w:rsid w:val="0044529D"/>
    <w:rsid w:val="004459BD"/>
    <w:rsid w:val="00445ADD"/>
    <w:rsid w:val="00445BD0"/>
    <w:rsid w:val="00446182"/>
    <w:rsid w:val="00446711"/>
    <w:rsid w:val="0044682B"/>
    <w:rsid w:val="00446B7F"/>
    <w:rsid w:val="00446F37"/>
    <w:rsid w:val="00446F8A"/>
    <w:rsid w:val="004500EE"/>
    <w:rsid w:val="00450C94"/>
    <w:rsid w:val="00450E17"/>
    <w:rsid w:val="0045106E"/>
    <w:rsid w:val="0045115A"/>
    <w:rsid w:val="0045179F"/>
    <w:rsid w:val="00451B2E"/>
    <w:rsid w:val="00451C63"/>
    <w:rsid w:val="0045233D"/>
    <w:rsid w:val="00452A40"/>
    <w:rsid w:val="00452BE7"/>
    <w:rsid w:val="00452FAB"/>
    <w:rsid w:val="00453397"/>
    <w:rsid w:val="00453429"/>
    <w:rsid w:val="0045348C"/>
    <w:rsid w:val="004535C0"/>
    <w:rsid w:val="00453B00"/>
    <w:rsid w:val="00453B83"/>
    <w:rsid w:val="0045448F"/>
    <w:rsid w:val="00454A31"/>
    <w:rsid w:val="00454A3F"/>
    <w:rsid w:val="004555C9"/>
    <w:rsid w:val="00455A58"/>
    <w:rsid w:val="00455BB3"/>
    <w:rsid w:val="00455E11"/>
    <w:rsid w:val="00455ECC"/>
    <w:rsid w:val="00456445"/>
    <w:rsid w:val="00456645"/>
    <w:rsid w:val="004567FA"/>
    <w:rsid w:val="00456C79"/>
    <w:rsid w:val="00456D31"/>
    <w:rsid w:val="00456DF4"/>
    <w:rsid w:val="004571D6"/>
    <w:rsid w:val="00457694"/>
    <w:rsid w:val="0045780B"/>
    <w:rsid w:val="004579E0"/>
    <w:rsid w:val="00457A35"/>
    <w:rsid w:val="00457AC2"/>
    <w:rsid w:val="00457B3D"/>
    <w:rsid w:val="00457E93"/>
    <w:rsid w:val="00457FCD"/>
    <w:rsid w:val="0046024A"/>
    <w:rsid w:val="004603B3"/>
    <w:rsid w:val="00460542"/>
    <w:rsid w:val="0046084B"/>
    <w:rsid w:val="00460BA6"/>
    <w:rsid w:val="00460BDC"/>
    <w:rsid w:val="00460BE7"/>
    <w:rsid w:val="00460F28"/>
    <w:rsid w:val="00461C2A"/>
    <w:rsid w:val="00461D3A"/>
    <w:rsid w:val="00462582"/>
    <w:rsid w:val="004626D9"/>
    <w:rsid w:val="00462973"/>
    <w:rsid w:val="00462C36"/>
    <w:rsid w:val="0046389D"/>
    <w:rsid w:val="00464154"/>
    <w:rsid w:val="004648AB"/>
    <w:rsid w:val="004648CC"/>
    <w:rsid w:val="00464EAE"/>
    <w:rsid w:val="00464FE2"/>
    <w:rsid w:val="0046566C"/>
    <w:rsid w:val="00465DB2"/>
    <w:rsid w:val="0046679D"/>
    <w:rsid w:val="00466B13"/>
    <w:rsid w:val="004674E9"/>
    <w:rsid w:val="0046761F"/>
    <w:rsid w:val="00467B4E"/>
    <w:rsid w:val="00467D1F"/>
    <w:rsid w:val="00467E77"/>
    <w:rsid w:val="0047112A"/>
    <w:rsid w:val="00471156"/>
    <w:rsid w:val="00471213"/>
    <w:rsid w:val="00471861"/>
    <w:rsid w:val="00471B0D"/>
    <w:rsid w:val="00471EF0"/>
    <w:rsid w:val="00471FC7"/>
    <w:rsid w:val="004721C6"/>
    <w:rsid w:val="00472277"/>
    <w:rsid w:val="004722B7"/>
    <w:rsid w:val="004727C5"/>
    <w:rsid w:val="004728F0"/>
    <w:rsid w:val="0047320A"/>
    <w:rsid w:val="0047329F"/>
    <w:rsid w:val="00473999"/>
    <w:rsid w:val="00473BCB"/>
    <w:rsid w:val="00473C7A"/>
    <w:rsid w:val="00473CD3"/>
    <w:rsid w:val="00474053"/>
    <w:rsid w:val="00474E8F"/>
    <w:rsid w:val="004750B9"/>
    <w:rsid w:val="00475264"/>
    <w:rsid w:val="004756D7"/>
    <w:rsid w:val="00475844"/>
    <w:rsid w:val="00475877"/>
    <w:rsid w:val="00475907"/>
    <w:rsid w:val="00475A9D"/>
    <w:rsid w:val="00475C60"/>
    <w:rsid w:val="00475D3E"/>
    <w:rsid w:val="0047660A"/>
    <w:rsid w:val="00476AC3"/>
    <w:rsid w:val="00476EF7"/>
    <w:rsid w:val="00477213"/>
    <w:rsid w:val="00477225"/>
    <w:rsid w:val="0047774F"/>
    <w:rsid w:val="004778B3"/>
    <w:rsid w:val="004779B0"/>
    <w:rsid w:val="00477A26"/>
    <w:rsid w:val="00480105"/>
    <w:rsid w:val="00480C09"/>
    <w:rsid w:val="00481C30"/>
    <w:rsid w:val="00481EF7"/>
    <w:rsid w:val="00481F67"/>
    <w:rsid w:val="00482A13"/>
    <w:rsid w:val="00482C2D"/>
    <w:rsid w:val="004834BD"/>
    <w:rsid w:val="00484441"/>
    <w:rsid w:val="004845EB"/>
    <w:rsid w:val="004847C4"/>
    <w:rsid w:val="004848CE"/>
    <w:rsid w:val="0048499D"/>
    <w:rsid w:val="0048554C"/>
    <w:rsid w:val="00485C7A"/>
    <w:rsid w:val="00485F67"/>
    <w:rsid w:val="00486071"/>
    <w:rsid w:val="00486154"/>
    <w:rsid w:val="0048618B"/>
    <w:rsid w:val="004864F7"/>
    <w:rsid w:val="0048682D"/>
    <w:rsid w:val="00486C54"/>
    <w:rsid w:val="00486F26"/>
    <w:rsid w:val="00486FE7"/>
    <w:rsid w:val="00487C26"/>
    <w:rsid w:val="00487E3B"/>
    <w:rsid w:val="0049061C"/>
    <w:rsid w:val="0049119D"/>
    <w:rsid w:val="004914E6"/>
    <w:rsid w:val="00491EB8"/>
    <w:rsid w:val="004923BF"/>
    <w:rsid w:val="0049265A"/>
    <w:rsid w:val="00492A5F"/>
    <w:rsid w:val="0049326F"/>
    <w:rsid w:val="004933B8"/>
    <w:rsid w:val="00493B50"/>
    <w:rsid w:val="00493E2B"/>
    <w:rsid w:val="00493F9F"/>
    <w:rsid w:val="00494518"/>
    <w:rsid w:val="00494905"/>
    <w:rsid w:val="00494C6F"/>
    <w:rsid w:val="00494E46"/>
    <w:rsid w:val="00495593"/>
    <w:rsid w:val="00495A3D"/>
    <w:rsid w:val="00495AA0"/>
    <w:rsid w:val="00495B9F"/>
    <w:rsid w:val="00495E28"/>
    <w:rsid w:val="00496650"/>
    <w:rsid w:val="004966B2"/>
    <w:rsid w:val="004967AE"/>
    <w:rsid w:val="004970F1"/>
    <w:rsid w:val="0049765E"/>
    <w:rsid w:val="00497A06"/>
    <w:rsid w:val="00497BA7"/>
    <w:rsid w:val="004A01B3"/>
    <w:rsid w:val="004A02C2"/>
    <w:rsid w:val="004A1730"/>
    <w:rsid w:val="004A1939"/>
    <w:rsid w:val="004A197B"/>
    <w:rsid w:val="004A1A77"/>
    <w:rsid w:val="004A1FBE"/>
    <w:rsid w:val="004A203C"/>
    <w:rsid w:val="004A262F"/>
    <w:rsid w:val="004A286A"/>
    <w:rsid w:val="004A2D74"/>
    <w:rsid w:val="004A3390"/>
    <w:rsid w:val="004A39AF"/>
    <w:rsid w:val="004A3DDF"/>
    <w:rsid w:val="004A4121"/>
    <w:rsid w:val="004A4163"/>
    <w:rsid w:val="004A470C"/>
    <w:rsid w:val="004A51EB"/>
    <w:rsid w:val="004A532E"/>
    <w:rsid w:val="004A5BDC"/>
    <w:rsid w:val="004A61BF"/>
    <w:rsid w:val="004A6466"/>
    <w:rsid w:val="004A7463"/>
    <w:rsid w:val="004B044E"/>
    <w:rsid w:val="004B052C"/>
    <w:rsid w:val="004B0761"/>
    <w:rsid w:val="004B08A1"/>
    <w:rsid w:val="004B0C04"/>
    <w:rsid w:val="004B0DAA"/>
    <w:rsid w:val="004B0EA6"/>
    <w:rsid w:val="004B0EBC"/>
    <w:rsid w:val="004B0FA2"/>
    <w:rsid w:val="004B1445"/>
    <w:rsid w:val="004B1D5E"/>
    <w:rsid w:val="004B1D94"/>
    <w:rsid w:val="004B209B"/>
    <w:rsid w:val="004B27DA"/>
    <w:rsid w:val="004B28CC"/>
    <w:rsid w:val="004B355C"/>
    <w:rsid w:val="004B4078"/>
    <w:rsid w:val="004B4296"/>
    <w:rsid w:val="004B4472"/>
    <w:rsid w:val="004B4476"/>
    <w:rsid w:val="004B4A26"/>
    <w:rsid w:val="004B4E25"/>
    <w:rsid w:val="004B5425"/>
    <w:rsid w:val="004B56E8"/>
    <w:rsid w:val="004B595A"/>
    <w:rsid w:val="004B5DE1"/>
    <w:rsid w:val="004B6AD1"/>
    <w:rsid w:val="004B6BA5"/>
    <w:rsid w:val="004B6CD7"/>
    <w:rsid w:val="004B6EB7"/>
    <w:rsid w:val="004B73A3"/>
    <w:rsid w:val="004C050C"/>
    <w:rsid w:val="004C0EEB"/>
    <w:rsid w:val="004C1BDC"/>
    <w:rsid w:val="004C1C4E"/>
    <w:rsid w:val="004C1E45"/>
    <w:rsid w:val="004C218C"/>
    <w:rsid w:val="004C2445"/>
    <w:rsid w:val="004C2660"/>
    <w:rsid w:val="004C2B3D"/>
    <w:rsid w:val="004C377D"/>
    <w:rsid w:val="004C3B2F"/>
    <w:rsid w:val="004C3BAC"/>
    <w:rsid w:val="004C3D00"/>
    <w:rsid w:val="004C3DD9"/>
    <w:rsid w:val="004C4031"/>
    <w:rsid w:val="004C50DB"/>
    <w:rsid w:val="004C5C5A"/>
    <w:rsid w:val="004C676A"/>
    <w:rsid w:val="004C6D7B"/>
    <w:rsid w:val="004C7E77"/>
    <w:rsid w:val="004D026B"/>
    <w:rsid w:val="004D04A4"/>
    <w:rsid w:val="004D078F"/>
    <w:rsid w:val="004D0848"/>
    <w:rsid w:val="004D0C71"/>
    <w:rsid w:val="004D0E7E"/>
    <w:rsid w:val="004D14F4"/>
    <w:rsid w:val="004D156D"/>
    <w:rsid w:val="004D1694"/>
    <w:rsid w:val="004D17EA"/>
    <w:rsid w:val="004D1E88"/>
    <w:rsid w:val="004D2D2F"/>
    <w:rsid w:val="004D2E47"/>
    <w:rsid w:val="004D2E5B"/>
    <w:rsid w:val="004D302D"/>
    <w:rsid w:val="004D3AB9"/>
    <w:rsid w:val="004D3E9F"/>
    <w:rsid w:val="004D4AC1"/>
    <w:rsid w:val="004D58B0"/>
    <w:rsid w:val="004D59F8"/>
    <w:rsid w:val="004D60D8"/>
    <w:rsid w:val="004D623A"/>
    <w:rsid w:val="004D628E"/>
    <w:rsid w:val="004D6685"/>
    <w:rsid w:val="004D69B7"/>
    <w:rsid w:val="004D70B2"/>
    <w:rsid w:val="004D73CA"/>
    <w:rsid w:val="004E013A"/>
    <w:rsid w:val="004E05A6"/>
    <w:rsid w:val="004E0CB8"/>
    <w:rsid w:val="004E1170"/>
    <w:rsid w:val="004E196C"/>
    <w:rsid w:val="004E1D94"/>
    <w:rsid w:val="004E2003"/>
    <w:rsid w:val="004E2196"/>
    <w:rsid w:val="004E2A13"/>
    <w:rsid w:val="004E2CE3"/>
    <w:rsid w:val="004E2E4B"/>
    <w:rsid w:val="004E337E"/>
    <w:rsid w:val="004E341D"/>
    <w:rsid w:val="004E378A"/>
    <w:rsid w:val="004E392C"/>
    <w:rsid w:val="004E3AED"/>
    <w:rsid w:val="004E3BAB"/>
    <w:rsid w:val="004E3C78"/>
    <w:rsid w:val="004E4DAB"/>
    <w:rsid w:val="004E59DF"/>
    <w:rsid w:val="004E5C67"/>
    <w:rsid w:val="004E5C6A"/>
    <w:rsid w:val="004E5FFE"/>
    <w:rsid w:val="004E665D"/>
    <w:rsid w:val="004E67D5"/>
    <w:rsid w:val="004E6C87"/>
    <w:rsid w:val="004E6DBB"/>
    <w:rsid w:val="004E764C"/>
    <w:rsid w:val="004E7987"/>
    <w:rsid w:val="004E7A4A"/>
    <w:rsid w:val="004E7B4E"/>
    <w:rsid w:val="004E7ED2"/>
    <w:rsid w:val="004E7FE1"/>
    <w:rsid w:val="004F001B"/>
    <w:rsid w:val="004F079E"/>
    <w:rsid w:val="004F0E55"/>
    <w:rsid w:val="004F1745"/>
    <w:rsid w:val="004F17FE"/>
    <w:rsid w:val="004F19C8"/>
    <w:rsid w:val="004F1BA0"/>
    <w:rsid w:val="004F207B"/>
    <w:rsid w:val="004F23FD"/>
    <w:rsid w:val="004F2506"/>
    <w:rsid w:val="004F25F5"/>
    <w:rsid w:val="004F272A"/>
    <w:rsid w:val="004F2AD1"/>
    <w:rsid w:val="004F340D"/>
    <w:rsid w:val="004F350A"/>
    <w:rsid w:val="004F3F86"/>
    <w:rsid w:val="004F4E08"/>
    <w:rsid w:val="004F4F3E"/>
    <w:rsid w:val="004F56EE"/>
    <w:rsid w:val="004F5819"/>
    <w:rsid w:val="004F5AF3"/>
    <w:rsid w:val="004F610B"/>
    <w:rsid w:val="004F68F1"/>
    <w:rsid w:val="004F6BEA"/>
    <w:rsid w:val="004F7BAB"/>
    <w:rsid w:val="00500362"/>
    <w:rsid w:val="00500C8B"/>
    <w:rsid w:val="00500D80"/>
    <w:rsid w:val="00501097"/>
    <w:rsid w:val="005015FA"/>
    <w:rsid w:val="00501FB7"/>
    <w:rsid w:val="00501FC4"/>
    <w:rsid w:val="00502013"/>
    <w:rsid w:val="00502AD8"/>
    <w:rsid w:val="005034C7"/>
    <w:rsid w:val="00503571"/>
    <w:rsid w:val="00503B4F"/>
    <w:rsid w:val="00503CD9"/>
    <w:rsid w:val="0050443B"/>
    <w:rsid w:val="00504AF0"/>
    <w:rsid w:val="00504CDD"/>
    <w:rsid w:val="0050522F"/>
    <w:rsid w:val="00505257"/>
    <w:rsid w:val="0050532C"/>
    <w:rsid w:val="005058A8"/>
    <w:rsid w:val="00505C75"/>
    <w:rsid w:val="00505F49"/>
    <w:rsid w:val="005062F6"/>
    <w:rsid w:val="00506713"/>
    <w:rsid w:val="00506E95"/>
    <w:rsid w:val="005071B9"/>
    <w:rsid w:val="00507A71"/>
    <w:rsid w:val="00507E30"/>
    <w:rsid w:val="00507FF8"/>
    <w:rsid w:val="0051019D"/>
    <w:rsid w:val="005106F6"/>
    <w:rsid w:val="00510736"/>
    <w:rsid w:val="005114A0"/>
    <w:rsid w:val="00511D72"/>
    <w:rsid w:val="00512899"/>
    <w:rsid w:val="00512B3F"/>
    <w:rsid w:val="00512BD1"/>
    <w:rsid w:val="0051304C"/>
    <w:rsid w:val="00513101"/>
    <w:rsid w:val="00513105"/>
    <w:rsid w:val="005141B6"/>
    <w:rsid w:val="0051426A"/>
    <w:rsid w:val="005144F4"/>
    <w:rsid w:val="00514E3B"/>
    <w:rsid w:val="005156DB"/>
    <w:rsid w:val="0051587D"/>
    <w:rsid w:val="00515886"/>
    <w:rsid w:val="00515E75"/>
    <w:rsid w:val="0051665F"/>
    <w:rsid w:val="00516B84"/>
    <w:rsid w:val="00516BEC"/>
    <w:rsid w:val="00516C4C"/>
    <w:rsid w:val="0051735F"/>
    <w:rsid w:val="00517669"/>
    <w:rsid w:val="0052026C"/>
    <w:rsid w:val="00520602"/>
    <w:rsid w:val="005206DD"/>
    <w:rsid w:val="005207AB"/>
    <w:rsid w:val="0052089B"/>
    <w:rsid w:val="0052121A"/>
    <w:rsid w:val="0052225C"/>
    <w:rsid w:val="00522326"/>
    <w:rsid w:val="00522E47"/>
    <w:rsid w:val="00523468"/>
    <w:rsid w:val="005237CE"/>
    <w:rsid w:val="00523C8D"/>
    <w:rsid w:val="00524330"/>
    <w:rsid w:val="0052470D"/>
    <w:rsid w:val="00524CA1"/>
    <w:rsid w:val="00524EFD"/>
    <w:rsid w:val="005251B8"/>
    <w:rsid w:val="00525682"/>
    <w:rsid w:val="00525BD2"/>
    <w:rsid w:val="00525E37"/>
    <w:rsid w:val="00525F70"/>
    <w:rsid w:val="00526FBC"/>
    <w:rsid w:val="00527285"/>
    <w:rsid w:val="00527B36"/>
    <w:rsid w:val="00527D42"/>
    <w:rsid w:val="00527D4D"/>
    <w:rsid w:val="00530589"/>
    <w:rsid w:val="005309D4"/>
    <w:rsid w:val="00530B65"/>
    <w:rsid w:val="005311BC"/>
    <w:rsid w:val="00531419"/>
    <w:rsid w:val="00531947"/>
    <w:rsid w:val="00531999"/>
    <w:rsid w:val="00531BD3"/>
    <w:rsid w:val="00532102"/>
    <w:rsid w:val="00532483"/>
    <w:rsid w:val="005329A1"/>
    <w:rsid w:val="00532A77"/>
    <w:rsid w:val="00532E83"/>
    <w:rsid w:val="00533B31"/>
    <w:rsid w:val="00534F9A"/>
    <w:rsid w:val="0053513E"/>
    <w:rsid w:val="005353AE"/>
    <w:rsid w:val="005357D7"/>
    <w:rsid w:val="005357EA"/>
    <w:rsid w:val="00535CF1"/>
    <w:rsid w:val="00535F2F"/>
    <w:rsid w:val="005366BF"/>
    <w:rsid w:val="00536F5D"/>
    <w:rsid w:val="00536FD0"/>
    <w:rsid w:val="005379AF"/>
    <w:rsid w:val="00537A0C"/>
    <w:rsid w:val="00537B10"/>
    <w:rsid w:val="0054012C"/>
    <w:rsid w:val="00540338"/>
    <w:rsid w:val="005409D8"/>
    <w:rsid w:val="00540D5B"/>
    <w:rsid w:val="00540DA3"/>
    <w:rsid w:val="00541426"/>
    <w:rsid w:val="00541600"/>
    <w:rsid w:val="00541FFF"/>
    <w:rsid w:val="00542313"/>
    <w:rsid w:val="005423BE"/>
    <w:rsid w:val="00542CE3"/>
    <w:rsid w:val="005432B3"/>
    <w:rsid w:val="0054343B"/>
    <w:rsid w:val="005434F7"/>
    <w:rsid w:val="00543981"/>
    <w:rsid w:val="00543AC9"/>
    <w:rsid w:val="005447FE"/>
    <w:rsid w:val="00544D46"/>
    <w:rsid w:val="0054587E"/>
    <w:rsid w:val="00545D2A"/>
    <w:rsid w:val="00545DA2"/>
    <w:rsid w:val="0054647F"/>
    <w:rsid w:val="00546BA8"/>
    <w:rsid w:val="0054716C"/>
    <w:rsid w:val="005477B1"/>
    <w:rsid w:val="0055002F"/>
    <w:rsid w:val="00550030"/>
    <w:rsid w:val="0055046B"/>
    <w:rsid w:val="0055055D"/>
    <w:rsid w:val="00550BD9"/>
    <w:rsid w:val="00551249"/>
    <w:rsid w:val="005513F0"/>
    <w:rsid w:val="005516A3"/>
    <w:rsid w:val="005516F7"/>
    <w:rsid w:val="00551AF7"/>
    <w:rsid w:val="00551C9E"/>
    <w:rsid w:val="00551CFE"/>
    <w:rsid w:val="00551DD8"/>
    <w:rsid w:val="00551F28"/>
    <w:rsid w:val="0055263C"/>
    <w:rsid w:val="00552939"/>
    <w:rsid w:val="0055295A"/>
    <w:rsid w:val="00552CC9"/>
    <w:rsid w:val="00552E12"/>
    <w:rsid w:val="00552EBE"/>
    <w:rsid w:val="00552F31"/>
    <w:rsid w:val="00552F3C"/>
    <w:rsid w:val="005531E5"/>
    <w:rsid w:val="005532A4"/>
    <w:rsid w:val="00553457"/>
    <w:rsid w:val="00553560"/>
    <w:rsid w:val="005536C5"/>
    <w:rsid w:val="005543D1"/>
    <w:rsid w:val="005544A8"/>
    <w:rsid w:val="00554764"/>
    <w:rsid w:val="005549BD"/>
    <w:rsid w:val="005554D1"/>
    <w:rsid w:val="005556C4"/>
    <w:rsid w:val="0055631B"/>
    <w:rsid w:val="00556893"/>
    <w:rsid w:val="00557CF4"/>
    <w:rsid w:val="005614F1"/>
    <w:rsid w:val="00561F7C"/>
    <w:rsid w:val="00561FD0"/>
    <w:rsid w:val="005623EE"/>
    <w:rsid w:val="005624C9"/>
    <w:rsid w:val="005624F0"/>
    <w:rsid w:val="0056254D"/>
    <w:rsid w:val="005628D6"/>
    <w:rsid w:val="0056315B"/>
    <w:rsid w:val="0056457E"/>
    <w:rsid w:val="0056529F"/>
    <w:rsid w:val="0056568F"/>
    <w:rsid w:val="00565E66"/>
    <w:rsid w:val="00566037"/>
    <w:rsid w:val="005663B4"/>
    <w:rsid w:val="00566550"/>
    <w:rsid w:val="005665C7"/>
    <w:rsid w:val="00566754"/>
    <w:rsid w:val="0056699A"/>
    <w:rsid w:val="00566A90"/>
    <w:rsid w:val="00566AC2"/>
    <w:rsid w:val="00566B00"/>
    <w:rsid w:val="0056719E"/>
    <w:rsid w:val="00567630"/>
    <w:rsid w:val="00567F31"/>
    <w:rsid w:val="00570695"/>
    <w:rsid w:val="0057070D"/>
    <w:rsid w:val="00570AA9"/>
    <w:rsid w:val="00570D96"/>
    <w:rsid w:val="00571060"/>
    <w:rsid w:val="00571137"/>
    <w:rsid w:val="0057123C"/>
    <w:rsid w:val="0057140E"/>
    <w:rsid w:val="00571BB9"/>
    <w:rsid w:val="00571C5D"/>
    <w:rsid w:val="005720E7"/>
    <w:rsid w:val="00572617"/>
    <w:rsid w:val="00572738"/>
    <w:rsid w:val="00572773"/>
    <w:rsid w:val="00572ACD"/>
    <w:rsid w:val="00573141"/>
    <w:rsid w:val="00573166"/>
    <w:rsid w:val="005733C2"/>
    <w:rsid w:val="00573DA1"/>
    <w:rsid w:val="00573E38"/>
    <w:rsid w:val="00573F54"/>
    <w:rsid w:val="005742FE"/>
    <w:rsid w:val="005749DF"/>
    <w:rsid w:val="00574EFE"/>
    <w:rsid w:val="005752F1"/>
    <w:rsid w:val="005766B8"/>
    <w:rsid w:val="005768C2"/>
    <w:rsid w:val="00577987"/>
    <w:rsid w:val="00577B5E"/>
    <w:rsid w:val="00577E2F"/>
    <w:rsid w:val="00577F3A"/>
    <w:rsid w:val="00580810"/>
    <w:rsid w:val="00580C8A"/>
    <w:rsid w:val="0058104D"/>
    <w:rsid w:val="005810A9"/>
    <w:rsid w:val="005811A1"/>
    <w:rsid w:val="0058138D"/>
    <w:rsid w:val="005814BE"/>
    <w:rsid w:val="00582175"/>
    <w:rsid w:val="00582581"/>
    <w:rsid w:val="005828CE"/>
    <w:rsid w:val="00583202"/>
    <w:rsid w:val="00583D62"/>
    <w:rsid w:val="00583F91"/>
    <w:rsid w:val="0058453E"/>
    <w:rsid w:val="005845DB"/>
    <w:rsid w:val="00584907"/>
    <w:rsid w:val="00584D71"/>
    <w:rsid w:val="005851EA"/>
    <w:rsid w:val="00585AC9"/>
    <w:rsid w:val="00585BD7"/>
    <w:rsid w:val="0058640D"/>
    <w:rsid w:val="005867E5"/>
    <w:rsid w:val="00586814"/>
    <w:rsid w:val="005869CC"/>
    <w:rsid w:val="0058749C"/>
    <w:rsid w:val="005879CA"/>
    <w:rsid w:val="00587B29"/>
    <w:rsid w:val="00587CAA"/>
    <w:rsid w:val="00590BFC"/>
    <w:rsid w:val="00590FBF"/>
    <w:rsid w:val="0059150C"/>
    <w:rsid w:val="00591510"/>
    <w:rsid w:val="00591576"/>
    <w:rsid w:val="00592319"/>
    <w:rsid w:val="0059287A"/>
    <w:rsid w:val="00592996"/>
    <w:rsid w:val="00592E6A"/>
    <w:rsid w:val="00593026"/>
    <w:rsid w:val="005934AD"/>
    <w:rsid w:val="0059369F"/>
    <w:rsid w:val="005938F6"/>
    <w:rsid w:val="00593AFF"/>
    <w:rsid w:val="00593D10"/>
    <w:rsid w:val="00593DC4"/>
    <w:rsid w:val="00593FF5"/>
    <w:rsid w:val="005940CB"/>
    <w:rsid w:val="0059469E"/>
    <w:rsid w:val="00594C8D"/>
    <w:rsid w:val="005954E1"/>
    <w:rsid w:val="005957C8"/>
    <w:rsid w:val="0059586D"/>
    <w:rsid w:val="00596192"/>
    <w:rsid w:val="0059663F"/>
    <w:rsid w:val="00597791"/>
    <w:rsid w:val="00597934"/>
    <w:rsid w:val="005A0501"/>
    <w:rsid w:val="005A0BCA"/>
    <w:rsid w:val="005A0CBF"/>
    <w:rsid w:val="005A14E9"/>
    <w:rsid w:val="005A155E"/>
    <w:rsid w:val="005A1D66"/>
    <w:rsid w:val="005A1EC3"/>
    <w:rsid w:val="005A1F82"/>
    <w:rsid w:val="005A2255"/>
    <w:rsid w:val="005A24F3"/>
    <w:rsid w:val="005A26DE"/>
    <w:rsid w:val="005A280E"/>
    <w:rsid w:val="005A3087"/>
    <w:rsid w:val="005A3B77"/>
    <w:rsid w:val="005A4018"/>
    <w:rsid w:val="005A47EE"/>
    <w:rsid w:val="005A4D35"/>
    <w:rsid w:val="005A518C"/>
    <w:rsid w:val="005A5AA4"/>
    <w:rsid w:val="005A65FE"/>
    <w:rsid w:val="005A674A"/>
    <w:rsid w:val="005A67FC"/>
    <w:rsid w:val="005A6844"/>
    <w:rsid w:val="005A68CD"/>
    <w:rsid w:val="005A76A4"/>
    <w:rsid w:val="005A7C44"/>
    <w:rsid w:val="005B0601"/>
    <w:rsid w:val="005B0A54"/>
    <w:rsid w:val="005B0C45"/>
    <w:rsid w:val="005B0C68"/>
    <w:rsid w:val="005B0EB2"/>
    <w:rsid w:val="005B0F78"/>
    <w:rsid w:val="005B0FDA"/>
    <w:rsid w:val="005B1323"/>
    <w:rsid w:val="005B1891"/>
    <w:rsid w:val="005B2008"/>
    <w:rsid w:val="005B2652"/>
    <w:rsid w:val="005B2858"/>
    <w:rsid w:val="005B28F1"/>
    <w:rsid w:val="005B2F74"/>
    <w:rsid w:val="005B32B9"/>
    <w:rsid w:val="005B3ADB"/>
    <w:rsid w:val="005B3CF3"/>
    <w:rsid w:val="005B42AC"/>
    <w:rsid w:val="005B4D6D"/>
    <w:rsid w:val="005B4E96"/>
    <w:rsid w:val="005B4F09"/>
    <w:rsid w:val="005B5094"/>
    <w:rsid w:val="005B5293"/>
    <w:rsid w:val="005B52F4"/>
    <w:rsid w:val="005B6264"/>
    <w:rsid w:val="005B6DDA"/>
    <w:rsid w:val="005B6E66"/>
    <w:rsid w:val="005B6E70"/>
    <w:rsid w:val="005B6F8A"/>
    <w:rsid w:val="005B7108"/>
    <w:rsid w:val="005B7534"/>
    <w:rsid w:val="005B7A2F"/>
    <w:rsid w:val="005C04F7"/>
    <w:rsid w:val="005C05D8"/>
    <w:rsid w:val="005C08D1"/>
    <w:rsid w:val="005C0F51"/>
    <w:rsid w:val="005C124A"/>
    <w:rsid w:val="005C17FD"/>
    <w:rsid w:val="005C188D"/>
    <w:rsid w:val="005C1FEA"/>
    <w:rsid w:val="005C208F"/>
    <w:rsid w:val="005C23E2"/>
    <w:rsid w:val="005C2FE9"/>
    <w:rsid w:val="005C3D45"/>
    <w:rsid w:val="005C4161"/>
    <w:rsid w:val="005C4D19"/>
    <w:rsid w:val="005C5801"/>
    <w:rsid w:val="005C58C8"/>
    <w:rsid w:val="005C63E9"/>
    <w:rsid w:val="005C6C4C"/>
    <w:rsid w:val="005C6F5C"/>
    <w:rsid w:val="005C701F"/>
    <w:rsid w:val="005C7552"/>
    <w:rsid w:val="005D01F5"/>
    <w:rsid w:val="005D02C7"/>
    <w:rsid w:val="005D0514"/>
    <w:rsid w:val="005D066E"/>
    <w:rsid w:val="005D09A8"/>
    <w:rsid w:val="005D1087"/>
    <w:rsid w:val="005D1201"/>
    <w:rsid w:val="005D15A7"/>
    <w:rsid w:val="005D1A1A"/>
    <w:rsid w:val="005D218B"/>
    <w:rsid w:val="005D2452"/>
    <w:rsid w:val="005D27AF"/>
    <w:rsid w:val="005D2EF4"/>
    <w:rsid w:val="005D3815"/>
    <w:rsid w:val="005D4081"/>
    <w:rsid w:val="005D4392"/>
    <w:rsid w:val="005D47C5"/>
    <w:rsid w:val="005D4914"/>
    <w:rsid w:val="005D4D4F"/>
    <w:rsid w:val="005D5001"/>
    <w:rsid w:val="005D5011"/>
    <w:rsid w:val="005D5BD5"/>
    <w:rsid w:val="005D61E2"/>
    <w:rsid w:val="005D61F9"/>
    <w:rsid w:val="005D6514"/>
    <w:rsid w:val="005D69E1"/>
    <w:rsid w:val="005D6CE6"/>
    <w:rsid w:val="005D6D7F"/>
    <w:rsid w:val="005D7096"/>
    <w:rsid w:val="005D7D27"/>
    <w:rsid w:val="005D7EA6"/>
    <w:rsid w:val="005E03C3"/>
    <w:rsid w:val="005E07A9"/>
    <w:rsid w:val="005E0CCA"/>
    <w:rsid w:val="005E0D7B"/>
    <w:rsid w:val="005E1258"/>
    <w:rsid w:val="005E139A"/>
    <w:rsid w:val="005E17BA"/>
    <w:rsid w:val="005E1991"/>
    <w:rsid w:val="005E223F"/>
    <w:rsid w:val="005E2C99"/>
    <w:rsid w:val="005E2CB9"/>
    <w:rsid w:val="005E316B"/>
    <w:rsid w:val="005E357A"/>
    <w:rsid w:val="005E388B"/>
    <w:rsid w:val="005E40F1"/>
    <w:rsid w:val="005E428A"/>
    <w:rsid w:val="005E5908"/>
    <w:rsid w:val="005E5BD8"/>
    <w:rsid w:val="005E617C"/>
    <w:rsid w:val="005E6522"/>
    <w:rsid w:val="005E6B2C"/>
    <w:rsid w:val="005E6D92"/>
    <w:rsid w:val="005E6DFC"/>
    <w:rsid w:val="005E73D3"/>
    <w:rsid w:val="005E79A1"/>
    <w:rsid w:val="005E7EC0"/>
    <w:rsid w:val="005F00E2"/>
    <w:rsid w:val="005F024B"/>
    <w:rsid w:val="005F08EB"/>
    <w:rsid w:val="005F0F5A"/>
    <w:rsid w:val="005F0FFE"/>
    <w:rsid w:val="005F1161"/>
    <w:rsid w:val="005F127D"/>
    <w:rsid w:val="005F17C1"/>
    <w:rsid w:val="005F181B"/>
    <w:rsid w:val="005F184F"/>
    <w:rsid w:val="005F1CF5"/>
    <w:rsid w:val="005F2024"/>
    <w:rsid w:val="005F2487"/>
    <w:rsid w:val="005F2768"/>
    <w:rsid w:val="005F27E7"/>
    <w:rsid w:val="005F2A58"/>
    <w:rsid w:val="005F2AC8"/>
    <w:rsid w:val="005F2B10"/>
    <w:rsid w:val="005F2B2C"/>
    <w:rsid w:val="005F475F"/>
    <w:rsid w:val="005F48AE"/>
    <w:rsid w:val="005F4A27"/>
    <w:rsid w:val="005F4B87"/>
    <w:rsid w:val="005F5B30"/>
    <w:rsid w:val="005F5CD7"/>
    <w:rsid w:val="005F615A"/>
    <w:rsid w:val="005F644D"/>
    <w:rsid w:val="005F6786"/>
    <w:rsid w:val="005F729A"/>
    <w:rsid w:val="005F72BE"/>
    <w:rsid w:val="005F72D6"/>
    <w:rsid w:val="005F76E4"/>
    <w:rsid w:val="005F7985"/>
    <w:rsid w:val="006000AD"/>
    <w:rsid w:val="00600216"/>
    <w:rsid w:val="00600248"/>
    <w:rsid w:val="00600334"/>
    <w:rsid w:val="0060033F"/>
    <w:rsid w:val="0060084E"/>
    <w:rsid w:val="00600BA5"/>
    <w:rsid w:val="006014FC"/>
    <w:rsid w:val="0060210C"/>
    <w:rsid w:val="006023F1"/>
    <w:rsid w:val="006024C8"/>
    <w:rsid w:val="00602F47"/>
    <w:rsid w:val="00603C4D"/>
    <w:rsid w:val="00603C84"/>
    <w:rsid w:val="00603FB7"/>
    <w:rsid w:val="006045D2"/>
    <w:rsid w:val="006046BD"/>
    <w:rsid w:val="0060495C"/>
    <w:rsid w:val="006049F2"/>
    <w:rsid w:val="00604A1A"/>
    <w:rsid w:val="00604BBD"/>
    <w:rsid w:val="00604C7E"/>
    <w:rsid w:val="00604DB2"/>
    <w:rsid w:val="00604EFA"/>
    <w:rsid w:val="0060528E"/>
    <w:rsid w:val="006059BA"/>
    <w:rsid w:val="006059CD"/>
    <w:rsid w:val="00605B2F"/>
    <w:rsid w:val="006066BE"/>
    <w:rsid w:val="00606D30"/>
    <w:rsid w:val="00607080"/>
    <w:rsid w:val="006072EE"/>
    <w:rsid w:val="0060737B"/>
    <w:rsid w:val="00607534"/>
    <w:rsid w:val="0060758B"/>
    <w:rsid w:val="00607C91"/>
    <w:rsid w:val="00607D99"/>
    <w:rsid w:val="00607EBE"/>
    <w:rsid w:val="00607FE3"/>
    <w:rsid w:val="0061051B"/>
    <w:rsid w:val="006105CE"/>
    <w:rsid w:val="0061076A"/>
    <w:rsid w:val="006107FE"/>
    <w:rsid w:val="006108B6"/>
    <w:rsid w:val="0061124F"/>
    <w:rsid w:val="00611A16"/>
    <w:rsid w:val="00611AED"/>
    <w:rsid w:val="0061206D"/>
    <w:rsid w:val="00612A7B"/>
    <w:rsid w:val="00612F7C"/>
    <w:rsid w:val="006138BA"/>
    <w:rsid w:val="00614671"/>
    <w:rsid w:val="00614B8A"/>
    <w:rsid w:val="00614D0C"/>
    <w:rsid w:val="00615C30"/>
    <w:rsid w:val="00616329"/>
    <w:rsid w:val="006163CA"/>
    <w:rsid w:val="006164FC"/>
    <w:rsid w:val="006172B6"/>
    <w:rsid w:val="006179DF"/>
    <w:rsid w:val="00617D74"/>
    <w:rsid w:val="006200BB"/>
    <w:rsid w:val="006207F0"/>
    <w:rsid w:val="00620975"/>
    <w:rsid w:val="006211E3"/>
    <w:rsid w:val="00621639"/>
    <w:rsid w:val="00621A95"/>
    <w:rsid w:val="0062200F"/>
    <w:rsid w:val="006221CD"/>
    <w:rsid w:val="006221D2"/>
    <w:rsid w:val="006228AE"/>
    <w:rsid w:val="006237D5"/>
    <w:rsid w:val="00623C57"/>
    <w:rsid w:val="00623F61"/>
    <w:rsid w:val="006246C1"/>
    <w:rsid w:val="00625068"/>
    <w:rsid w:val="006253BA"/>
    <w:rsid w:val="006254DA"/>
    <w:rsid w:val="006258D8"/>
    <w:rsid w:val="00625F56"/>
    <w:rsid w:val="00626393"/>
    <w:rsid w:val="00627B61"/>
    <w:rsid w:val="00627BFC"/>
    <w:rsid w:val="006301E9"/>
    <w:rsid w:val="00630402"/>
    <w:rsid w:val="00630636"/>
    <w:rsid w:val="006314B8"/>
    <w:rsid w:val="0063235F"/>
    <w:rsid w:val="00632535"/>
    <w:rsid w:val="00632F8D"/>
    <w:rsid w:val="0063351C"/>
    <w:rsid w:val="006341C6"/>
    <w:rsid w:val="006343D1"/>
    <w:rsid w:val="00634637"/>
    <w:rsid w:val="00634650"/>
    <w:rsid w:val="00634A80"/>
    <w:rsid w:val="0063539C"/>
    <w:rsid w:val="00635AE7"/>
    <w:rsid w:val="00635E56"/>
    <w:rsid w:val="00636185"/>
    <w:rsid w:val="006362C9"/>
    <w:rsid w:val="006364D4"/>
    <w:rsid w:val="00636DF7"/>
    <w:rsid w:val="00637E23"/>
    <w:rsid w:val="00637EC9"/>
    <w:rsid w:val="0064089B"/>
    <w:rsid w:val="00640BAD"/>
    <w:rsid w:val="00641003"/>
    <w:rsid w:val="006410F8"/>
    <w:rsid w:val="006412B6"/>
    <w:rsid w:val="0064160B"/>
    <w:rsid w:val="00641B34"/>
    <w:rsid w:val="006428DD"/>
    <w:rsid w:val="006429D1"/>
    <w:rsid w:val="00642DC2"/>
    <w:rsid w:val="00642FBA"/>
    <w:rsid w:val="006436C7"/>
    <w:rsid w:val="006445B6"/>
    <w:rsid w:val="00644A6A"/>
    <w:rsid w:val="00644B72"/>
    <w:rsid w:val="00644B9E"/>
    <w:rsid w:val="0064559D"/>
    <w:rsid w:val="00645628"/>
    <w:rsid w:val="00645821"/>
    <w:rsid w:val="00645B3C"/>
    <w:rsid w:val="00645BA0"/>
    <w:rsid w:val="0064647D"/>
    <w:rsid w:val="006467B5"/>
    <w:rsid w:val="00646A0A"/>
    <w:rsid w:val="00646B19"/>
    <w:rsid w:val="00646E5C"/>
    <w:rsid w:val="00646EB8"/>
    <w:rsid w:val="0064723B"/>
    <w:rsid w:val="0064737B"/>
    <w:rsid w:val="00650006"/>
    <w:rsid w:val="006505B2"/>
    <w:rsid w:val="00650D8C"/>
    <w:rsid w:val="0065100C"/>
    <w:rsid w:val="00651115"/>
    <w:rsid w:val="006513AB"/>
    <w:rsid w:val="00651A3F"/>
    <w:rsid w:val="00651CC0"/>
    <w:rsid w:val="00651D11"/>
    <w:rsid w:val="006520DC"/>
    <w:rsid w:val="006527E2"/>
    <w:rsid w:val="006529E8"/>
    <w:rsid w:val="00652BC9"/>
    <w:rsid w:val="00652DC3"/>
    <w:rsid w:val="00653839"/>
    <w:rsid w:val="006542DB"/>
    <w:rsid w:val="00654D9F"/>
    <w:rsid w:val="00654F97"/>
    <w:rsid w:val="00655379"/>
    <w:rsid w:val="006555D2"/>
    <w:rsid w:val="006557B2"/>
    <w:rsid w:val="00656028"/>
    <w:rsid w:val="0065655C"/>
    <w:rsid w:val="0065664E"/>
    <w:rsid w:val="00656D28"/>
    <w:rsid w:val="006576E1"/>
    <w:rsid w:val="006576FE"/>
    <w:rsid w:val="00657ED0"/>
    <w:rsid w:val="00660875"/>
    <w:rsid w:val="00660966"/>
    <w:rsid w:val="00661311"/>
    <w:rsid w:val="006619BF"/>
    <w:rsid w:val="0066220A"/>
    <w:rsid w:val="00662B62"/>
    <w:rsid w:val="00663A77"/>
    <w:rsid w:val="00663B00"/>
    <w:rsid w:val="00664E33"/>
    <w:rsid w:val="00665194"/>
    <w:rsid w:val="006653C8"/>
    <w:rsid w:val="0066566A"/>
    <w:rsid w:val="006659B1"/>
    <w:rsid w:val="00665C6C"/>
    <w:rsid w:val="00665E33"/>
    <w:rsid w:val="00666091"/>
    <w:rsid w:val="006666FB"/>
    <w:rsid w:val="00666C77"/>
    <w:rsid w:val="006676DF"/>
    <w:rsid w:val="006678AF"/>
    <w:rsid w:val="006706D0"/>
    <w:rsid w:val="00670E44"/>
    <w:rsid w:val="006714A4"/>
    <w:rsid w:val="00671A37"/>
    <w:rsid w:val="00671BBA"/>
    <w:rsid w:val="00671EC4"/>
    <w:rsid w:val="00672913"/>
    <w:rsid w:val="00672D2B"/>
    <w:rsid w:val="0067324E"/>
    <w:rsid w:val="0067339E"/>
    <w:rsid w:val="00673FB2"/>
    <w:rsid w:val="00674579"/>
    <w:rsid w:val="00674919"/>
    <w:rsid w:val="00674ACC"/>
    <w:rsid w:val="00675035"/>
    <w:rsid w:val="00675050"/>
    <w:rsid w:val="00675220"/>
    <w:rsid w:val="006758C7"/>
    <w:rsid w:val="00675F51"/>
    <w:rsid w:val="00676C3E"/>
    <w:rsid w:val="00676D32"/>
    <w:rsid w:val="006771D4"/>
    <w:rsid w:val="00677926"/>
    <w:rsid w:val="00677A03"/>
    <w:rsid w:val="00677ADF"/>
    <w:rsid w:val="00677E87"/>
    <w:rsid w:val="0068046A"/>
    <w:rsid w:val="006806F1"/>
    <w:rsid w:val="00680A27"/>
    <w:rsid w:val="00680B96"/>
    <w:rsid w:val="00680E2F"/>
    <w:rsid w:val="00681F62"/>
    <w:rsid w:val="006825A6"/>
    <w:rsid w:val="006828E5"/>
    <w:rsid w:val="006833A7"/>
    <w:rsid w:val="006836E6"/>
    <w:rsid w:val="00683753"/>
    <w:rsid w:val="00683859"/>
    <w:rsid w:val="006838FF"/>
    <w:rsid w:val="00684051"/>
    <w:rsid w:val="0068491D"/>
    <w:rsid w:val="006849F2"/>
    <w:rsid w:val="00684BE6"/>
    <w:rsid w:val="00684EEF"/>
    <w:rsid w:val="006852F5"/>
    <w:rsid w:val="00685936"/>
    <w:rsid w:val="006859BC"/>
    <w:rsid w:val="00686123"/>
    <w:rsid w:val="00686130"/>
    <w:rsid w:val="0068627F"/>
    <w:rsid w:val="006867DB"/>
    <w:rsid w:val="00686F85"/>
    <w:rsid w:val="00686FC4"/>
    <w:rsid w:val="00687034"/>
    <w:rsid w:val="0068738E"/>
    <w:rsid w:val="006877B4"/>
    <w:rsid w:val="006900E2"/>
    <w:rsid w:val="00690139"/>
    <w:rsid w:val="00690C39"/>
    <w:rsid w:val="00690CC7"/>
    <w:rsid w:val="00690F77"/>
    <w:rsid w:val="00690FED"/>
    <w:rsid w:val="00691237"/>
    <w:rsid w:val="00691338"/>
    <w:rsid w:val="00692641"/>
    <w:rsid w:val="0069279E"/>
    <w:rsid w:val="006927F5"/>
    <w:rsid w:val="006928E2"/>
    <w:rsid w:val="0069300E"/>
    <w:rsid w:val="0069378D"/>
    <w:rsid w:val="006946B3"/>
    <w:rsid w:val="006952BD"/>
    <w:rsid w:val="0069555A"/>
    <w:rsid w:val="0069560F"/>
    <w:rsid w:val="00695E27"/>
    <w:rsid w:val="00696A8C"/>
    <w:rsid w:val="00696D1C"/>
    <w:rsid w:val="00696FB5"/>
    <w:rsid w:val="00697CC5"/>
    <w:rsid w:val="00697D08"/>
    <w:rsid w:val="006A021B"/>
    <w:rsid w:val="006A0A57"/>
    <w:rsid w:val="006A0D07"/>
    <w:rsid w:val="006A1097"/>
    <w:rsid w:val="006A1B74"/>
    <w:rsid w:val="006A229B"/>
    <w:rsid w:val="006A22C1"/>
    <w:rsid w:val="006A2722"/>
    <w:rsid w:val="006A293F"/>
    <w:rsid w:val="006A299B"/>
    <w:rsid w:val="006A31D7"/>
    <w:rsid w:val="006A3285"/>
    <w:rsid w:val="006A343D"/>
    <w:rsid w:val="006A3AFF"/>
    <w:rsid w:val="006A4052"/>
    <w:rsid w:val="006A4104"/>
    <w:rsid w:val="006A42B6"/>
    <w:rsid w:val="006A44BA"/>
    <w:rsid w:val="006A4E13"/>
    <w:rsid w:val="006A51D6"/>
    <w:rsid w:val="006A543E"/>
    <w:rsid w:val="006A676D"/>
    <w:rsid w:val="006A7412"/>
    <w:rsid w:val="006A7C9A"/>
    <w:rsid w:val="006A7E1E"/>
    <w:rsid w:val="006A7F61"/>
    <w:rsid w:val="006B00E4"/>
    <w:rsid w:val="006B028E"/>
    <w:rsid w:val="006B02E1"/>
    <w:rsid w:val="006B0809"/>
    <w:rsid w:val="006B0C34"/>
    <w:rsid w:val="006B0F1D"/>
    <w:rsid w:val="006B1B96"/>
    <w:rsid w:val="006B2C14"/>
    <w:rsid w:val="006B346B"/>
    <w:rsid w:val="006B37C0"/>
    <w:rsid w:val="006B39D4"/>
    <w:rsid w:val="006B3C35"/>
    <w:rsid w:val="006B3D5E"/>
    <w:rsid w:val="006B4AC8"/>
    <w:rsid w:val="006B5282"/>
    <w:rsid w:val="006B528F"/>
    <w:rsid w:val="006B53C3"/>
    <w:rsid w:val="006B5D63"/>
    <w:rsid w:val="006B5E2B"/>
    <w:rsid w:val="006B618E"/>
    <w:rsid w:val="006B6458"/>
    <w:rsid w:val="006B6621"/>
    <w:rsid w:val="006B6911"/>
    <w:rsid w:val="006B729C"/>
    <w:rsid w:val="006B7ACD"/>
    <w:rsid w:val="006C09B6"/>
    <w:rsid w:val="006C0A0F"/>
    <w:rsid w:val="006C0A4A"/>
    <w:rsid w:val="006C0DA6"/>
    <w:rsid w:val="006C0EB4"/>
    <w:rsid w:val="006C1558"/>
    <w:rsid w:val="006C1595"/>
    <w:rsid w:val="006C1C69"/>
    <w:rsid w:val="006C3716"/>
    <w:rsid w:val="006C3754"/>
    <w:rsid w:val="006C38D5"/>
    <w:rsid w:val="006C4AC5"/>
    <w:rsid w:val="006C5170"/>
    <w:rsid w:val="006C555A"/>
    <w:rsid w:val="006C57DA"/>
    <w:rsid w:val="006C5FA2"/>
    <w:rsid w:val="006C6390"/>
    <w:rsid w:val="006C70B2"/>
    <w:rsid w:val="006C7219"/>
    <w:rsid w:val="006C7496"/>
    <w:rsid w:val="006C75F4"/>
    <w:rsid w:val="006C7CDE"/>
    <w:rsid w:val="006C7D25"/>
    <w:rsid w:val="006C7EAA"/>
    <w:rsid w:val="006D0097"/>
    <w:rsid w:val="006D0B3B"/>
    <w:rsid w:val="006D0BE3"/>
    <w:rsid w:val="006D0D03"/>
    <w:rsid w:val="006D1480"/>
    <w:rsid w:val="006D1683"/>
    <w:rsid w:val="006D193C"/>
    <w:rsid w:val="006D1AEF"/>
    <w:rsid w:val="006D1F05"/>
    <w:rsid w:val="006D21CC"/>
    <w:rsid w:val="006D23E3"/>
    <w:rsid w:val="006D25E0"/>
    <w:rsid w:val="006D299B"/>
    <w:rsid w:val="006D39DE"/>
    <w:rsid w:val="006D3D9B"/>
    <w:rsid w:val="006D4213"/>
    <w:rsid w:val="006D44C9"/>
    <w:rsid w:val="006D4E73"/>
    <w:rsid w:val="006D51DF"/>
    <w:rsid w:val="006D5379"/>
    <w:rsid w:val="006D5732"/>
    <w:rsid w:val="006D59E0"/>
    <w:rsid w:val="006D5C78"/>
    <w:rsid w:val="006D60DC"/>
    <w:rsid w:val="006D631C"/>
    <w:rsid w:val="006D6998"/>
    <w:rsid w:val="006D6B68"/>
    <w:rsid w:val="006D70B0"/>
    <w:rsid w:val="006D719A"/>
    <w:rsid w:val="006D7223"/>
    <w:rsid w:val="006D7412"/>
    <w:rsid w:val="006D7451"/>
    <w:rsid w:val="006D78A7"/>
    <w:rsid w:val="006E099E"/>
    <w:rsid w:val="006E0E9E"/>
    <w:rsid w:val="006E112E"/>
    <w:rsid w:val="006E18BD"/>
    <w:rsid w:val="006E26D0"/>
    <w:rsid w:val="006E278C"/>
    <w:rsid w:val="006E3A67"/>
    <w:rsid w:val="006E3E28"/>
    <w:rsid w:val="006E3EE8"/>
    <w:rsid w:val="006E3F7D"/>
    <w:rsid w:val="006E458E"/>
    <w:rsid w:val="006E47B6"/>
    <w:rsid w:val="006E484B"/>
    <w:rsid w:val="006E4D63"/>
    <w:rsid w:val="006E532E"/>
    <w:rsid w:val="006E536A"/>
    <w:rsid w:val="006E569F"/>
    <w:rsid w:val="006E57CA"/>
    <w:rsid w:val="006E5F7A"/>
    <w:rsid w:val="006E60C6"/>
    <w:rsid w:val="006E60CF"/>
    <w:rsid w:val="006E66BC"/>
    <w:rsid w:val="006E6884"/>
    <w:rsid w:val="006E7510"/>
    <w:rsid w:val="006F02F7"/>
    <w:rsid w:val="006F03E8"/>
    <w:rsid w:val="006F0DF4"/>
    <w:rsid w:val="006F1018"/>
    <w:rsid w:val="006F153B"/>
    <w:rsid w:val="006F1ADC"/>
    <w:rsid w:val="006F1E12"/>
    <w:rsid w:val="006F1E4D"/>
    <w:rsid w:val="006F1EF0"/>
    <w:rsid w:val="006F22B3"/>
    <w:rsid w:val="006F25AC"/>
    <w:rsid w:val="006F25F2"/>
    <w:rsid w:val="006F2730"/>
    <w:rsid w:val="006F3A16"/>
    <w:rsid w:val="006F3F37"/>
    <w:rsid w:val="006F4657"/>
    <w:rsid w:val="006F4BCF"/>
    <w:rsid w:val="006F54D0"/>
    <w:rsid w:val="006F566F"/>
    <w:rsid w:val="006F5C5F"/>
    <w:rsid w:val="006F5CD2"/>
    <w:rsid w:val="006F5E1C"/>
    <w:rsid w:val="006F5EF3"/>
    <w:rsid w:val="006F66C2"/>
    <w:rsid w:val="006F6880"/>
    <w:rsid w:val="006F6B61"/>
    <w:rsid w:val="006F7A8D"/>
    <w:rsid w:val="006F7E68"/>
    <w:rsid w:val="00700305"/>
    <w:rsid w:val="0070098D"/>
    <w:rsid w:val="007009E3"/>
    <w:rsid w:val="007011B6"/>
    <w:rsid w:val="00701207"/>
    <w:rsid w:val="00701F5A"/>
    <w:rsid w:val="007022E8"/>
    <w:rsid w:val="007023EB"/>
    <w:rsid w:val="00702D89"/>
    <w:rsid w:val="00702DAB"/>
    <w:rsid w:val="00702E46"/>
    <w:rsid w:val="00703276"/>
    <w:rsid w:val="0070346D"/>
    <w:rsid w:val="00703C4A"/>
    <w:rsid w:val="0070439B"/>
    <w:rsid w:val="00704512"/>
    <w:rsid w:val="0070474E"/>
    <w:rsid w:val="007049C0"/>
    <w:rsid w:val="00704DD2"/>
    <w:rsid w:val="007052F4"/>
    <w:rsid w:val="007054AE"/>
    <w:rsid w:val="007054CE"/>
    <w:rsid w:val="00705993"/>
    <w:rsid w:val="00705AA1"/>
    <w:rsid w:val="00706234"/>
    <w:rsid w:val="007069E6"/>
    <w:rsid w:val="0070700B"/>
    <w:rsid w:val="00707811"/>
    <w:rsid w:val="00710826"/>
    <w:rsid w:val="00710E6F"/>
    <w:rsid w:val="0071181B"/>
    <w:rsid w:val="00712A97"/>
    <w:rsid w:val="00712BF4"/>
    <w:rsid w:val="00712F65"/>
    <w:rsid w:val="00713313"/>
    <w:rsid w:val="00713733"/>
    <w:rsid w:val="0071386E"/>
    <w:rsid w:val="00713D1C"/>
    <w:rsid w:val="007149EA"/>
    <w:rsid w:val="00714B2E"/>
    <w:rsid w:val="007154B4"/>
    <w:rsid w:val="00715773"/>
    <w:rsid w:val="007158BD"/>
    <w:rsid w:val="0071690E"/>
    <w:rsid w:val="007169F0"/>
    <w:rsid w:val="00716A83"/>
    <w:rsid w:val="00717368"/>
    <w:rsid w:val="00717AAA"/>
    <w:rsid w:val="00717B02"/>
    <w:rsid w:val="00720182"/>
    <w:rsid w:val="00720240"/>
    <w:rsid w:val="00720553"/>
    <w:rsid w:val="00720701"/>
    <w:rsid w:val="007208FC"/>
    <w:rsid w:val="00720CC0"/>
    <w:rsid w:val="00720FD3"/>
    <w:rsid w:val="0072123C"/>
    <w:rsid w:val="00721B8D"/>
    <w:rsid w:val="00721DD1"/>
    <w:rsid w:val="00722287"/>
    <w:rsid w:val="007223AF"/>
    <w:rsid w:val="0072249C"/>
    <w:rsid w:val="00722723"/>
    <w:rsid w:val="00722732"/>
    <w:rsid w:val="00722979"/>
    <w:rsid w:val="00722EC2"/>
    <w:rsid w:val="00722F4B"/>
    <w:rsid w:val="007239E8"/>
    <w:rsid w:val="00723BC5"/>
    <w:rsid w:val="00723C1D"/>
    <w:rsid w:val="00724300"/>
    <w:rsid w:val="00724552"/>
    <w:rsid w:val="00724735"/>
    <w:rsid w:val="00724DB3"/>
    <w:rsid w:val="007250FA"/>
    <w:rsid w:val="00725212"/>
    <w:rsid w:val="00726152"/>
    <w:rsid w:val="0072618D"/>
    <w:rsid w:val="0072637D"/>
    <w:rsid w:val="00726CDD"/>
    <w:rsid w:val="00726E92"/>
    <w:rsid w:val="0072752D"/>
    <w:rsid w:val="00727C76"/>
    <w:rsid w:val="00727E7B"/>
    <w:rsid w:val="00730804"/>
    <w:rsid w:val="00730A89"/>
    <w:rsid w:val="00731736"/>
    <w:rsid w:val="00731762"/>
    <w:rsid w:val="00731C2D"/>
    <w:rsid w:val="0073233A"/>
    <w:rsid w:val="00732991"/>
    <w:rsid w:val="00732A45"/>
    <w:rsid w:val="00732F5B"/>
    <w:rsid w:val="00733052"/>
    <w:rsid w:val="00733119"/>
    <w:rsid w:val="007331D0"/>
    <w:rsid w:val="00733416"/>
    <w:rsid w:val="0073366A"/>
    <w:rsid w:val="00733A91"/>
    <w:rsid w:val="00733BA6"/>
    <w:rsid w:val="00733F56"/>
    <w:rsid w:val="0073474E"/>
    <w:rsid w:val="0073493F"/>
    <w:rsid w:val="0073575E"/>
    <w:rsid w:val="00735C9C"/>
    <w:rsid w:val="00735F90"/>
    <w:rsid w:val="00736F18"/>
    <w:rsid w:val="00736FED"/>
    <w:rsid w:val="007374D3"/>
    <w:rsid w:val="0073768A"/>
    <w:rsid w:val="00737886"/>
    <w:rsid w:val="00737DCE"/>
    <w:rsid w:val="00740290"/>
    <w:rsid w:val="00740BDD"/>
    <w:rsid w:val="0074162B"/>
    <w:rsid w:val="00742006"/>
    <w:rsid w:val="007426C5"/>
    <w:rsid w:val="007429F3"/>
    <w:rsid w:val="00742A81"/>
    <w:rsid w:val="0074338E"/>
    <w:rsid w:val="007435C9"/>
    <w:rsid w:val="007435E4"/>
    <w:rsid w:val="007438A1"/>
    <w:rsid w:val="007439EB"/>
    <w:rsid w:val="00743B60"/>
    <w:rsid w:val="00743CDA"/>
    <w:rsid w:val="00743E1E"/>
    <w:rsid w:val="00743F31"/>
    <w:rsid w:val="00744497"/>
    <w:rsid w:val="00744593"/>
    <w:rsid w:val="0074492B"/>
    <w:rsid w:val="00744DBD"/>
    <w:rsid w:val="00745143"/>
    <w:rsid w:val="007454B1"/>
    <w:rsid w:val="00745698"/>
    <w:rsid w:val="0074587D"/>
    <w:rsid w:val="00745D4E"/>
    <w:rsid w:val="0074600C"/>
    <w:rsid w:val="00746731"/>
    <w:rsid w:val="00746CB0"/>
    <w:rsid w:val="00746DC2"/>
    <w:rsid w:val="0074714B"/>
    <w:rsid w:val="007476B1"/>
    <w:rsid w:val="00747859"/>
    <w:rsid w:val="00747D09"/>
    <w:rsid w:val="00750596"/>
    <w:rsid w:val="00750B95"/>
    <w:rsid w:val="00750BC6"/>
    <w:rsid w:val="00750D65"/>
    <w:rsid w:val="00750D87"/>
    <w:rsid w:val="00751B44"/>
    <w:rsid w:val="00751B47"/>
    <w:rsid w:val="00751F63"/>
    <w:rsid w:val="00752158"/>
    <w:rsid w:val="0075233A"/>
    <w:rsid w:val="0075256D"/>
    <w:rsid w:val="0075282E"/>
    <w:rsid w:val="00752A44"/>
    <w:rsid w:val="00752B55"/>
    <w:rsid w:val="00752FC2"/>
    <w:rsid w:val="0075311D"/>
    <w:rsid w:val="00753D07"/>
    <w:rsid w:val="00754180"/>
    <w:rsid w:val="00754362"/>
    <w:rsid w:val="007543C6"/>
    <w:rsid w:val="0075578D"/>
    <w:rsid w:val="007558BE"/>
    <w:rsid w:val="00755E32"/>
    <w:rsid w:val="00756094"/>
    <w:rsid w:val="007561BE"/>
    <w:rsid w:val="00756682"/>
    <w:rsid w:val="00756E0C"/>
    <w:rsid w:val="00757071"/>
    <w:rsid w:val="00757109"/>
    <w:rsid w:val="007606EE"/>
    <w:rsid w:val="00760743"/>
    <w:rsid w:val="00760955"/>
    <w:rsid w:val="00760B7F"/>
    <w:rsid w:val="00760BB7"/>
    <w:rsid w:val="00760CE9"/>
    <w:rsid w:val="007610F6"/>
    <w:rsid w:val="00761191"/>
    <w:rsid w:val="0076127B"/>
    <w:rsid w:val="00761349"/>
    <w:rsid w:val="0076175D"/>
    <w:rsid w:val="00762937"/>
    <w:rsid w:val="00762D0D"/>
    <w:rsid w:val="00763744"/>
    <w:rsid w:val="007637FA"/>
    <w:rsid w:val="00763B81"/>
    <w:rsid w:val="007640FA"/>
    <w:rsid w:val="00764312"/>
    <w:rsid w:val="007643A2"/>
    <w:rsid w:val="0076475B"/>
    <w:rsid w:val="00764863"/>
    <w:rsid w:val="00764FDF"/>
    <w:rsid w:val="007657D0"/>
    <w:rsid w:val="00765BA2"/>
    <w:rsid w:val="00765E63"/>
    <w:rsid w:val="007662E5"/>
    <w:rsid w:val="007663B6"/>
    <w:rsid w:val="00766555"/>
    <w:rsid w:val="007668D9"/>
    <w:rsid w:val="00766925"/>
    <w:rsid w:val="00766D60"/>
    <w:rsid w:val="0076751C"/>
    <w:rsid w:val="007676E8"/>
    <w:rsid w:val="00767736"/>
    <w:rsid w:val="00767B0B"/>
    <w:rsid w:val="00767B8B"/>
    <w:rsid w:val="007703C7"/>
    <w:rsid w:val="00770571"/>
    <w:rsid w:val="00770DD9"/>
    <w:rsid w:val="0077144D"/>
    <w:rsid w:val="007715F5"/>
    <w:rsid w:val="00771664"/>
    <w:rsid w:val="007716C3"/>
    <w:rsid w:val="00771F04"/>
    <w:rsid w:val="00772247"/>
    <w:rsid w:val="00772439"/>
    <w:rsid w:val="0077254B"/>
    <w:rsid w:val="00773256"/>
    <w:rsid w:val="007732AB"/>
    <w:rsid w:val="007734E0"/>
    <w:rsid w:val="00773916"/>
    <w:rsid w:val="00774598"/>
    <w:rsid w:val="00774862"/>
    <w:rsid w:val="0077497D"/>
    <w:rsid w:val="00774A17"/>
    <w:rsid w:val="007750D8"/>
    <w:rsid w:val="00775131"/>
    <w:rsid w:val="00775167"/>
    <w:rsid w:val="00775CEB"/>
    <w:rsid w:val="00775D37"/>
    <w:rsid w:val="00775E5E"/>
    <w:rsid w:val="00776014"/>
    <w:rsid w:val="00776276"/>
    <w:rsid w:val="0077726B"/>
    <w:rsid w:val="0078028C"/>
    <w:rsid w:val="00780B3F"/>
    <w:rsid w:val="00780CA8"/>
    <w:rsid w:val="007813A0"/>
    <w:rsid w:val="00782276"/>
    <w:rsid w:val="0078291F"/>
    <w:rsid w:val="00782CA9"/>
    <w:rsid w:val="0078321D"/>
    <w:rsid w:val="00783322"/>
    <w:rsid w:val="007833FC"/>
    <w:rsid w:val="00783861"/>
    <w:rsid w:val="00783D1B"/>
    <w:rsid w:val="00783E3F"/>
    <w:rsid w:val="00784696"/>
    <w:rsid w:val="007847D4"/>
    <w:rsid w:val="00784C59"/>
    <w:rsid w:val="00785566"/>
    <w:rsid w:val="00785666"/>
    <w:rsid w:val="0078580D"/>
    <w:rsid w:val="0078603F"/>
    <w:rsid w:val="007861B7"/>
    <w:rsid w:val="00786717"/>
    <w:rsid w:val="00786882"/>
    <w:rsid w:val="00786DDA"/>
    <w:rsid w:val="00787209"/>
    <w:rsid w:val="00787319"/>
    <w:rsid w:val="007873D4"/>
    <w:rsid w:val="00787490"/>
    <w:rsid w:val="007874D2"/>
    <w:rsid w:val="00787AC8"/>
    <w:rsid w:val="00787B9E"/>
    <w:rsid w:val="00787D2A"/>
    <w:rsid w:val="00790043"/>
    <w:rsid w:val="007902C0"/>
    <w:rsid w:val="0079057D"/>
    <w:rsid w:val="00790AFD"/>
    <w:rsid w:val="00790E22"/>
    <w:rsid w:val="0079113A"/>
    <w:rsid w:val="007911B6"/>
    <w:rsid w:val="00791536"/>
    <w:rsid w:val="00791725"/>
    <w:rsid w:val="007918AF"/>
    <w:rsid w:val="00792544"/>
    <w:rsid w:val="00793AAA"/>
    <w:rsid w:val="007944D7"/>
    <w:rsid w:val="007945E9"/>
    <w:rsid w:val="00794665"/>
    <w:rsid w:val="00794A11"/>
    <w:rsid w:val="00795366"/>
    <w:rsid w:val="007957F5"/>
    <w:rsid w:val="007960D1"/>
    <w:rsid w:val="00796196"/>
    <w:rsid w:val="00796696"/>
    <w:rsid w:val="00796C0F"/>
    <w:rsid w:val="00797274"/>
    <w:rsid w:val="007972C9"/>
    <w:rsid w:val="0079733F"/>
    <w:rsid w:val="007977BC"/>
    <w:rsid w:val="00797952"/>
    <w:rsid w:val="00797C7A"/>
    <w:rsid w:val="00797DF1"/>
    <w:rsid w:val="00797FEC"/>
    <w:rsid w:val="007A026E"/>
    <w:rsid w:val="007A028D"/>
    <w:rsid w:val="007A0C27"/>
    <w:rsid w:val="007A0DC0"/>
    <w:rsid w:val="007A1432"/>
    <w:rsid w:val="007A1520"/>
    <w:rsid w:val="007A16F7"/>
    <w:rsid w:val="007A23E9"/>
    <w:rsid w:val="007A2ACB"/>
    <w:rsid w:val="007A2C6A"/>
    <w:rsid w:val="007A3B76"/>
    <w:rsid w:val="007A47D9"/>
    <w:rsid w:val="007A4DB3"/>
    <w:rsid w:val="007A4E91"/>
    <w:rsid w:val="007A4F7C"/>
    <w:rsid w:val="007A518F"/>
    <w:rsid w:val="007A5431"/>
    <w:rsid w:val="007A6172"/>
    <w:rsid w:val="007A62A6"/>
    <w:rsid w:val="007A62F5"/>
    <w:rsid w:val="007A6500"/>
    <w:rsid w:val="007A68B4"/>
    <w:rsid w:val="007A6A64"/>
    <w:rsid w:val="007A6BF0"/>
    <w:rsid w:val="007A6D5C"/>
    <w:rsid w:val="007A6D6A"/>
    <w:rsid w:val="007A7249"/>
    <w:rsid w:val="007A743A"/>
    <w:rsid w:val="007B111D"/>
    <w:rsid w:val="007B1635"/>
    <w:rsid w:val="007B1966"/>
    <w:rsid w:val="007B1FB7"/>
    <w:rsid w:val="007B219F"/>
    <w:rsid w:val="007B2518"/>
    <w:rsid w:val="007B2700"/>
    <w:rsid w:val="007B2B15"/>
    <w:rsid w:val="007B2B4F"/>
    <w:rsid w:val="007B2E94"/>
    <w:rsid w:val="007B3F99"/>
    <w:rsid w:val="007B41F6"/>
    <w:rsid w:val="007B42BE"/>
    <w:rsid w:val="007B43E9"/>
    <w:rsid w:val="007B44FD"/>
    <w:rsid w:val="007B4DA1"/>
    <w:rsid w:val="007B5564"/>
    <w:rsid w:val="007B5834"/>
    <w:rsid w:val="007B59AC"/>
    <w:rsid w:val="007B5FC5"/>
    <w:rsid w:val="007B605D"/>
    <w:rsid w:val="007B6185"/>
    <w:rsid w:val="007B6305"/>
    <w:rsid w:val="007B64B3"/>
    <w:rsid w:val="007B675C"/>
    <w:rsid w:val="007B67D6"/>
    <w:rsid w:val="007B6B14"/>
    <w:rsid w:val="007B6D52"/>
    <w:rsid w:val="007B6EA1"/>
    <w:rsid w:val="007B6EF5"/>
    <w:rsid w:val="007B6F24"/>
    <w:rsid w:val="007B75A8"/>
    <w:rsid w:val="007B7708"/>
    <w:rsid w:val="007C023A"/>
    <w:rsid w:val="007C092A"/>
    <w:rsid w:val="007C0EB1"/>
    <w:rsid w:val="007C13F3"/>
    <w:rsid w:val="007C14A6"/>
    <w:rsid w:val="007C187A"/>
    <w:rsid w:val="007C1A88"/>
    <w:rsid w:val="007C239A"/>
    <w:rsid w:val="007C241B"/>
    <w:rsid w:val="007C26F7"/>
    <w:rsid w:val="007C2CDF"/>
    <w:rsid w:val="007C2D6B"/>
    <w:rsid w:val="007C2FC7"/>
    <w:rsid w:val="007C34F5"/>
    <w:rsid w:val="007C3633"/>
    <w:rsid w:val="007C4076"/>
    <w:rsid w:val="007C42F1"/>
    <w:rsid w:val="007C49A3"/>
    <w:rsid w:val="007C51FF"/>
    <w:rsid w:val="007C540B"/>
    <w:rsid w:val="007C5567"/>
    <w:rsid w:val="007C5709"/>
    <w:rsid w:val="007C58F0"/>
    <w:rsid w:val="007C5946"/>
    <w:rsid w:val="007C5B8F"/>
    <w:rsid w:val="007C5D35"/>
    <w:rsid w:val="007C5D62"/>
    <w:rsid w:val="007C5E47"/>
    <w:rsid w:val="007C61C4"/>
    <w:rsid w:val="007C64BF"/>
    <w:rsid w:val="007C6E71"/>
    <w:rsid w:val="007C735B"/>
    <w:rsid w:val="007D014A"/>
    <w:rsid w:val="007D069B"/>
    <w:rsid w:val="007D0841"/>
    <w:rsid w:val="007D0DA7"/>
    <w:rsid w:val="007D1238"/>
    <w:rsid w:val="007D13DF"/>
    <w:rsid w:val="007D142E"/>
    <w:rsid w:val="007D1DF4"/>
    <w:rsid w:val="007D25DF"/>
    <w:rsid w:val="007D2713"/>
    <w:rsid w:val="007D2757"/>
    <w:rsid w:val="007D2E76"/>
    <w:rsid w:val="007D2EEA"/>
    <w:rsid w:val="007D3116"/>
    <w:rsid w:val="007D31A1"/>
    <w:rsid w:val="007D3445"/>
    <w:rsid w:val="007D3656"/>
    <w:rsid w:val="007D36BD"/>
    <w:rsid w:val="007D42E2"/>
    <w:rsid w:val="007D4342"/>
    <w:rsid w:val="007D49FA"/>
    <w:rsid w:val="007D4F74"/>
    <w:rsid w:val="007D5275"/>
    <w:rsid w:val="007D5C9F"/>
    <w:rsid w:val="007D6BE1"/>
    <w:rsid w:val="007D70B5"/>
    <w:rsid w:val="007D72C7"/>
    <w:rsid w:val="007D73DD"/>
    <w:rsid w:val="007D772C"/>
    <w:rsid w:val="007D7970"/>
    <w:rsid w:val="007D7C40"/>
    <w:rsid w:val="007D7CCA"/>
    <w:rsid w:val="007E0C29"/>
    <w:rsid w:val="007E13D2"/>
    <w:rsid w:val="007E1D22"/>
    <w:rsid w:val="007E1E6D"/>
    <w:rsid w:val="007E2009"/>
    <w:rsid w:val="007E21A6"/>
    <w:rsid w:val="007E2812"/>
    <w:rsid w:val="007E2CF2"/>
    <w:rsid w:val="007E33AC"/>
    <w:rsid w:val="007E3419"/>
    <w:rsid w:val="007E36AB"/>
    <w:rsid w:val="007E3ACE"/>
    <w:rsid w:val="007E3AEB"/>
    <w:rsid w:val="007E440D"/>
    <w:rsid w:val="007E4D40"/>
    <w:rsid w:val="007E4DA1"/>
    <w:rsid w:val="007E4F15"/>
    <w:rsid w:val="007E511B"/>
    <w:rsid w:val="007E6939"/>
    <w:rsid w:val="007E6A3A"/>
    <w:rsid w:val="007E6B09"/>
    <w:rsid w:val="007E741F"/>
    <w:rsid w:val="007E79C8"/>
    <w:rsid w:val="007E7A94"/>
    <w:rsid w:val="007E7E82"/>
    <w:rsid w:val="007F03ED"/>
    <w:rsid w:val="007F07DE"/>
    <w:rsid w:val="007F097D"/>
    <w:rsid w:val="007F0B1D"/>
    <w:rsid w:val="007F1518"/>
    <w:rsid w:val="007F155F"/>
    <w:rsid w:val="007F1BBD"/>
    <w:rsid w:val="007F2374"/>
    <w:rsid w:val="007F2C00"/>
    <w:rsid w:val="007F2CCB"/>
    <w:rsid w:val="007F3238"/>
    <w:rsid w:val="007F325A"/>
    <w:rsid w:val="007F3273"/>
    <w:rsid w:val="007F3BEF"/>
    <w:rsid w:val="007F4570"/>
    <w:rsid w:val="007F4C5A"/>
    <w:rsid w:val="007F5486"/>
    <w:rsid w:val="007F5790"/>
    <w:rsid w:val="007F5DC5"/>
    <w:rsid w:val="007F6A29"/>
    <w:rsid w:val="007F6CFA"/>
    <w:rsid w:val="007F761B"/>
    <w:rsid w:val="007F76A0"/>
    <w:rsid w:val="007F76A1"/>
    <w:rsid w:val="007F7AFF"/>
    <w:rsid w:val="00800583"/>
    <w:rsid w:val="008019B8"/>
    <w:rsid w:val="00801AF8"/>
    <w:rsid w:val="00802111"/>
    <w:rsid w:val="008022FE"/>
    <w:rsid w:val="00802425"/>
    <w:rsid w:val="00802C77"/>
    <w:rsid w:val="00803467"/>
    <w:rsid w:val="00803662"/>
    <w:rsid w:val="008036C0"/>
    <w:rsid w:val="008041AF"/>
    <w:rsid w:val="00804276"/>
    <w:rsid w:val="008045AD"/>
    <w:rsid w:val="00804B98"/>
    <w:rsid w:val="00804EF3"/>
    <w:rsid w:val="0080507D"/>
    <w:rsid w:val="008052CA"/>
    <w:rsid w:val="0080531C"/>
    <w:rsid w:val="00805369"/>
    <w:rsid w:val="00805C0F"/>
    <w:rsid w:val="00805FA9"/>
    <w:rsid w:val="008060A6"/>
    <w:rsid w:val="00806202"/>
    <w:rsid w:val="00806D81"/>
    <w:rsid w:val="00806EB4"/>
    <w:rsid w:val="008074D2"/>
    <w:rsid w:val="008078F6"/>
    <w:rsid w:val="00810A40"/>
    <w:rsid w:val="00810A69"/>
    <w:rsid w:val="00810C18"/>
    <w:rsid w:val="008110CD"/>
    <w:rsid w:val="00811B20"/>
    <w:rsid w:val="00811B3B"/>
    <w:rsid w:val="00811CD1"/>
    <w:rsid w:val="00812055"/>
    <w:rsid w:val="008120C2"/>
    <w:rsid w:val="008129E6"/>
    <w:rsid w:val="00812C84"/>
    <w:rsid w:val="00812DE1"/>
    <w:rsid w:val="00813942"/>
    <w:rsid w:val="00813BB6"/>
    <w:rsid w:val="00813F60"/>
    <w:rsid w:val="0081402B"/>
    <w:rsid w:val="00814176"/>
    <w:rsid w:val="0081446A"/>
    <w:rsid w:val="00814590"/>
    <w:rsid w:val="00814C09"/>
    <w:rsid w:val="00814FEA"/>
    <w:rsid w:val="00815093"/>
    <w:rsid w:val="00815E70"/>
    <w:rsid w:val="00817465"/>
    <w:rsid w:val="008176D0"/>
    <w:rsid w:val="00817B8D"/>
    <w:rsid w:val="00817CE1"/>
    <w:rsid w:val="008202C3"/>
    <w:rsid w:val="00820AA7"/>
    <w:rsid w:val="00820E93"/>
    <w:rsid w:val="00821AB1"/>
    <w:rsid w:val="00822102"/>
    <w:rsid w:val="00822648"/>
    <w:rsid w:val="00822811"/>
    <w:rsid w:val="00823255"/>
    <w:rsid w:val="0082382A"/>
    <w:rsid w:val="00823A29"/>
    <w:rsid w:val="00824439"/>
    <w:rsid w:val="00825142"/>
    <w:rsid w:val="008266E5"/>
    <w:rsid w:val="008267E6"/>
    <w:rsid w:val="00827355"/>
    <w:rsid w:val="00827795"/>
    <w:rsid w:val="00827874"/>
    <w:rsid w:val="008279A1"/>
    <w:rsid w:val="008279DE"/>
    <w:rsid w:val="00830D9B"/>
    <w:rsid w:val="008316C0"/>
    <w:rsid w:val="008317D5"/>
    <w:rsid w:val="00831C16"/>
    <w:rsid w:val="00831E76"/>
    <w:rsid w:val="00832B0D"/>
    <w:rsid w:val="00832F4A"/>
    <w:rsid w:val="008334F3"/>
    <w:rsid w:val="0083364D"/>
    <w:rsid w:val="0083387D"/>
    <w:rsid w:val="00833C1C"/>
    <w:rsid w:val="0083400B"/>
    <w:rsid w:val="00834228"/>
    <w:rsid w:val="00834263"/>
    <w:rsid w:val="00834372"/>
    <w:rsid w:val="008348C4"/>
    <w:rsid w:val="00834B33"/>
    <w:rsid w:val="0083531D"/>
    <w:rsid w:val="00835412"/>
    <w:rsid w:val="008363ED"/>
    <w:rsid w:val="00836495"/>
    <w:rsid w:val="008365D7"/>
    <w:rsid w:val="0083684E"/>
    <w:rsid w:val="00836F33"/>
    <w:rsid w:val="00837002"/>
    <w:rsid w:val="00837A37"/>
    <w:rsid w:val="00837B24"/>
    <w:rsid w:val="00837C04"/>
    <w:rsid w:val="00837CE8"/>
    <w:rsid w:val="00837DDE"/>
    <w:rsid w:val="00837E0B"/>
    <w:rsid w:val="00837F05"/>
    <w:rsid w:val="00837FE2"/>
    <w:rsid w:val="00840280"/>
    <w:rsid w:val="008404C5"/>
    <w:rsid w:val="008407EC"/>
    <w:rsid w:val="00840811"/>
    <w:rsid w:val="00840A3D"/>
    <w:rsid w:val="00840EA7"/>
    <w:rsid w:val="0084171C"/>
    <w:rsid w:val="008418AC"/>
    <w:rsid w:val="0084210F"/>
    <w:rsid w:val="008426E4"/>
    <w:rsid w:val="008427CF"/>
    <w:rsid w:val="00842936"/>
    <w:rsid w:val="00842CFD"/>
    <w:rsid w:val="00842D0F"/>
    <w:rsid w:val="00843D05"/>
    <w:rsid w:val="00843E40"/>
    <w:rsid w:val="00844A24"/>
    <w:rsid w:val="00844D05"/>
    <w:rsid w:val="008450BF"/>
    <w:rsid w:val="008457DD"/>
    <w:rsid w:val="00845A0C"/>
    <w:rsid w:val="00845B43"/>
    <w:rsid w:val="00845D25"/>
    <w:rsid w:val="00846789"/>
    <w:rsid w:val="00846D20"/>
    <w:rsid w:val="00846D65"/>
    <w:rsid w:val="0084733D"/>
    <w:rsid w:val="00847E04"/>
    <w:rsid w:val="0085023E"/>
    <w:rsid w:val="008508ED"/>
    <w:rsid w:val="00851449"/>
    <w:rsid w:val="0085199A"/>
    <w:rsid w:val="00851D76"/>
    <w:rsid w:val="00851FA6"/>
    <w:rsid w:val="00852B06"/>
    <w:rsid w:val="008536CF"/>
    <w:rsid w:val="00854264"/>
    <w:rsid w:val="008547E1"/>
    <w:rsid w:val="0085543F"/>
    <w:rsid w:val="008554AA"/>
    <w:rsid w:val="00855C75"/>
    <w:rsid w:val="00855D7E"/>
    <w:rsid w:val="0085616E"/>
    <w:rsid w:val="0085652B"/>
    <w:rsid w:val="00856607"/>
    <w:rsid w:val="0085674C"/>
    <w:rsid w:val="00856AAF"/>
    <w:rsid w:val="00857BFA"/>
    <w:rsid w:val="008602EB"/>
    <w:rsid w:val="00860CAD"/>
    <w:rsid w:val="00860CCA"/>
    <w:rsid w:val="00860F51"/>
    <w:rsid w:val="00860F56"/>
    <w:rsid w:val="00861447"/>
    <w:rsid w:val="008615CC"/>
    <w:rsid w:val="00861890"/>
    <w:rsid w:val="00861A9B"/>
    <w:rsid w:val="00861CF8"/>
    <w:rsid w:val="00861FD4"/>
    <w:rsid w:val="008621CD"/>
    <w:rsid w:val="00862305"/>
    <w:rsid w:val="00862AD8"/>
    <w:rsid w:val="008632A7"/>
    <w:rsid w:val="008635F3"/>
    <w:rsid w:val="008636FD"/>
    <w:rsid w:val="0086393A"/>
    <w:rsid w:val="00863BE0"/>
    <w:rsid w:val="00863C8C"/>
    <w:rsid w:val="0086437B"/>
    <w:rsid w:val="008648A2"/>
    <w:rsid w:val="00864CCB"/>
    <w:rsid w:val="0086555D"/>
    <w:rsid w:val="00865698"/>
    <w:rsid w:val="00865A5B"/>
    <w:rsid w:val="008662BF"/>
    <w:rsid w:val="00866636"/>
    <w:rsid w:val="00866715"/>
    <w:rsid w:val="008678BE"/>
    <w:rsid w:val="00867946"/>
    <w:rsid w:val="00870B15"/>
    <w:rsid w:val="00870DAD"/>
    <w:rsid w:val="008713FB"/>
    <w:rsid w:val="00871526"/>
    <w:rsid w:val="008715F0"/>
    <w:rsid w:val="008716F2"/>
    <w:rsid w:val="00871AC2"/>
    <w:rsid w:val="00871AC5"/>
    <w:rsid w:val="00871C44"/>
    <w:rsid w:val="008722E5"/>
    <w:rsid w:val="008723F0"/>
    <w:rsid w:val="00872A37"/>
    <w:rsid w:val="00872F1B"/>
    <w:rsid w:val="00873D0B"/>
    <w:rsid w:val="0087400D"/>
    <w:rsid w:val="008740DA"/>
    <w:rsid w:val="00874411"/>
    <w:rsid w:val="00874555"/>
    <w:rsid w:val="00874742"/>
    <w:rsid w:val="0087512C"/>
    <w:rsid w:val="00875712"/>
    <w:rsid w:val="00876755"/>
    <w:rsid w:val="0087680E"/>
    <w:rsid w:val="008773E7"/>
    <w:rsid w:val="00877599"/>
    <w:rsid w:val="00877771"/>
    <w:rsid w:val="00877F4F"/>
    <w:rsid w:val="00880226"/>
    <w:rsid w:val="00880B41"/>
    <w:rsid w:val="00881D6B"/>
    <w:rsid w:val="008820D1"/>
    <w:rsid w:val="0088231C"/>
    <w:rsid w:val="0088276D"/>
    <w:rsid w:val="00882842"/>
    <w:rsid w:val="008828D4"/>
    <w:rsid w:val="00882AB0"/>
    <w:rsid w:val="00882E65"/>
    <w:rsid w:val="00882E7B"/>
    <w:rsid w:val="00883064"/>
    <w:rsid w:val="00883086"/>
    <w:rsid w:val="00883264"/>
    <w:rsid w:val="008836AF"/>
    <w:rsid w:val="008838BA"/>
    <w:rsid w:val="008838F2"/>
    <w:rsid w:val="0088396C"/>
    <w:rsid w:val="00883AB0"/>
    <w:rsid w:val="00883B69"/>
    <w:rsid w:val="00884704"/>
    <w:rsid w:val="00885586"/>
    <w:rsid w:val="00885D9B"/>
    <w:rsid w:val="00885F03"/>
    <w:rsid w:val="00886613"/>
    <w:rsid w:val="00886908"/>
    <w:rsid w:val="00886A8B"/>
    <w:rsid w:val="008877CA"/>
    <w:rsid w:val="00887D9F"/>
    <w:rsid w:val="008904E0"/>
    <w:rsid w:val="008904F8"/>
    <w:rsid w:val="008906CE"/>
    <w:rsid w:val="00890AEF"/>
    <w:rsid w:val="00891080"/>
    <w:rsid w:val="00891318"/>
    <w:rsid w:val="00891714"/>
    <w:rsid w:val="008918BA"/>
    <w:rsid w:val="008919A0"/>
    <w:rsid w:val="00891A30"/>
    <w:rsid w:val="00891CDA"/>
    <w:rsid w:val="008926FD"/>
    <w:rsid w:val="00892745"/>
    <w:rsid w:val="00892796"/>
    <w:rsid w:val="008927C1"/>
    <w:rsid w:val="00892969"/>
    <w:rsid w:val="00892ADC"/>
    <w:rsid w:val="00892E6B"/>
    <w:rsid w:val="0089362C"/>
    <w:rsid w:val="008939BF"/>
    <w:rsid w:val="00893B20"/>
    <w:rsid w:val="00894008"/>
    <w:rsid w:val="00894BB6"/>
    <w:rsid w:val="00894CD8"/>
    <w:rsid w:val="0089507D"/>
    <w:rsid w:val="008954D9"/>
    <w:rsid w:val="00896164"/>
    <w:rsid w:val="00896860"/>
    <w:rsid w:val="00896A3F"/>
    <w:rsid w:val="0089705A"/>
    <w:rsid w:val="008973EC"/>
    <w:rsid w:val="008A02A5"/>
    <w:rsid w:val="008A06DE"/>
    <w:rsid w:val="008A0840"/>
    <w:rsid w:val="008A0986"/>
    <w:rsid w:val="008A0A5F"/>
    <w:rsid w:val="008A18D0"/>
    <w:rsid w:val="008A1B87"/>
    <w:rsid w:val="008A2A04"/>
    <w:rsid w:val="008A2AE3"/>
    <w:rsid w:val="008A2DA2"/>
    <w:rsid w:val="008A2F64"/>
    <w:rsid w:val="008A30D0"/>
    <w:rsid w:val="008A3129"/>
    <w:rsid w:val="008A32F7"/>
    <w:rsid w:val="008A32F9"/>
    <w:rsid w:val="008A3AF1"/>
    <w:rsid w:val="008A3C51"/>
    <w:rsid w:val="008A3C63"/>
    <w:rsid w:val="008A3FCA"/>
    <w:rsid w:val="008A4033"/>
    <w:rsid w:val="008A40D7"/>
    <w:rsid w:val="008A417A"/>
    <w:rsid w:val="008A4208"/>
    <w:rsid w:val="008A467F"/>
    <w:rsid w:val="008A4B54"/>
    <w:rsid w:val="008A510D"/>
    <w:rsid w:val="008A514B"/>
    <w:rsid w:val="008A51AC"/>
    <w:rsid w:val="008A53DC"/>
    <w:rsid w:val="008A5BDA"/>
    <w:rsid w:val="008A61D4"/>
    <w:rsid w:val="008A65AC"/>
    <w:rsid w:val="008A6781"/>
    <w:rsid w:val="008A6AE0"/>
    <w:rsid w:val="008A6C6E"/>
    <w:rsid w:val="008A6CAF"/>
    <w:rsid w:val="008A6D89"/>
    <w:rsid w:val="008A6DE1"/>
    <w:rsid w:val="008A720E"/>
    <w:rsid w:val="008A7239"/>
    <w:rsid w:val="008A726A"/>
    <w:rsid w:val="008A752E"/>
    <w:rsid w:val="008A7E64"/>
    <w:rsid w:val="008B0F38"/>
    <w:rsid w:val="008B10D9"/>
    <w:rsid w:val="008B1189"/>
    <w:rsid w:val="008B162C"/>
    <w:rsid w:val="008B1F82"/>
    <w:rsid w:val="008B1FFF"/>
    <w:rsid w:val="008B24E8"/>
    <w:rsid w:val="008B2770"/>
    <w:rsid w:val="008B27BE"/>
    <w:rsid w:val="008B352E"/>
    <w:rsid w:val="008B3F23"/>
    <w:rsid w:val="008B4528"/>
    <w:rsid w:val="008B5614"/>
    <w:rsid w:val="008B6318"/>
    <w:rsid w:val="008B6427"/>
    <w:rsid w:val="008B649E"/>
    <w:rsid w:val="008B67E0"/>
    <w:rsid w:val="008B6B25"/>
    <w:rsid w:val="008B6F0E"/>
    <w:rsid w:val="008B6F5A"/>
    <w:rsid w:val="008B7877"/>
    <w:rsid w:val="008B7FDA"/>
    <w:rsid w:val="008C0BF4"/>
    <w:rsid w:val="008C0C0F"/>
    <w:rsid w:val="008C0D65"/>
    <w:rsid w:val="008C14FB"/>
    <w:rsid w:val="008C1841"/>
    <w:rsid w:val="008C1ABE"/>
    <w:rsid w:val="008C1DC8"/>
    <w:rsid w:val="008C2048"/>
    <w:rsid w:val="008C2CBC"/>
    <w:rsid w:val="008C3136"/>
    <w:rsid w:val="008C34F6"/>
    <w:rsid w:val="008C3B3A"/>
    <w:rsid w:val="008C4032"/>
    <w:rsid w:val="008C4252"/>
    <w:rsid w:val="008C4CA7"/>
    <w:rsid w:val="008C4F16"/>
    <w:rsid w:val="008C4F43"/>
    <w:rsid w:val="008C51F3"/>
    <w:rsid w:val="008C57CC"/>
    <w:rsid w:val="008C5D81"/>
    <w:rsid w:val="008C6EBA"/>
    <w:rsid w:val="008C6FED"/>
    <w:rsid w:val="008C7D59"/>
    <w:rsid w:val="008D0200"/>
    <w:rsid w:val="008D0678"/>
    <w:rsid w:val="008D0760"/>
    <w:rsid w:val="008D08AF"/>
    <w:rsid w:val="008D0F3E"/>
    <w:rsid w:val="008D11C0"/>
    <w:rsid w:val="008D13A9"/>
    <w:rsid w:val="008D1639"/>
    <w:rsid w:val="008D1D37"/>
    <w:rsid w:val="008D2017"/>
    <w:rsid w:val="008D202E"/>
    <w:rsid w:val="008D20B6"/>
    <w:rsid w:val="008D2802"/>
    <w:rsid w:val="008D2A7C"/>
    <w:rsid w:val="008D2CDC"/>
    <w:rsid w:val="008D313E"/>
    <w:rsid w:val="008D33FD"/>
    <w:rsid w:val="008D3B01"/>
    <w:rsid w:val="008D3BE2"/>
    <w:rsid w:val="008D3FFE"/>
    <w:rsid w:val="008D419F"/>
    <w:rsid w:val="008D43A2"/>
    <w:rsid w:val="008D494C"/>
    <w:rsid w:val="008D51C4"/>
    <w:rsid w:val="008D5670"/>
    <w:rsid w:val="008D5B0C"/>
    <w:rsid w:val="008D5C1C"/>
    <w:rsid w:val="008D5C7C"/>
    <w:rsid w:val="008D5D17"/>
    <w:rsid w:val="008D5FE2"/>
    <w:rsid w:val="008D65CC"/>
    <w:rsid w:val="008D66E1"/>
    <w:rsid w:val="008D73CC"/>
    <w:rsid w:val="008D7A2E"/>
    <w:rsid w:val="008D7A87"/>
    <w:rsid w:val="008E018E"/>
    <w:rsid w:val="008E01CD"/>
    <w:rsid w:val="008E02BB"/>
    <w:rsid w:val="008E088F"/>
    <w:rsid w:val="008E10E0"/>
    <w:rsid w:val="008E145D"/>
    <w:rsid w:val="008E1575"/>
    <w:rsid w:val="008E1ABE"/>
    <w:rsid w:val="008E1D32"/>
    <w:rsid w:val="008E2118"/>
    <w:rsid w:val="008E2850"/>
    <w:rsid w:val="008E2D6D"/>
    <w:rsid w:val="008E2D96"/>
    <w:rsid w:val="008E2FCD"/>
    <w:rsid w:val="008E3025"/>
    <w:rsid w:val="008E307B"/>
    <w:rsid w:val="008E338D"/>
    <w:rsid w:val="008E3513"/>
    <w:rsid w:val="008E3982"/>
    <w:rsid w:val="008E3ABD"/>
    <w:rsid w:val="008E3C42"/>
    <w:rsid w:val="008E5583"/>
    <w:rsid w:val="008E5871"/>
    <w:rsid w:val="008E5B65"/>
    <w:rsid w:val="008E5F58"/>
    <w:rsid w:val="008E6A37"/>
    <w:rsid w:val="008F03B7"/>
    <w:rsid w:val="008F0ABC"/>
    <w:rsid w:val="008F124B"/>
    <w:rsid w:val="008F1C59"/>
    <w:rsid w:val="008F2502"/>
    <w:rsid w:val="008F250C"/>
    <w:rsid w:val="008F3031"/>
    <w:rsid w:val="008F304C"/>
    <w:rsid w:val="008F306D"/>
    <w:rsid w:val="008F3A32"/>
    <w:rsid w:val="008F3AC8"/>
    <w:rsid w:val="008F3D2E"/>
    <w:rsid w:val="008F3FE4"/>
    <w:rsid w:val="008F401C"/>
    <w:rsid w:val="008F410A"/>
    <w:rsid w:val="008F410C"/>
    <w:rsid w:val="008F42DE"/>
    <w:rsid w:val="008F4BBA"/>
    <w:rsid w:val="008F4DA9"/>
    <w:rsid w:val="008F54DC"/>
    <w:rsid w:val="008F6CD3"/>
    <w:rsid w:val="008F6DD2"/>
    <w:rsid w:val="008F72FF"/>
    <w:rsid w:val="008F78F1"/>
    <w:rsid w:val="008F7BBA"/>
    <w:rsid w:val="0090067F"/>
    <w:rsid w:val="0090072C"/>
    <w:rsid w:val="00900B01"/>
    <w:rsid w:val="00900DA3"/>
    <w:rsid w:val="0090118A"/>
    <w:rsid w:val="009018AB"/>
    <w:rsid w:val="00901AF7"/>
    <w:rsid w:val="00901C10"/>
    <w:rsid w:val="00901C2A"/>
    <w:rsid w:val="0090247E"/>
    <w:rsid w:val="00902BE9"/>
    <w:rsid w:val="009032EA"/>
    <w:rsid w:val="00903496"/>
    <w:rsid w:val="00903CB0"/>
    <w:rsid w:val="00904B4A"/>
    <w:rsid w:val="00904B65"/>
    <w:rsid w:val="00905078"/>
    <w:rsid w:val="009050B9"/>
    <w:rsid w:val="00905353"/>
    <w:rsid w:val="00905654"/>
    <w:rsid w:val="00905EED"/>
    <w:rsid w:val="009066CC"/>
    <w:rsid w:val="00907EB3"/>
    <w:rsid w:val="009103B3"/>
    <w:rsid w:val="009104CB"/>
    <w:rsid w:val="00910B04"/>
    <w:rsid w:val="009110B9"/>
    <w:rsid w:val="009110BB"/>
    <w:rsid w:val="0091119C"/>
    <w:rsid w:val="009115C6"/>
    <w:rsid w:val="00911E2F"/>
    <w:rsid w:val="009120A4"/>
    <w:rsid w:val="009120E1"/>
    <w:rsid w:val="00912135"/>
    <w:rsid w:val="00912386"/>
    <w:rsid w:val="009125B7"/>
    <w:rsid w:val="00912807"/>
    <w:rsid w:val="00912B1E"/>
    <w:rsid w:val="00912EE1"/>
    <w:rsid w:val="00912FFA"/>
    <w:rsid w:val="00913E6C"/>
    <w:rsid w:val="00914230"/>
    <w:rsid w:val="009142EF"/>
    <w:rsid w:val="00914CB8"/>
    <w:rsid w:val="00914DA2"/>
    <w:rsid w:val="00915058"/>
    <w:rsid w:val="0091541A"/>
    <w:rsid w:val="00915649"/>
    <w:rsid w:val="0091579F"/>
    <w:rsid w:val="00915920"/>
    <w:rsid w:val="00915EA0"/>
    <w:rsid w:val="0091662F"/>
    <w:rsid w:val="0091686E"/>
    <w:rsid w:val="00916BC5"/>
    <w:rsid w:val="00917570"/>
    <w:rsid w:val="00917745"/>
    <w:rsid w:val="00920164"/>
    <w:rsid w:val="00920174"/>
    <w:rsid w:val="0092038F"/>
    <w:rsid w:val="0092059A"/>
    <w:rsid w:val="0092115F"/>
    <w:rsid w:val="00921445"/>
    <w:rsid w:val="00921900"/>
    <w:rsid w:val="009223BE"/>
    <w:rsid w:val="009224B1"/>
    <w:rsid w:val="009226BC"/>
    <w:rsid w:val="009228FB"/>
    <w:rsid w:val="009229D8"/>
    <w:rsid w:val="00922B55"/>
    <w:rsid w:val="00922BC2"/>
    <w:rsid w:val="0092337B"/>
    <w:rsid w:val="0092359F"/>
    <w:rsid w:val="0092407C"/>
    <w:rsid w:val="00924217"/>
    <w:rsid w:val="00924408"/>
    <w:rsid w:val="00924636"/>
    <w:rsid w:val="00924804"/>
    <w:rsid w:val="00924884"/>
    <w:rsid w:val="00924C67"/>
    <w:rsid w:val="00924CFA"/>
    <w:rsid w:val="00925420"/>
    <w:rsid w:val="009257AE"/>
    <w:rsid w:val="00925959"/>
    <w:rsid w:val="0092692D"/>
    <w:rsid w:val="009269FD"/>
    <w:rsid w:val="00926B83"/>
    <w:rsid w:val="00926F0D"/>
    <w:rsid w:val="009273A6"/>
    <w:rsid w:val="009274A2"/>
    <w:rsid w:val="009278FD"/>
    <w:rsid w:val="00927C26"/>
    <w:rsid w:val="00927F9C"/>
    <w:rsid w:val="009300AE"/>
    <w:rsid w:val="009303A2"/>
    <w:rsid w:val="0093042F"/>
    <w:rsid w:val="00930524"/>
    <w:rsid w:val="00931032"/>
    <w:rsid w:val="009314C7"/>
    <w:rsid w:val="00931B57"/>
    <w:rsid w:val="00932061"/>
    <w:rsid w:val="009324C2"/>
    <w:rsid w:val="009330EF"/>
    <w:rsid w:val="009342F9"/>
    <w:rsid w:val="009346C8"/>
    <w:rsid w:val="00934A05"/>
    <w:rsid w:val="009350A2"/>
    <w:rsid w:val="00935674"/>
    <w:rsid w:val="00935764"/>
    <w:rsid w:val="00935E5C"/>
    <w:rsid w:val="00936316"/>
    <w:rsid w:val="00936C62"/>
    <w:rsid w:val="00936D51"/>
    <w:rsid w:val="00937067"/>
    <w:rsid w:val="0093717B"/>
    <w:rsid w:val="009375DD"/>
    <w:rsid w:val="009377F3"/>
    <w:rsid w:val="0094062F"/>
    <w:rsid w:val="0094078C"/>
    <w:rsid w:val="009407F2"/>
    <w:rsid w:val="00940829"/>
    <w:rsid w:val="00940CAA"/>
    <w:rsid w:val="00941AF6"/>
    <w:rsid w:val="00941E13"/>
    <w:rsid w:val="00942093"/>
    <w:rsid w:val="009430BD"/>
    <w:rsid w:val="00943324"/>
    <w:rsid w:val="00943B81"/>
    <w:rsid w:val="00944110"/>
    <w:rsid w:val="009442B2"/>
    <w:rsid w:val="0094476F"/>
    <w:rsid w:val="009451D7"/>
    <w:rsid w:val="009453BC"/>
    <w:rsid w:val="00945565"/>
    <w:rsid w:val="00945717"/>
    <w:rsid w:val="0094592F"/>
    <w:rsid w:val="00945A25"/>
    <w:rsid w:val="00945B23"/>
    <w:rsid w:val="00945C9F"/>
    <w:rsid w:val="00945EDA"/>
    <w:rsid w:val="00947416"/>
    <w:rsid w:val="0094783B"/>
    <w:rsid w:val="00947B33"/>
    <w:rsid w:val="00947C0C"/>
    <w:rsid w:val="00947E88"/>
    <w:rsid w:val="00950081"/>
    <w:rsid w:val="0095041D"/>
    <w:rsid w:val="0095042B"/>
    <w:rsid w:val="009507EB"/>
    <w:rsid w:val="0095098D"/>
    <w:rsid w:val="009509E8"/>
    <w:rsid w:val="009509FF"/>
    <w:rsid w:val="00950A81"/>
    <w:rsid w:val="00950A92"/>
    <w:rsid w:val="00950D92"/>
    <w:rsid w:val="00951B47"/>
    <w:rsid w:val="00952352"/>
    <w:rsid w:val="00952496"/>
    <w:rsid w:val="00952853"/>
    <w:rsid w:val="0095292E"/>
    <w:rsid w:val="00952FD4"/>
    <w:rsid w:val="009535D3"/>
    <w:rsid w:val="0095377F"/>
    <w:rsid w:val="00953B06"/>
    <w:rsid w:val="00953C20"/>
    <w:rsid w:val="00953CF1"/>
    <w:rsid w:val="00953E5C"/>
    <w:rsid w:val="00953FEC"/>
    <w:rsid w:val="0095401D"/>
    <w:rsid w:val="00954BCD"/>
    <w:rsid w:val="00954C42"/>
    <w:rsid w:val="00955ADE"/>
    <w:rsid w:val="00955FB0"/>
    <w:rsid w:val="00955FE0"/>
    <w:rsid w:val="00956037"/>
    <w:rsid w:val="0095622D"/>
    <w:rsid w:val="00956B65"/>
    <w:rsid w:val="00956CAB"/>
    <w:rsid w:val="00956CD7"/>
    <w:rsid w:val="00960427"/>
    <w:rsid w:val="009604A7"/>
    <w:rsid w:val="00960AF3"/>
    <w:rsid w:val="009620F3"/>
    <w:rsid w:val="00962149"/>
    <w:rsid w:val="00962287"/>
    <w:rsid w:val="00962353"/>
    <w:rsid w:val="00962613"/>
    <w:rsid w:val="009636EC"/>
    <w:rsid w:val="00963DF9"/>
    <w:rsid w:val="00964300"/>
    <w:rsid w:val="00964397"/>
    <w:rsid w:val="0096484F"/>
    <w:rsid w:val="009648CF"/>
    <w:rsid w:val="00965326"/>
    <w:rsid w:val="00965819"/>
    <w:rsid w:val="00967557"/>
    <w:rsid w:val="00967B8F"/>
    <w:rsid w:val="009700F4"/>
    <w:rsid w:val="00970DAA"/>
    <w:rsid w:val="0097107F"/>
    <w:rsid w:val="00973171"/>
    <w:rsid w:val="009734C2"/>
    <w:rsid w:val="009735C4"/>
    <w:rsid w:val="00973E37"/>
    <w:rsid w:val="00973F24"/>
    <w:rsid w:val="009740CA"/>
    <w:rsid w:val="009743AF"/>
    <w:rsid w:val="00974443"/>
    <w:rsid w:val="00974D92"/>
    <w:rsid w:val="009750C9"/>
    <w:rsid w:val="009753D7"/>
    <w:rsid w:val="00975549"/>
    <w:rsid w:val="00975D76"/>
    <w:rsid w:val="009760B4"/>
    <w:rsid w:val="009761BB"/>
    <w:rsid w:val="009761F3"/>
    <w:rsid w:val="0097682C"/>
    <w:rsid w:val="009773F4"/>
    <w:rsid w:val="00977536"/>
    <w:rsid w:val="00977741"/>
    <w:rsid w:val="009777E2"/>
    <w:rsid w:val="00980E6C"/>
    <w:rsid w:val="00980F29"/>
    <w:rsid w:val="00981603"/>
    <w:rsid w:val="0098163B"/>
    <w:rsid w:val="0098185D"/>
    <w:rsid w:val="00982213"/>
    <w:rsid w:val="009824F1"/>
    <w:rsid w:val="00982562"/>
    <w:rsid w:val="00982C76"/>
    <w:rsid w:val="00983294"/>
    <w:rsid w:val="00983424"/>
    <w:rsid w:val="0098349F"/>
    <w:rsid w:val="00983800"/>
    <w:rsid w:val="00983B38"/>
    <w:rsid w:val="00984055"/>
    <w:rsid w:val="0098463E"/>
    <w:rsid w:val="00984A83"/>
    <w:rsid w:val="00984F1F"/>
    <w:rsid w:val="0098505E"/>
    <w:rsid w:val="00985296"/>
    <w:rsid w:val="00985525"/>
    <w:rsid w:val="009858A4"/>
    <w:rsid w:val="00985A80"/>
    <w:rsid w:val="00985E86"/>
    <w:rsid w:val="009863E4"/>
    <w:rsid w:val="00986B3A"/>
    <w:rsid w:val="00986B47"/>
    <w:rsid w:val="009873F7"/>
    <w:rsid w:val="00987579"/>
    <w:rsid w:val="00987EA5"/>
    <w:rsid w:val="009904FC"/>
    <w:rsid w:val="00990A4F"/>
    <w:rsid w:val="00990D6F"/>
    <w:rsid w:val="00990E36"/>
    <w:rsid w:val="00991289"/>
    <w:rsid w:val="0099161D"/>
    <w:rsid w:val="00991AD5"/>
    <w:rsid w:val="00992512"/>
    <w:rsid w:val="009929FF"/>
    <w:rsid w:val="00992C18"/>
    <w:rsid w:val="00992CA5"/>
    <w:rsid w:val="00993035"/>
    <w:rsid w:val="00993694"/>
    <w:rsid w:val="009939A2"/>
    <w:rsid w:val="00994C13"/>
    <w:rsid w:val="00994C95"/>
    <w:rsid w:val="0099508F"/>
    <w:rsid w:val="00995A95"/>
    <w:rsid w:val="00995C2D"/>
    <w:rsid w:val="00995CE2"/>
    <w:rsid w:val="009964C8"/>
    <w:rsid w:val="00997579"/>
    <w:rsid w:val="009A0164"/>
    <w:rsid w:val="009A02D9"/>
    <w:rsid w:val="009A05F2"/>
    <w:rsid w:val="009A08FA"/>
    <w:rsid w:val="009A15F4"/>
    <w:rsid w:val="009A1AFC"/>
    <w:rsid w:val="009A1C4B"/>
    <w:rsid w:val="009A24B4"/>
    <w:rsid w:val="009A2878"/>
    <w:rsid w:val="009A2CFA"/>
    <w:rsid w:val="009A2DDA"/>
    <w:rsid w:val="009A30B4"/>
    <w:rsid w:val="009A3432"/>
    <w:rsid w:val="009A34A6"/>
    <w:rsid w:val="009A3692"/>
    <w:rsid w:val="009A3745"/>
    <w:rsid w:val="009A3E39"/>
    <w:rsid w:val="009A41F0"/>
    <w:rsid w:val="009A4807"/>
    <w:rsid w:val="009A4A89"/>
    <w:rsid w:val="009A4C73"/>
    <w:rsid w:val="009A503E"/>
    <w:rsid w:val="009A58BC"/>
    <w:rsid w:val="009A5BE5"/>
    <w:rsid w:val="009A5BFD"/>
    <w:rsid w:val="009A5D1B"/>
    <w:rsid w:val="009A6E98"/>
    <w:rsid w:val="009A70B3"/>
    <w:rsid w:val="009A75F1"/>
    <w:rsid w:val="009A7A70"/>
    <w:rsid w:val="009A7B87"/>
    <w:rsid w:val="009A7CA3"/>
    <w:rsid w:val="009A7ECC"/>
    <w:rsid w:val="009B035C"/>
    <w:rsid w:val="009B03DC"/>
    <w:rsid w:val="009B06FE"/>
    <w:rsid w:val="009B0D60"/>
    <w:rsid w:val="009B11E0"/>
    <w:rsid w:val="009B13EF"/>
    <w:rsid w:val="009B1462"/>
    <w:rsid w:val="009B1634"/>
    <w:rsid w:val="009B1811"/>
    <w:rsid w:val="009B1A3A"/>
    <w:rsid w:val="009B201C"/>
    <w:rsid w:val="009B2063"/>
    <w:rsid w:val="009B2467"/>
    <w:rsid w:val="009B2E47"/>
    <w:rsid w:val="009B2E83"/>
    <w:rsid w:val="009B3341"/>
    <w:rsid w:val="009B34D3"/>
    <w:rsid w:val="009B38E4"/>
    <w:rsid w:val="009B3EC6"/>
    <w:rsid w:val="009B59F3"/>
    <w:rsid w:val="009B5D61"/>
    <w:rsid w:val="009B6737"/>
    <w:rsid w:val="009B6A7E"/>
    <w:rsid w:val="009B727F"/>
    <w:rsid w:val="009B797F"/>
    <w:rsid w:val="009C0138"/>
    <w:rsid w:val="009C05B2"/>
    <w:rsid w:val="009C0B53"/>
    <w:rsid w:val="009C113C"/>
    <w:rsid w:val="009C14E1"/>
    <w:rsid w:val="009C15EB"/>
    <w:rsid w:val="009C15F4"/>
    <w:rsid w:val="009C1668"/>
    <w:rsid w:val="009C1A42"/>
    <w:rsid w:val="009C1AA4"/>
    <w:rsid w:val="009C1C3E"/>
    <w:rsid w:val="009C1CFE"/>
    <w:rsid w:val="009C1D8C"/>
    <w:rsid w:val="009C288B"/>
    <w:rsid w:val="009C2E33"/>
    <w:rsid w:val="009C3292"/>
    <w:rsid w:val="009C3802"/>
    <w:rsid w:val="009C39CF"/>
    <w:rsid w:val="009C4385"/>
    <w:rsid w:val="009C46BD"/>
    <w:rsid w:val="009C4D12"/>
    <w:rsid w:val="009C4E42"/>
    <w:rsid w:val="009C4F77"/>
    <w:rsid w:val="009C50ED"/>
    <w:rsid w:val="009C5115"/>
    <w:rsid w:val="009C5384"/>
    <w:rsid w:val="009C53C7"/>
    <w:rsid w:val="009C5968"/>
    <w:rsid w:val="009C59B2"/>
    <w:rsid w:val="009C59B5"/>
    <w:rsid w:val="009C5DD0"/>
    <w:rsid w:val="009C5DEE"/>
    <w:rsid w:val="009C600C"/>
    <w:rsid w:val="009C60D2"/>
    <w:rsid w:val="009C6152"/>
    <w:rsid w:val="009C645D"/>
    <w:rsid w:val="009C6BB4"/>
    <w:rsid w:val="009C6EF0"/>
    <w:rsid w:val="009C6FCA"/>
    <w:rsid w:val="009C7040"/>
    <w:rsid w:val="009C7E22"/>
    <w:rsid w:val="009D0332"/>
    <w:rsid w:val="009D056E"/>
    <w:rsid w:val="009D0B42"/>
    <w:rsid w:val="009D0D62"/>
    <w:rsid w:val="009D0DF4"/>
    <w:rsid w:val="009D12F8"/>
    <w:rsid w:val="009D16FF"/>
    <w:rsid w:val="009D1B42"/>
    <w:rsid w:val="009D1D76"/>
    <w:rsid w:val="009D1FB3"/>
    <w:rsid w:val="009D2193"/>
    <w:rsid w:val="009D268F"/>
    <w:rsid w:val="009D26C6"/>
    <w:rsid w:val="009D2B16"/>
    <w:rsid w:val="009D31AC"/>
    <w:rsid w:val="009D359C"/>
    <w:rsid w:val="009D3B35"/>
    <w:rsid w:val="009D3C68"/>
    <w:rsid w:val="009D3D1A"/>
    <w:rsid w:val="009D3DEF"/>
    <w:rsid w:val="009D5686"/>
    <w:rsid w:val="009D5758"/>
    <w:rsid w:val="009D5979"/>
    <w:rsid w:val="009D5F6B"/>
    <w:rsid w:val="009D6E49"/>
    <w:rsid w:val="009D70EA"/>
    <w:rsid w:val="009D7EBD"/>
    <w:rsid w:val="009D7ECD"/>
    <w:rsid w:val="009E0166"/>
    <w:rsid w:val="009E058A"/>
    <w:rsid w:val="009E0947"/>
    <w:rsid w:val="009E0C85"/>
    <w:rsid w:val="009E0E60"/>
    <w:rsid w:val="009E13E7"/>
    <w:rsid w:val="009E14E7"/>
    <w:rsid w:val="009E1AEC"/>
    <w:rsid w:val="009E1B7E"/>
    <w:rsid w:val="009E1EBA"/>
    <w:rsid w:val="009E1F69"/>
    <w:rsid w:val="009E303D"/>
    <w:rsid w:val="009E39EE"/>
    <w:rsid w:val="009E46E8"/>
    <w:rsid w:val="009E46FC"/>
    <w:rsid w:val="009E4BED"/>
    <w:rsid w:val="009E4CD7"/>
    <w:rsid w:val="009E4F40"/>
    <w:rsid w:val="009E5270"/>
    <w:rsid w:val="009E56E3"/>
    <w:rsid w:val="009E5940"/>
    <w:rsid w:val="009E5971"/>
    <w:rsid w:val="009E59FA"/>
    <w:rsid w:val="009E652B"/>
    <w:rsid w:val="009E6EA8"/>
    <w:rsid w:val="009E72A4"/>
    <w:rsid w:val="009E74EE"/>
    <w:rsid w:val="009E7521"/>
    <w:rsid w:val="009E7643"/>
    <w:rsid w:val="009E784B"/>
    <w:rsid w:val="009E795B"/>
    <w:rsid w:val="009E7D27"/>
    <w:rsid w:val="009F0FA3"/>
    <w:rsid w:val="009F1076"/>
    <w:rsid w:val="009F121B"/>
    <w:rsid w:val="009F141D"/>
    <w:rsid w:val="009F190A"/>
    <w:rsid w:val="009F2215"/>
    <w:rsid w:val="009F2BCD"/>
    <w:rsid w:val="009F30CD"/>
    <w:rsid w:val="009F311C"/>
    <w:rsid w:val="009F3232"/>
    <w:rsid w:val="009F33AF"/>
    <w:rsid w:val="009F3536"/>
    <w:rsid w:val="009F3595"/>
    <w:rsid w:val="009F363D"/>
    <w:rsid w:val="009F3747"/>
    <w:rsid w:val="009F3A80"/>
    <w:rsid w:val="009F3BBF"/>
    <w:rsid w:val="009F420C"/>
    <w:rsid w:val="009F4474"/>
    <w:rsid w:val="009F4A8D"/>
    <w:rsid w:val="009F534E"/>
    <w:rsid w:val="009F5588"/>
    <w:rsid w:val="009F5F62"/>
    <w:rsid w:val="009F6563"/>
    <w:rsid w:val="009F690D"/>
    <w:rsid w:val="009F6F6C"/>
    <w:rsid w:val="009F70D0"/>
    <w:rsid w:val="009F722E"/>
    <w:rsid w:val="009F7A3A"/>
    <w:rsid w:val="009F7EBF"/>
    <w:rsid w:val="00A001D7"/>
    <w:rsid w:val="00A0094A"/>
    <w:rsid w:val="00A00B43"/>
    <w:rsid w:val="00A00CF1"/>
    <w:rsid w:val="00A00D01"/>
    <w:rsid w:val="00A0109A"/>
    <w:rsid w:val="00A011FC"/>
    <w:rsid w:val="00A0150C"/>
    <w:rsid w:val="00A01925"/>
    <w:rsid w:val="00A01B41"/>
    <w:rsid w:val="00A01BDD"/>
    <w:rsid w:val="00A020A7"/>
    <w:rsid w:val="00A027F7"/>
    <w:rsid w:val="00A028D0"/>
    <w:rsid w:val="00A02F56"/>
    <w:rsid w:val="00A03613"/>
    <w:rsid w:val="00A03A8C"/>
    <w:rsid w:val="00A03B2B"/>
    <w:rsid w:val="00A04672"/>
    <w:rsid w:val="00A04FD3"/>
    <w:rsid w:val="00A05EDB"/>
    <w:rsid w:val="00A06148"/>
    <w:rsid w:val="00A06865"/>
    <w:rsid w:val="00A0704D"/>
    <w:rsid w:val="00A074D8"/>
    <w:rsid w:val="00A106C7"/>
    <w:rsid w:val="00A10866"/>
    <w:rsid w:val="00A109AF"/>
    <w:rsid w:val="00A10B1D"/>
    <w:rsid w:val="00A114BA"/>
    <w:rsid w:val="00A11617"/>
    <w:rsid w:val="00A11BD1"/>
    <w:rsid w:val="00A11CB4"/>
    <w:rsid w:val="00A11F24"/>
    <w:rsid w:val="00A120CA"/>
    <w:rsid w:val="00A1277F"/>
    <w:rsid w:val="00A129ED"/>
    <w:rsid w:val="00A129EF"/>
    <w:rsid w:val="00A12B02"/>
    <w:rsid w:val="00A12D1B"/>
    <w:rsid w:val="00A130E0"/>
    <w:rsid w:val="00A130E5"/>
    <w:rsid w:val="00A132B5"/>
    <w:rsid w:val="00A13325"/>
    <w:rsid w:val="00A13765"/>
    <w:rsid w:val="00A1389A"/>
    <w:rsid w:val="00A13C3C"/>
    <w:rsid w:val="00A13CA9"/>
    <w:rsid w:val="00A13D09"/>
    <w:rsid w:val="00A140B6"/>
    <w:rsid w:val="00A14D20"/>
    <w:rsid w:val="00A151A2"/>
    <w:rsid w:val="00A15210"/>
    <w:rsid w:val="00A15397"/>
    <w:rsid w:val="00A1559F"/>
    <w:rsid w:val="00A157AD"/>
    <w:rsid w:val="00A16641"/>
    <w:rsid w:val="00A16A1E"/>
    <w:rsid w:val="00A16DBD"/>
    <w:rsid w:val="00A1755E"/>
    <w:rsid w:val="00A1786B"/>
    <w:rsid w:val="00A17F24"/>
    <w:rsid w:val="00A2020E"/>
    <w:rsid w:val="00A20494"/>
    <w:rsid w:val="00A2059A"/>
    <w:rsid w:val="00A211D9"/>
    <w:rsid w:val="00A21272"/>
    <w:rsid w:val="00A21BE2"/>
    <w:rsid w:val="00A225E5"/>
    <w:rsid w:val="00A22708"/>
    <w:rsid w:val="00A227C5"/>
    <w:rsid w:val="00A22DA2"/>
    <w:rsid w:val="00A233C5"/>
    <w:rsid w:val="00A236DE"/>
    <w:rsid w:val="00A23A42"/>
    <w:rsid w:val="00A23BDE"/>
    <w:rsid w:val="00A23F7D"/>
    <w:rsid w:val="00A24527"/>
    <w:rsid w:val="00A25145"/>
    <w:rsid w:val="00A253E2"/>
    <w:rsid w:val="00A25508"/>
    <w:rsid w:val="00A258AE"/>
    <w:rsid w:val="00A25B67"/>
    <w:rsid w:val="00A25C35"/>
    <w:rsid w:val="00A2643E"/>
    <w:rsid w:val="00A26F32"/>
    <w:rsid w:val="00A316F7"/>
    <w:rsid w:val="00A31919"/>
    <w:rsid w:val="00A32521"/>
    <w:rsid w:val="00A32BAD"/>
    <w:rsid w:val="00A3350D"/>
    <w:rsid w:val="00A34309"/>
    <w:rsid w:val="00A34490"/>
    <w:rsid w:val="00A35087"/>
    <w:rsid w:val="00A35324"/>
    <w:rsid w:val="00A35352"/>
    <w:rsid w:val="00A35575"/>
    <w:rsid w:val="00A358CF"/>
    <w:rsid w:val="00A36266"/>
    <w:rsid w:val="00A362AC"/>
    <w:rsid w:val="00A3702D"/>
    <w:rsid w:val="00A372A5"/>
    <w:rsid w:val="00A373E2"/>
    <w:rsid w:val="00A375AB"/>
    <w:rsid w:val="00A37701"/>
    <w:rsid w:val="00A37A56"/>
    <w:rsid w:val="00A37BAB"/>
    <w:rsid w:val="00A37C71"/>
    <w:rsid w:val="00A40E86"/>
    <w:rsid w:val="00A412F1"/>
    <w:rsid w:val="00A419D1"/>
    <w:rsid w:val="00A42061"/>
    <w:rsid w:val="00A42142"/>
    <w:rsid w:val="00A42CDF"/>
    <w:rsid w:val="00A42EC6"/>
    <w:rsid w:val="00A435CB"/>
    <w:rsid w:val="00A43683"/>
    <w:rsid w:val="00A44469"/>
    <w:rsid w:val="00A44CBB"/>
    <w:rsid w:val="00A4501C"/>
    <w:rsid w:val="00A45329"/>
    <w:rsid w:val="00A456CC"/>
    <w:rsid w:val="00A457EA"/>
    <w:rsid w:val="00A46477"/>
    <w:rsid w:val="00A4666A"/>
    <w:rsid w:val="00A467FE"/>
    <w:rsid w:val="00A47F29"/>
    <w:rsid w:val="00A500B9"/>
    <w:rsid w:val="00A505B3"/>
    <w:rsid w:val="00A5088E"/>
    <w:rsid w:val="00A50A99"/>
    <w:rsid w:val="00A50CC9"/>
    <w:rsid w:val="00A512F8"/>
    <w:rsid w:val="00A513EB"/>
    <w:rsid w:val="00A514BE"/>
    <w:rsid w:val="00A5169E"/>
    <w:rsid w:val="00A51BBB"/>
    <w:rsid w:val="00A51EC0"/>
    <w:rsid w:val="00A52E1B"/>
    <w:rsid w:val="00A5327A"/>
    <w:rsid w:val="00A53519"/>
    <w:rsid w:val="00A537CB"/>
    <w:rsid w:val="00A53A3B"/>
    <w:rsid w:val="00A53F2A"/>
    <w:rsid w:val="00A541BC"/>
    <w:rsid w:val="00A54EFE"/>
    <w:rsid w:val="00A554E6"/>
    <w:rsid w:val="00A55AEA"/>
    <w:rsid w:val="00A55CD6"/>
    <w:rsid w:val="00A57666"/>
    <w:rsid w:val="00A576AC"/>
    <w:rsid w:val="00A57FE3"/>
    <w:rsid w:val="00A60265"/>
    <w:rsid w:val="00A61863"/>
    <w:rsid w:val="00A61B31"/>
    <w:rsid w:val="00A61CED"/>
    <w:rsid w:val="00A61E44"/>
    <w:rsid w:val="00A625AC"/>
    <w:rsid w:val="00A62764"/>
    <w:rsid w:val="00A63660"/>
    <w:rsid w:val="00A638AE"/>
    <w:rsid w:val="00A63A0B"/>
    <w:rsid w:val="00A63AD6"/>
    <w:rsid w:val="00A64759"/>
    <w:rsid w:val="00A64EBC"/>
    <w:rsid w:val="00A65478"/>
    <w:rsid w:val="00A65C0B"/>
    <w:rsid w:val="00A65C69"/>
    <w:rsid w:val="00A65D6D"/>
    <w:rsid w:val="00A65E31"/>
    <w:rsid w:val="00A6674E"/>
    <w:rsid w:val="00A66D0A"/>
    <w:rsid w:val="00A66D59"/>
    <w:rsid w:val="00A670BE"/>
    <w:rsid w:val="00A67898"/>
    <w:rsid w:val="00A679F1"/>
    <w:rsid w:val="00A67E23"/>
    <w:rsid w:val="00A7012B"/>
    <w:rsid w:val="00A702E9"/>
    <w:rsid w:val="00A703B8"/>
    <w:rsid w:val="00A70667"/>
    <w:rsid w:val="00A70693"/>
    <w:rsid w:val="00A70AB6"/>
    <w:rsid w:val="00A70B54"/>
    <w:rsid w:val="00A70EEA"/>
    <w:rsid w:val="00A71482"/>
    <w:rsid w:val="00A716F0"/>
    <w:rsid w:val="00A71CE4"/>
    <w:rsid w:val="00A7217A"/>
    <w:rsid w:val="00A73227"/>
    <w:rsid w:val="00A73526"/>
    <w:rsid w:val="00A73CD4"/>
    <w:rsid w:val="00A73CF7"/>
    <w:rsid w:val="00A73D62"/>
    <w:rsid w:val="00A73E92"/>
    <w:rsid w:val="00A7416D"/>
    <w:rsid w:val="00A743F7"/>
    <w:rsid w:val="00A758F7"/>
    <w:rsid w:val="00A75B71"/>
    <w:rsid w:val="00A75BD2"/>
    <w:rsid w:val="00A75D5E"/>
    <w:rsid w:val="00A75E7D"/>
    <w:rsid w:val="00A761F5"/>
    <w:rsid w:val="00A764BB"/>
    <w:rsid w:val="00A76FE6"/>
    <w:rsid w:val="00A773B9"/>
    <w:rsid w:val="00A776DD"/>
    <w:rsid w:val="00A77C61"/>
    <w:rsid w:val="00A8066C"/>
    <w:rsid w:val="00A8080A"/>
    <w:rsid w:val="00A8081E"/>
    <w:rsid w:val="00A814A2"/>
    <w:rsid w:val="00A815D0"/>
    <w:rsid w:val="00A81E9A"/>
    <w:rsid w:val="00A820DD"/>
    <w:rsid w:val="00A826D6"/>
    <w:rsid w:val="00A82A14"/>
    <w:rsid w:val="00A83313"/>
    <w:rsid w:val="00A838E1"/>
    <w:rsid w:val="00A83AD0"/>
    <w:rsid w:val="00A840E1"/>
    <w:rsid w:val="00A841B3"/>
    <w:rsid w:val="00A8495F"/>
    <w:rsid w:val="00A85412"/>
    <w:rsid w:val="00A864D9"/>
    <w:rsid w:val="00A86F59"/>
    <w:rsid w:val="00A87616"/>
    <w:rsid w:val="00A87976"/>
    <w:rsid w:val="00A87BED"/>
    <w:rsid w:val="00A87DAD"/>
    <w:rsid w:val="00A9103D"/>
    <w:rsid w:val="00A91263"/>
    <w:rsid w:val="00A91B75"/>
    <w:rsid w:val="00A91F46"/>
    <w:rsid w:val="00A91F48"/>
    <w:rsid w:val="00A9225B"/>
    <w:rsid w:val="00A931AD"/>
    <w:rsid w:val="00A93872"/>
    <w:rsid w:val="00A938EA"/>
    <w:rsid w:val="00A93B41"/>
    <w:rsid w:val="00A93C76"/>
    <w:rsid w:val="00A94784"/>
    <w:rsid w:val="00A94894"/>
    <w:rsid w:val="00A94A81"/>
    <w:rsid w:val="00A94AA6"/>
    <w:rsid w:val="00A94B45"/>
    <w:rsid w:val="00A94C27"/>
    <w:rsid w:val="00A956A5"/>
    <w:rsid w:val="00A95DAF"/>
    <w:rsid w:val="00A95DF6"/>
    <w:rsid w:val="00A96448"/>
    <w:rsid w:val="00A96A45"/>
    <w:rsid w:val="00A96E98"/>
    <w:rsid w:val="00A9704F"/>
    <w:rsid w:val="00A976A5"/>
    <w:rsid w:val="00A976C1"/>
    <w:rsid w:val="00A97FC3"/>
    <w:rsid w:val="00AA0133"/>
    <w:rsid w:val="00AA0B37"/>
    <w:rsid w:val="00AA1924"/>
    <w:rsid w:val="00AA1B12"/>
    <w:rsid w:val="00AA1E28"/>
    <w:rsid w:val="00AA2226"/>
    <w:rsid w:val="00AA2804"/>
    <w:rsid w:val="00AA2C9D"/>
    <w:rsid w:val="00AA344F"/>
    <w:rsid w:val="00AA3AA9"/>
    <w:rsid w:val="00AA3B5F"/>
    <w:rsid w:val="00AA3B8D"/>
    <w:rsid w:val="00AA3D10"/>
    <w:rsid w:val="00AA3FC9"/>
    <w:rsid w:val="00AA40F2"/>
    <w:rsid w:val="00AA46F3"/>
    <w:rsid w:val="00AA4BDA"/>
    <w:rsid w:val="00AA4F4C"/>
    <w:rsid w:val="00AA5347"/>
    <w:rsid w:val="00AA568B"/>
    <w:rsid w:val="00AA595E"/>
    <w:rsid w:val="00AA5CF0"/>
    <w:rsid w:val="00AA6764"/>
    <w:rsid w:val="00AA6883"/>
    <w:rsid w:val="00AA6F70"/>
    <w:rsid w:val="00AA78A1"/>
    <w:rsid w:val="00AA7EDD"/>
    <w:rsid w:val="00AA7FA8"/>
    <w:rsid w:val="00AB0061"/>
    <w:rsid w:val="00AB0318"/>
    <w:rsid w:val="00AB045C"/>
    <w:rsid w:val="00AB058C"/>
    <w:rsid w:val="00AB0C0E"/>
    <w:rsid w:val="00AB0C9D"/>
    <w:rsid w:val="00AB0DDA"/>
    <w:rsid w:val="00AB1152"/>
    <w:rsid w:val="00AB1A90"/>
    <w:rsid w:val="00AB1B8F"/>
    <w:rsid w:val="00AB21DD"/>
    <w:rsid w:val="00AB27A9"/>
    <w:rsid w:val="00AB2809"/>
    <w:rsid w:val="00AB2BD4"/>
    <w:rsid w:val="00AB2C81"/>
    <w:rsid w:val="00AB2CA3"/>
    <w:rsid w:val="00AB4589"/>
    <w:rsid w:val="00AB4C1D"/>
    <w:rsid w:val="00AB5414"/>
    <w:rsid w:val="00AB55CB"/>
    <w:rsid w:val="00AB56B3"/>
    <w:rsid w:val="00AB5D9A"/>
    <w:rsid w:val="00AB5DE2"/>
    <w:rsid w:val="00AB6750"/>
    <w:rsid w:val="00AB6971"/>
    <w:rsid w:val="00AB6A5A"/>
    <w:rsid w:val="00AB6A97"/>
    <w:rsid w:val="00AB73D5"/>
    <w:rsid w:val="00AB790D"/>
    <w:rsid w:val="00AC0368"/>
    <w:rsid w:val="00AC040D"/>
    <w:rsid w:val="00AC0613"/>
    <w:rsid w:val="00AC0F6D"/>
    <w:rsid w:val="00AC1E31"/>
    <w:rsid w:val="00AC2086"/>
    <w:rsid w:val="00AC2091"/>
    <w:rsid w:val="00AC224F"/>
    <w:rsid w:val="00AC294C"/>
    <w:rsid w:val="00AC2B58"/>
    <w:rsid w:val="00AC2BCC"/>
    <w:rsid w:val="00AC3183"/>
    <w:rsid w:val="00AC3806"/>
    <w:rsid w:val="00AC39BA"/>
    <w:rsid w:val="00AC3B0A"/>
    <w:rsid w:val="00AC3C93"/>
    <w:rsid w:val="00AC4323"/>
    <w:rsid w:val="00AC4736"/>
    <w:rsid w:val="00AC6129"/>
    <w:rsid w:val="00AC6396"/>
    <w:rsid w:val="00AC64A0"/>
    <w:rsid w:val="00AC6804"/>
    <w:rsid w:val="00AC68BE"/>
    <w:rsid w:val="00AC72A5"/>
    <w:rsid w:val="00AC7340"/>
    <w:rsid w:val="00AC7A28"/>
    <w:rsid w:val="00AC7BFE"/>
    <w:rsid w:val="00AD03F5"/>
    <w:rsid w:val="00AD052A"/>
    <w:rsid w:val="00AD0AF2"/>
    <w:rsid w:val="00AD1377"/>
    <w:rsid w:val="00AD161D"/>
    <w:rsid w:val="00AD2525"/>
    <w:rsid w:val="00AD2FF1"/>
    <w:rsid w:val="00AD3A95"/>
    <w:rsid w:val="00AD3CCF"/>
    <w:rsid w:val="00AD3EDB"/>
    <w:rsid w:val="00AD3F02"/>
    <w:rsid w:val="00AD4888"/>
    <w:rsid w:val="00AD4A06"/>
    <w:rsid w:val="00AD4AE0"/>
    <w:rsid w:val="00AD58BB"/>
    <w:rsid w:val="00AD5B7B"/>
    <w:rsid w:val="00AD5D04"/>
    <w:rsid w:val="00AD5D32"/>
    <w:rsid w:val="00AD6886"/>
    <w:rsid w:val="00AD70C1"/>
    <w:rsid w:val="00AD7830"/>
    <w:rsid w:val="00AD79FF"/>
    <w:rsid w:val="00AD7C95"/>
    <w:rsid w:val="00AE146C"/>
    <w:rsid w:val="00AE165F"/>
    <w:rsid w:val="00AE1B80"/>
    <w:rsid w:val="00AE1D8D"/>
    <w:rsid w:val="00AE2041"/>
    <w:rsid w:val="00AE2499"/>
    <w:rsid w:val="00AE24B2"/>
    <w:rsid w:val="00AE2830"/>
    <w:rsid w:val="00AE289C"/>
    <w:rsid w:val="00AE2BDC"/>
    <w:rsid w:val="00AE32E4"/>
    <w:rsid w:val="00AE3318"/>
    <w:rsid w:val="00AE336A"/>
    <w:rsid w:val="00AE3545"/>
    <w:rsid w:val="00AE3727"/>
    <w:rsid w:val="00AE3835"/>
    <w:rsid w:val="00AE3A19"/>
    <w:rsid w:val="00AE3BF8"/>
    <w:rsid w:val="00AE4CA4"/>
    <w:rsid w:val="00AE503C"/>
    <w:rsid w:val="00AE5550"/>
    <w:rsid w:val="00AE595C"/>
    <w:rsid w:val="00AE5A12"/>
    <w:rsid w:val="00AE5D4A"/>
    <w:rsid w:val="00AE6398"/>
    <w:rsid w:val="00AE662F"/>
    <w:rsid w:val="00AE6907"/>
    <w:rsid w:val="00AE6BB4"/>
    <w:rsid w:val="00AE6E89"/>
    <w:rsid w:val="00AE6F6C"/>
    <w:rsid w:val="00AE7067"/>
    <w:rsid w:val="00AE731B"/>
    <w:rsid w:val="00AE744D"/>
    <w:rsid w:val="00AE7A64"/>
    <w:rsid w:val="00AE7CE0"/>
    <w:rsid w:val="00AE7ECC"/>
    <w:rsid w:val="00AF0039"/>
    <w:rsid w:val="00AF0387"/>
    <w:rsid w:val="00AF0444"/>
    <w:rsid w:val="00AF0F3D"/>
    <w:rsid w:val="00AF12AD"/>
    <w:rsid w:val="00AF1B44"/>
    <w:rsid w:val="00AF224B"/>
    <w:rsid w:val="00AF2AD2"/>
    <w:rsid w:val="00AF37FF"/>
    <w:rsid w:val="00AF3818"/>
    <w:rsid w:val="00AF47D8"/>
    <w:rsid w:val="00AF4C02"/>
    <w:rsid w:val="00AF5020"/>
    <w:rsid w:val="00AF5724"/>
    <w:rsid w:val="00AF5938"/>
    <w:rsid w:val="00AF5E4E"/>
    <w:rsid w:val="00AF6070"/>
    <w:rsid w:val="00AF64C4"/>
    <w:rsid w:val="00AF686C"/>
    <w:rsid w:val="00AF6C0D"/>
    <w:rsid w:val="00AF6C21"/>
    <w:rsid w:val="00AF748D"/>
    <w:rsid w:val="00AF75ED"/>
    <w:rsid w:val="00AF793C"/>
    <w:rsid w:val="00AF79FA"/>
    <w:rsid w:val="00AF7E7F"/>
    <w:rsid w:val="00AF7FB8"/>
    <w:rsid w:val="00B0017F"/>
    <w:rsid w:val="00B0052C"/>
    <w:rsid w:val="00B00A07"/>
    <w:rsid w:val="00B01702"/>
    <w:rsid w:val="00B01804"/>
    <w:rsid w:val="00B01EC7"/>
    <w:rsid w:val="00B02097"/>
    <w:rsid w:val="00B020A5"/>
    <w:rsid w:val="00B020B5"/>
    <w:rsid w:val="00B028B6"/>
    <w:rsid w:val="00B02A2E"/>
    <w:rsid w:val="00B02A63"/>
    <w:rsid w:val="00B02ADE"/>
    <w:rsid w:val="00B02E08"/>
    <w:rsid w:val="00B02F63"/>
    <w:rsid w:val="00B0309C"/>
    <w:rsid w:val="00B035F8"/>
    <w:rsid w:val="00B03785"/>
    <w:rsid w:val="00B0391E"/>
    <w:rsid w:val="00B03F0E"/>
    <w:rsid w:val="00B03FEA"/>
    <w:rsid w:val="00B04106"/>
    <w:rsid w:val="00B048F0"/>
    <w:rsid w:val="00B04C34"/>
    <w:rsid w:val="00B0503B"/>
    <w:rsid w:val="00B057FB"/>
    <w:rsid w:val="00B0589F"/>
    <w:rsid w:val="00B05B9F"/>
    <w:rsid w:val="00B06163"/>
    <w:rsid w:val="00B0628E"/>
    <w:rsid w:val="00B07093"/>
    <w:rsid w:val="00B071BA"/>
    <w:rsid w:val="00B07253"/>
    <w:rsid w:val="00B073EB"/>
    <w:rsid w:val="00B075D1"/>
    <w:rsid w:val="00B1088A"/>
    <w:rsid w:val="00B10EA7"/>
    <w:rsid w:val="00B113E1"/>
    <w:rsid w:val="00B11B4C"/>
    <w:rsid w:val="00B11C24"/>
    <w:rsid w:val="00B11D09"/>
    <w:rsid w:val="00B1208F"/>
    <w:rsid w:val="00B12357"/>
    <w:rsid w:val="00B12509"/>
    <w:rsid w:val="00B12B7A"/>
    <w:rsid w:val="00B133C2"/>
    <w:rsid w:val="00B13793"/>
    <w:rsid w:val="00B13B33"/>
    <w:rsid w:val="00B13C71"/>
    <w:rsid w:val="00B141FA"/>
    <w:rsid w:val="00B1427E"/>
    <w:rsid w:val="00B145B6"/>
    <w:rsid w:val="00B14B40"/>
    <w:rsid w:val="00B151B0"/>
    <w:rsid w:val="00B15812"/>
    <w:rsid w:val="00B1744B"/>
    <w:rsid w:val="00B17465"/>
    <w:rsid w:val="00B17B98"/>
    <w:rsid w:val="00B17F86"/>
    <w:rsid w:val="00B20453"/>
    <w:rsid w:val="00B20CC1"/>
    <w:rsid w:val="00B20F25"/>
    <w:rsid w:val="00B20FE1"/>
    <w:rsid w:val="00B2194A"/>
    <w:rsid w:val="00B21BA1"/>
    <w:rsid w:val="00B22061"/>
    <w:rsid w:val="00B227E7"/>
    <w:rsid w:val="00B228DB"/>
    <w:rsid w:val="00B23025"/>
    <w:rsid w:val="00B233D0"/>
    <w:rsid w:val="00B249B6"/>
    <w:rsid w:val="00B24C02"/>
    <w:rsid w:val="00B24FEE"/>
    <w:rsid w:val="00B250DE"/>
    <w:rsid w:val="00B252FB"/>
    <w:rsid w:val="00B25347"/>
    <w:rsid w:val="00B25BC5"/>
    <w:rsid w:val="00B26321"/>
    <w:rsid w:val="00B27672"/>
    <w:rsid w:val="00B27765"/>
    <w:rsid w:val="00B2790D"/>
    <w:rsid w:val="00B3034A"/>
    <w:rsid w:val="00B305EA"/>
    <w:rsid w:val="00B30A90"/>
    <w:rsid w:val="00B312C0"/>
    <w:rsid w:val="00B31CB7"/>
    <w:rsid w:val="00B32CBD"/>
    <w:rsid w:val="00B33384"/>
    <w:rsid w:val="00B33424"/>
    <w:rsid w:val="00B34012"/>
    <w:rsid w:val="00B34022"/>
    <w:rsid w:val="00B34046"/>
    <w:rsid w:val="00B3436C"/>
    <w:rsid w:val="00B3449B"/>
    <w:rsid w:val="00B34585"/>
    <w:rsid w:val="00B3467E"/>
    <w:rsid w:val="00B34A76"/>
    <w:rsid w:val="00B34C2F"/>
    <w:rsid w:val="00B3559E"/>
    <w:rsid w:val="00B36487"/>
    <w:rsid w:val="00B36623"/>
    <w:rsid w:val="00B369F7"/>
    <w:rsid w:val="00B36AFC"/>
    <w:rsid w:val="00B3711D"/>
    <w:rsid w:val="00B37DC4"/>
    <w:rsid w:val="00B37F59"/>
    <w:rsid w:val="00B40433"/>
    <w:rsid w:val="00B407A8"/>
    <w:rsid w:val="00B409E9"/>
    <w:rsid w:val="00B40AC1"/>
    <w:rsid w:val="00B40CD2"/>
    <w:rsid w:val="00B41480"/>
    <w:rsid w:val="00B416A1"/>
    <w:rsid w:val="00B41FDE"/>
    <w:rsid w:val="00B42068"/>
    <w:rsid w:val="00B420EC"/>
    <w:rsid w:val="00B42C6D"/>
    <w:rsid w:val="00B43011"/>
    <w:rsid w:val="00B439DC"/>
    <w:rsid w:val="00B43C93"/>
    <w:rsid w:val="00B43D3E"/>
    <w:rsid w:val="00B43D9F"/>
    <w:rsid w:val="00B43F2F"/>
    <w:rsid w:val="00B43FA8"/>
    <w:rsid w:val="00B4400E"/>
    <w:rsid w:val="00B44094"/>
    <w:rsid w:val="00B440C8"/>
    <w:rsid w:val="00B443A2"/>
    <w:rsid w:val="00B44428"/>
    <w:rsid w:val="00B44613"/>
    <w:rsid w:val="00B447CC"/>
    <w:rsid w:val="00B44C90"/>
    <w:rsid w:val="00B450B1"/>
    <w:rsid w:val="00B45767"/>
    <w:rsid w:val="00B46293"/>
    <w:rsid w:val="00B463CF"/>
    <w:rsid w:val="00B46588"/>
    <w:rsid w:val="00B46D0F"/>
    <w:rsid w:val="00B46DF6"/>
    <w:rsid w:val="00B46F8C"/>
    <w:rsid w:val="00B46FF4"/>
    <w:rsid w:val="00B47223"/>
    <w:rsid w:val="00B47491"/>
    <w:rsid w:val="00B4754E"/>
    <w:rsid w:val="00B4796F"/>
    <w:rsid w:val="00B479E6"/>
    <w:rsid w:val="00B47CF0"/>
    <w:rsid w:val="00B500C3"/>
    <w:rsid w:val="00B503FF"/>
    <w:rsid w:val="00B50535"/>
    <w:rsid w:val="00B50ABD"/>
    <w:rsid w:val="00B50BCA"/>
    <w:rsid w:val="00B51137"/>
    <w:rsid w:val="00B51184"/>
    <w:rsid w:val="00B512B0"/>
    <w:rsid w:val="00B5154E"/>
    <w:rsid w:val="00B5172C"/>
    <w:rsid w:val="00B518BF"/>
    <w:rsid w:val="00B51A29"/>
    <w:rsid w:val="00B52345"/>
    <w:rsid w:val="00B52AAB"/>
    <w:rsid w:val="00B53115"/>
    <w:rsid w:val="00B53B65"/>
    <w:rsid w:val="00B54407"/>
    <w:rsid w:val="00B544A5"/>
    <w:rsid w:val="00B544CA"/>
    <w:rsid w:val="00B5454F"/>
    <w:rsid w:val="00B5540A"/>
    <w:rsid w:val="00B56AC0"/>
    <w:rsid w:val="00B56B4E"/>
    <w:rsid w:val="00B56EF3"/>
    <w:rsid w:val="00B57314"/>
    <w:rsid w:val="00B57476"/>
    <w:rsid w:val="00B578FA"/>
    <w:rsid w:val="00B579E1"/>
    <w:rsid w:val="00B57ED9"/>
    <w:rsid w:val="00B60732"/>
    <w:rsid w:val="00B6192A"/>
    <w:rsid w:val="00B61BC0"/>
    <w:rsid w:val="00B61C05"/>
    <w:rsid w:val="00B625B7"/>
    <w:rsid w:val="00B627B5"/>
    <w:rsid w:val="00B6309C"/>
    <w:rsid w:val="00B632D7"/>
    <w:rsid w:val="00B63574"/>
    <w:rsid w:val="00B639D4"/>
    <w:rsid w:val="00B64005"/>
    <w:rsid w:val="00B64210"/>
    <w:rsid w:val="00B6421B"/>
    <w:rsid w:val="00B649BF"/>
    <w:rsid w:val="00B650B4"/>
    <w:rsid w:val="00B652C4"/>
    <w:rsid w:val="00B652E7"/>
    <w:rsid w:val="00B65347"/>
    <w:rsid w:val="00B6549E"/>
    <w:rsid w:val="00B65BB0"/>
    <w:rsid w:val="00B65DF9"/>
    <w:rsid w:val="00B66323"/>
    <w:rsid w:val="00B66639"/>
    <w:rsid w:val="00B66B8F"/>
    <w:rsid w:val="00B66FC1"/>
    <w:rsid w:val="00B671BB"/>
    <w:rsid w:val="00B673EC"/>
    <w:rsid w:val="00B67778"/>
    <w:rsid w:val="00B679DA"/>
    <w:rsid w:val="00B67A63"/>
    <w:rsid w:val="00B67B4C"/>
    <w:rsid w:val="00B67C00"/>
    <w:rsid w:val="00B70436"/>
    <w:rsid w:val="00B70BBC"/>
    <w:rsid w:val="00B70F13"/>
    <w:rsid w:val="00B7199B"/>
    <w:rsid w:val="00B7227F"/>
    <w:rsid w:val="00B7244D"/>
    <w:rsid w:val="00B726D5"/>
    <w:rsid w:val="00B72EF8"/>
    <w:rsid w:val="00B72F9C"/>
    <w:rsid w:val="00B73636"/>
    <w:rsid w:val="00B7420C"/>
    <w:rsid w:val="00B742BC"/>
    <w:rsid w:val="00B7431A"/>
    <w:rsid w:val="00B74485"/>
    <w:rsid w:val="00B74C25"/>
    <w:rsid w:val="00B75822"/>
    <w:rsid w:val="00B7585D"/>
    <w:rsid w:val="00B75AC2"/>
    <w:rsid w:val="00B75AE7"/>
    <w:rsid w:val="00B76339"/>
    <w:rsid w:val="00B764E5"/>
    <w:rsid w:val="00B76759"/>
    <w:rsid w:val="00B76A57"/>
    <w:rsid w:val="00B76B01"/>
    <w:rsid w:val="00B77A26"/>
    <w:rsid w:val="00B77DB5"/>
    <w:rsid w:val="00B8009D"/>
    <w:rsid w:val="00B8023D"/>
    <w:rsid w:val="00B803D5"/>
    <w:rsid w:val="00B808F6"/>
    <w:rsid w:val="00B80960"/>
    <w:rsid w:val="00B81848"/>
    <w:rsid w:val="00B81F58"/>
    <w:rsid w:val="00B828CE"/>
    <w:rsid w:val="00B82A63"/>
    <w:rsid w:val="00B83099"/>
    <w:rsid w:val="00B83274"/>
    <w:rsid w:val="00B832C0"/>
    <w:rsid w:val="00B83323"/>
    <w:rsid w:val="00B83E9B"/>
    <w:rsid w:val="00B84E32"/>
    <w:rsid w:val="00B85023"/>
    <w:rsid w:val="00B855A3"/>
    <w:rsid w:val="00B8597C"/>
    <w:rsid w:val="00B85B76"/>
    <w:rsid w:val="00B86613"/>
    <w:rsid w:val="00B86AA0"/>
    <w:rsid w:val="00B86F24"/>
    <w:rsid w:val="00B86FB1"/>
    <w:rsid w:val="00B87247"/>
    <w:rsid w:val="00B874CD"/>
    <w:rsid w:val="00B87501"/>
    <w:rsid w:val="00B87780"/>
    <w:rsid w:val="00B87CFA"/>
    <w:rsid w:val="00B87E49"/>
    <w:rsid w:val="00B9013D"/>
    <w:rsid w:val="00B9054A"/>
    <w:rsid w:val="00B90747"/>
    <w:rsid w:val="00B909BC"/>
    <w:rsid w:val="00B90B8A"/>
    <w:rsid w:val="00B90D10"/>
    <w:rsid w:val="00B910BB"/>
    <w:rsid w:val="00B910D5"/>
    <w:rsid w:val="00B912E0"/>
    <w:rsid w:val="00B9184A"/>
    <w:rsid w:val="00B91B86"/>
    <w:rsid w:val="00B921C3"/>
    <w:rsid w:val="00B92239"/>
    <w:rsid w:val="00B92497"/>
    <w:rsid w:val="00B926E6"/>
    <w:rsid w:val="00B92A2F"/>
    <w:rsid w:val="00B931C6"/>
    <w:rsid w:val="00B93236"/>
    <w:rsid w:val="00B9376D"/>
    <w:rsid w:val="00B93B5A"/>
    <w:rsid w:val="00B93DF8"/>
    <w:rsid w:val="00B94618"/>
    <w:rsid w:val="00B949C1"/>
    <w:rsid w:val="00B94A56"/>
    <w:rsid w:val="00B94E0D"/>
    <w:rsid w:val="00B95507"/>
    <w:rsid w:val="00B956A4"/>
    <w:rsid w:val="00B958F1"/>
    <w:rsid w:val="00B95C5A"/>
    <w:rsid w:val="00B95EEA"/>
    <w:rsid w:val="00B965A8"/>
    <w:rsid w:val="00B966E0"/>
    <w:rsid w:val="00B971A5"/>
    <w:rsid w:val="00B97224"/>
    <w:rsid w:val="00B975E4"/>
    <w:rsid w:val="00B97B3E"/>
    <w:rsid w:val="00B97D25"/>
    <w:rsid w:val="00B97F22"/>
    <w:rsid w:val="00BA0193"/>
    <w:rsid w:val="00BA0787"/>
    <w:rsid w:val="00BA18BE"/>
    <w:rsid w:val="00BA2DA9"/>
    <w:rsid w:val="00BA34D1"/>
    <w:rsid w:val="00BA3598"/>
    <w:rsid w:val="00BA3DD2"/>
    <w:rsid w:val="00BA3F01"/>
    <w:rsid w:val="00BA4438"/>
    <w:rsid w:val="00BA520E"/>
    <w:rsid w:val="00BA532E"/>
    <w:rsid w:val="00BA557C"/>
    <w:rsid w:val="00BA5854"/>
    <w:rsid w:val="00BA63C2"/>
    <w:rsid w:val="00BA63E3"/>
    <w:rsid w:val="00BA6671"/>
    <w:rsid w:val="00BA67CD"/>
    <w:rsid w:val="00BA6B9B"/>
    <w:rsid w:val="00BA6BE6"/>
    <w:rsid w:val="00BA7437"/>
    <w:rsid w:val="00BA7570"/>
    <w:rsid w:val="00BA79B8"/>
    <w:rsid w:val="00BA7B58"/>
    <w:rsid w:val="00BA7C8A"/>
    <w:rsid w:val="00BA7DC7"/>
    <w:rsid w:val="00BB000F"/>
    <w:rsid w:val="00BB0C7E"/>
    <w:rsid w:val="00BB1346"/>
    <w:rsid w:val="00BB13A1"/>
    <w:rsid w:val="00BB15F1"/>
    <w:rsid w:val="00BB16DD"/>
    <w:rsid w:val="00BB1AA9"/>
    <w:rsid w:val="00BB1E1C"/>
    <w:rsid w:val="00BB20E2"/>
    <w:rsid w:val="00BB211D"/>
    <w:rsid w:val="00BB274A"/>
    <w:rsid w:val="00BB2CAE"/>
    <w:rsid w:val="00BB3554"/>
    <w:rsid w:val="00BB3D6C"/>
    <w:rsid w:val="00BB3FBA"/>
    <w:rsid w:val="00BB46F7"/>
    <w:rsid w:val="00BB4728"/>
    <w:rsid w:val="00BB4A7C"/>
    <w:rsid w:val="00BB5325"/>
    <w:rsid w:val="00BB5350"/>
    <w:rsid w:val="00BB5BEB"/>
    <w:rsid w:val="00BB5C45"/>
    <w:rsid w:val="00BB61F0"/>
    <w:rsid w:val="00BB6467"/>
    <w:rsid w:val="00BB685D"/>
    <w:rsid w:val="00BB6C72"/>
    <w:rsid w:val="00BB6E9E"/>
    <w:rsid w:val="00BB6ECF"/>
    <w:rsid w:val="00BB6F3D"/>
    <w:rsid w:val="00BB7389"/>
    <w:rsid w:val="00BB75B7"/>
    <w:rsid w:val="00BB7C5C"/>
    <w:rsid w:val="00BB7EF9"/>
    <w:rsid w:val="00BC050D"/>
    <w:rsid w:val="00BC056D"/>
    <w:rsid w:val="00BC0795"/>
    <w:rsid w:val="00BC091D"/>
    <w:rsid w:val="00BC1261"/>
    <w:rsid w:val="00BC15DA"/>
    <w:rsid w:val="00BC1B91"/>
    <w:rsid w:val="00BC2086"/>
    <w:rsid w:val="00BC2862"/>
    <w:rsid w:val="00BC2E6E"/>
    <w:rsid w:val="00BC345A"/>
    <w:rsid w:val="00BC3B04"/>
    <w:rsid w:val="00BC3BDE"/>
    <w:rsid w:val="00BC3E4C"/>
    <w:rsid w:val="00BC478E"/>
    <w:rsid w:val="00BC5696"/>
    <w:rsid w:val="00BC5897"/>
    <w:rsid w:val="00BC59B4"/>
    <w:rsid w:val="00BC5BB2"/>
    <w:rsid w:val="00BC5C1D"/>
    <w:rsid w:val="00BC5D36"/>
    <w:rsid w:val="00BC63A1"/>
    <w:rsid w:val="00BC7573"/>
    <w:rsid w:val="00BC76F2"/>
    <w:rsid w:val="00BC782F"/>
    <w:rsid w:val="00BC7A5B"/>
    <w:rsid w:val="00BC7F23"/>
    <w:rsid w:val="00BD014C"/>
    <w:rsid w:val="00BD0264"/>
    <w:rsid w:val="00BD0D46"/>
    <w:rsid w:val="00BD11A4"/>
    <w:rsid w:val="00BD1FF0"/>
    <w:rsid w:val="00BD23B4"/>
    <w:rsid w:val="00BD2F02"/>
    <w:rsid w:val="00BD3185"/>
    <w:rsid w:val="00BD3245"/>
    <w:rsid w:val="00BD32A4"/>
    <w:rsid w:val="00BD359A"/>
    <w:rsid w:val="00BD35EA"/>
    <w:rsid w:val="00BD3A67"/>
    <w:rsid w:val="00BD3E66"/>
    <w:rsid w:val="00BD4802"/>
    <w:rsid w:val="00BD49D1"/>
    <w:rsid w:val="00BD52D8"/>
    <w:rsid w:val="00BD6916"/>
    <w:rsid w:val="00BD69AA"/>
    <w:rsid w:val="00BD6AB5"/>
    <w:rsid w:val="00BD6B10"/>
    <w:rsid w:val="00BD6BB8"/>
    <w:rsid w:val="00BD6C1C"/>
    <w:rsid w:val="00BD6FF1"/>
    <w:rsid w:val="00BD729E"/>
    <w:rsid w:val="00BD73C1"/>
    <w:rsid w:val="00BD788A"/>
    <w:rsid w:val="00BE0975"/>
    <w:rsid w:val="00BE0B34"/>
    <w:rsid w:val="00BE0BF1"/>
    <w:rsid w:val="00BE0FF4"/>
    <w:rsid w:val="00BE13BF"/>
    <w:rsid w:val="00BE14B7"/>
    <w:rsid w:val="00BE15D9"/>
    <w:rsid w:val="00BE219B"/>
    <w:rsid w:val="00BE259C"/>
    <w:rsid w:val="00BE2DDD"/>
    <w:rsid w:val="00BE3082"/>
    <w:rsid w:val="00BE3BBE"/>
    <w:rsid w:val="00BE4009"/>
    <w:rsid w:val="00BE4225"/>
    <w:rsid w:val="00BE4229"/>
    <w:rsid w:val="00BE4390"/>
    <w:rsid w:val="00BE44AC"/>
    <w:rsid w:val="00BE4BFF"/>
    <w:rsid w:val="00BE5214"/>
    <w:rsid w:val="00BE58C5"/>
    <w:rsid w:val="00BE5A34"/>
    <w:rsid w:val="00BE5E41"/>
    <w:rsid w:val="00BE5E70"/>
    <w:rsid w:val="00BE5E80"/>
    <w:rsid w:val="00BE6378"/>
    <w:rsid w:val="00BE6445"/>
    <w:rsid w:val="00BE6734"/>
    <w:rsid w:val="00BE6BD8"/>
    <w:rsid w:val="00BE74A4"/>
    <w:rsid w:val="00BE7565"/>
    <w:rsid w:val="00BE77E9"/>
    <w:rsid w:val="00BF01AD"/>
    <w:rsid w:val="00BF03EB"/>
    <w:rsid w:val="00BF0573"/>
    <w:rsid w:val="00BF05CF"/>
    <w:rsid w:val="00BF0DEC"/>
    <w:rsid w:val="00BF2424"/>
    <w:rsid w:val="00BF2834"/>
    <w:rsid w:val="00BF299A"/>
    <w:rsid w:val="00BF3988"/>
    <w:rsid w:val="00BF41A8"/>
    <w:rsid w:val="00BF44A6"/>
    <w:rsid w:val="00BF4EE7"/>
    <w:rsid w:val="00BF4F92"/>
    <w:rsid w:val="00BF5ED2"/>
    <w:rsid w:val="00BF6826"/>
    <w:rsid w:val="00BF7002"/>
    <w:rsid w:val="00BF7254"/>
    <w:rsid w:val="00BF78A8"/>
    <w:rsid w:val="00BF78B8"/>
    <w:rsid w:val="00BF7AE9"/>
    <w:rsid w:val="00BF7E03"/>
    <w:rsid w:val="00BF7FCD"/>
    <w:rsid w:val="00C000EA"/>
    <w:rsid w:val="00C00423"/>
    <w:rsid w:val="00C00794"/>
    <w:rsid w:val="00C007AC"/>
    <w:rsid w:val="00C00D57"/>
    <w:rsid w:val="00C00ED6"/>
    <w:rsid w:val="00C00FDF"/>
    <w:rsid w:val="00C01015"/>
    <w:rsid w:val="00C01903"/>
    <w:rsid w:val="00C01E62"/>
    <w:rsid w:val="00C023FC"/>
    <w:rsid w:val="00C02413"/>
    <w:rsid w:val="00C026B1"/>
    <w:rsid w:val="00C03110"/>
    <w:rsid w:val="00C03135"/>
    <w:rsid w:val="00C035F0"/>
    <w:rsid w:val="00C03636"/>
    <w:rsid w:val="00C036AF"/>
    <w:rsid w:val="00C03F7C"/>
    <w:rsid w:val="00C0403A"/>
    <w:rsid w:val="00C044D7"/>
    <w:rsid w:val="00C04595"/>
    <w:rsid w:val="00C047C7"/>
    <w:rsid w:val="00C049B2"/>
    <w:rsid w:val="00C04FC4"/>
    <w:rsid w:val="00C05419"/>
    <w:rsid w:val="00C05652"/>
    <w:rsid w:val="00C05EAF"/>
    <w:rsid w:val="00C060FF"/>
    <w:rsid w:val="00C06756"/>
    <w:rsid w:val="00C068CA"/>
    <w:rsid w:val="00C069BC"/>
    <w:rsid w:val="00C070DA"/>
    <w:rsid w:val="00C0728D"/>
    <w:rsid w:val="00C07616"/>
    <w:rsid w:val="00C0764F"/>
    <w:rsid w:val="00C077F7"/>
    <w:rsid w:val="00C077F9"/>
    <w:rsid w:val="00C106D8"/>
    <w:rsid w:val="00C10998"/>
    <w:rsid w:val="00C10F85"/>
    <w:rsid w:val="00C114C4"/>
    <w:rsid w:val="00C117AB"/>
    <w:rsid w:val="00C1193A"/>
    <w:rsid w:val="00C121D2"/>
    <w:rsid w:val="00C123D4"/>
    <w:rsid w:val="00C12740"/>
    <w:rsid w:val="00C12B1E"/>
    <w:rsid w:val="00C12E27"/>
    <w:rsid w:val="00C12E4C"/>
    <w:rsid w:val="00C13224"/>
    <w:rsid w:val="00C13806"/>
    <w:rsid w:val="00C138D8"/>
    <w:rsid w:val="00C13938"/>
    <w:rsid w:val="00C13AC3"/>
    <w:rsid w:val="00C13B68"/>
    <w:rsid w:val="00C140EF"/>
    <w:rsid w:val="00C146D9"/>
    <w:rsid w:val="00C14EF9"/>
    <w:rsid w:val="00C152CE"/>
    <w:rsid w:val="00C1545C"/>
    <w:rsid w:val="00C15981"/>
    <w:rsid w:val="00C15B0D"/>
    <w:rsid w:val="00C15BDC"/>
    <w:rsid w:val="00C16A3B"/>
    <w:rsid w:val="00C16F76"/>
    <w:rsid w:val="00C17565"/>
    <w:rsid w:val="00C179D2"/>
    <w:rsid w:val="00C17C9F"/>
    <w:rsid w:val="00C200C8"/>
    <w:rsid w:val="00C20555"/>
    <w:rsid w:val="00C206C4"/>
    <w:rsid w:val="00C20951"/>
    <w:rsid w:val="00C20A40"/>
    <w:rsid w:val="00C20C30"/>
    <w:rsid w:val="00C2121E"/>
    <w:rsid w:val="00C2128F"/>
    <w:rsid w:val="00C215B0"/>
    <w:rsid w:val="00C215BB"/>
    <w:rsid w:val="00C21B0E"/>
    <w:rsid w:val="00C21D3F"/>
    <w:rsid w:val="00C21E82"/>
    <w:rsid w:val="00C220E9"/>
    <w:rsid w:val="00C225C2"/>
    <w:rsid w:val="00C22D3C"/>
    <w:rsid w:val="00C22FB7"/>
    <w:rsid w:val="00C232DF"/>
    <w:rsid w:val="00C23C85"/>
    <w:rsid w:val="00C23DD6"/>
    <w:rsid w:val="00C23FEF"/>
    <w:rsid w:val="00C2435E"/>
    <w:rsid w:val="00C24498"/>
    <w:rsid w:val="00C24912"/>
    <w:rsid w:val="00C249ED"/>
    <w:rsid w:val="00C24A08"/>
    <w:rsid w:val="00C24A4C"/>
    <w:rsid w:val="00C24BF5"/>
    <w:rsid w:val="00C25246"/>
    <w:rsid w:val="00C254CE"/>
    <w:rsid w:val="00C25679"/>
    <w:rsid w:val="00C25A94"/>
    <w:rsid w:val="00C26104"/>
    <w:rsid w:val="00C26450"/>
    <w:rsid w:val="00C264B8"/>
    <w:rsid w:val="00C269CE"/>
    <w:rsid w:val="00C271B9"/>
    <w:rsid w:val="00C274A2"/>
    <w:rsid w:val="00C27CF8"/>
    <w:rsid w:val="00C27D0B"/>
    <w:rsid w:val="00C27EF9"/>
    <w:rsid w:val="00C303AA"/>
    <w:rsid w:val="00C304D4"/>
    <w:rsid w:val="00C30A17"/>
    <w:rsid w:val="00C30EB0"/>
    <w:rsid w:val="00C31134"/>
    <w:rsid w:val="00C32120"/>
    <w:rsid w:val="00C32207"/>
    <w:rsid w:val="00C3290A"/>
    <w:rsid w:val="00C32C2B"/>
    <w:rsid w:val="00C32EC4"/>
    <w:rsid w:val="00C32ECA"/>
    <w:rsid w:val="00C34127"/>
    <w:rsid w:val="00C34211"/>
    <w:rsid w:val="00C34408"/>
    <w:rsid w:val="00C34742"/>
    <w:rsid w:val="00C3495D"/>
    <w:rsid w:val="00C349DF"/>
    <w:rsid w:val="00C34A4D"/>
    <w:rsid w:val="00C34C71"/>
    <w:rsid w:val="00C34F49"/>
    <w:rsid w:val="00C350DD"/>
    <w:rsid w:val="00C35474"/>
    <w:rsid w:val="00C35D03"/>
    <w:rsid w:val="00C35F5E"/>
    <w:rsid w:val="00C376F3"/>
    <w:rsid w:val="00C3792A"/>
    <w:rsid w:val="00C37C05"/>
    <w:rsid w:val="00C37EE9"/>
    <w:rsid w:val="00C406A8"/>
    <w:rsid w:val="00C40741"/>
    <w:rsid w:val="00C40C69"/>
    <w:rsid w:val="00C4103B"/>
    <w:rsid w:val="00C411D3"/>
    <w:rsid w:val="00C41680"/>
    <w:rsid w:val="00C417A1"/>
    <w:rsid w:val="00C41C17"/>
    <w:rsid w:val="00C41C87"/>
    <w:rsid w:val="00C41CC0"/>
    <w:rsid w:val="00C42769"/>
    <w:rsid w:val="00C429C0"/>
    <w:rsid w:val="00C42CCC"/>
    <w:rsid w:val="00C42FF8"/>
    <w:rsid w:val="00C430DC"/>
    <w:rsid w:val="00C43A4E"/>
    <w:rsid w:val="00C43D33"/>
    <w:rsid w:val="00C43DD9"/>
    <w:rsid w:val="00C43F6F"/>
    <w:rsid w:val="00C4400B"/>
    <w:rsid w:val="00C440B2"/>
    <w:rsid w:val="00C446D5"/>
    <w:rsid w:val="00C44870"/>
    <w:rsid w:val="00C44C9B"/>
    <w:rsid w:val="00C450B5"/>
    <w:rsid w:val="00C451F2"/>
    <w:rsid w:val="00C454EA"/>
    <w:rsid w:val="00C4580D"/>
    <w:rsid w:val="00C45892"/>
    <w:rsid w:val="00C46120"/>
    <w:rsid w:val="00C4613C"/>
    <w:rsid w:val="00C46A6F"/>
    <w:rsid w:val="00C470FC"/>
    <w:rsid w:val="00C476DA"/>
    <w:rsid w:val="00C47C38"/>
    <w:rsid w:val="00C47D04"/>
    <w:rsid w:val="00C50000"/>
    <w:rsid w:val="00C509E7"/>
    <w:rsid w:val="00C50A8D"/>
    <w:rsid w:val="00C50EB6"/>
    <w:rsid w:val="00C51AB2"/>
    <w:rsid w:val="00C5287E"/>
    <w:rsid w:val="00C53892"/>
    <w:rsid w:val="00C538EB"/>
    <w:rsid w:val="00C5402E"/>
    <w:rsid w:val="00C54239"/>
    <w:rsid w:val="00C5437B"/>
    <w:rsid w:val="00C54F3A"/>
    <w:rsid w:val="00C55211"/>
    <w:rsid w:val="00C552EF"/>
    <w:rsid w:val="00C56150"/>
    <w:rsid w:val="00C56732"/>
    <w:rsid w:val="00C56927"/>
    <w:rsid w:val="00C577C5"/>
    <w:rsid w:val="00C57804"/>
    <w:rsid w:val="00C57899"/>
    <w:rsid w:val="00C57A17"/>
    <w:rsid w:val="00C602F0"/>
    <w:rsid w:val="00C60388"/>
    <w:rsid w:val="00C60784"/>
    <w:rsid w:val="00C60A47"/>
    <w:rsid w:val="00C60AFD"/>
    <w:rsid w:val="00C610EF"/>
    <w:rsid w:val="00C6146D"/>
    <w:rsid w:val="00C61904"/>
    <w:rsid w:val="00C61B34"/>
    <w:rsid w:val="00C6219D"/>
    <w:rsid w:val="00C62285"/>
    <w:rsid w:val="00C62B82"/>
    <w:rsid w:val="00C62D0A"/>
    <w:rsid w:val="00C6311F"/>
    <w:rsid w:val="00C63C35"/>
    <w:rsid w:val="00C63FCC"/>
    <w:rsid w:val="00C64543"/>
    <w:rsid w:val="00C64F21"/>
    <w:rsid w:val="00C6532D"/>
    <w:rsid w:val="00C653D1"/>
    <w:rsid w:val="00C65B39"/>
    <w:rsid w:val="00C65B54"/>
    <w:rsid w:val="00C65FED"/>
    <w:rsid w:val="00C66328"/>
    <w:rsid w:val="00C664D0"/>
    <w:rsid w:val="00C66516"/>
    <w:rsid w:val="00C66549"/>
    <w:rsid w:val="00C666F6"/>
    <w:rsid w:val="00C67140"/>
    <w:rsid w:val="00C67362"/>
    <w:rsid w:val="00C67626"/>
    <w:rsid w:val="00C67885"/>
    <w:rsid w:val="00C7065D"/>
    <w:rsid w:val="00C709D6"/>
    <w:rsid w:val="00C70A1E"/>
    <w:rsid w:val="00C712A2"/>
    <w:rsid w:val="00C7185A"/>
    <w:rsid w:val="00C71DD8"/>
    <w:rsid w:val="00C720EF"/>
    <w:rsid w:val="00C72348"/>
    <w:rsid w:val="00C7273B"/>
    <w:rsid w:val="00C72BFF"/>
    <w:rsid w:val="00C73801"/>
    <w:rsid w:val="00C73B81"/>
    <w:rsid w:val="00C750FD"/>
    <w:rsid w:val="00C76476"/>
    <w:rsid w:val="00C7656F"/>
    <w:rsid w:val="00C765BF"/>
    <w:rsid w:val="00C76C00"/>
    <w:rsid w:val="00C76D19"/>
    <w:rsid w:val="00C76D20"/>
    <w:rsid w:val="00C76D98"/>
    <w:rsid w:val="00C7703B"/>
    <w:rsid w:val="00C7748C"/>
    <w:rsid w:val="00C774B8"/>
    <w:rsid w:val="00C774E0"/>
    <w:rsid w:val="00C77640"/>
    <w:rsid w:val="00C777CC"/>
    <w:rsid w:val="00C80792"/>
    <w:rsid w:val="00C80B49"/>
    <w:rsid w:val="00C80D4F"/>
    <w:rsid w:val="00C81FA6"/>
    <w:rsid w:val="00C8201F"/>
    <w:rsid w:val="00C82CD8"/>
    <w:rsid w:val="00C82CE4"/>
    <w:rsid w:val="00C82DD1"/>
    <w:rsid w:val="00C83858"/>
    <w:rsid w:val="00C83ACD"/>
    <w:rsid w:val="00C83AD1"/>
    <w:rsid w:val="00C83ADB"/>
    <w:rsid w:val="00C841A8"/>
    <w:rsid w:val="00C84354"/>
    <w:rsid w:val="00C849DC"/>
    <w:rsid w:val="00C84C75"/>
    <w:rsid w:val="00C85516"/>
    <w:rsid w:val="00C85577"/>
    <w:rsid w:val="00C8558C"/>
    <w:rsid w:val="00C86B29"/>
    <w:rsid w:val="00C86F6A"/>
    <w:rsid w:val="00C876C3"/>
    <w:rsid w:val="00C877A9"/>
    <w:rsid w:val="00C87AA4"/>
    <w:rsid w:val="00C90255"/>
    <w:rsid w:val="00C906DA"/>
    <w:rsid w:val="00C910B5"/>
    <w:rsid w:val="00C9146C"/>
    <w:rsid w:val="00C91DCB"/>
    <w:rsid w:val="00C91E28"/>
    <w:rsid w:val="00C91ED8"/>
    <w:rsid w:val="00C92225"/>
    <w:rsid w:val="00C92D75"/>
    <w:rsid w:val="00C935F1"/>
    <w:rsid w:val="00C939B8"/>
    <w:rsid w:val="00C93B13"/>
    <w:rsid w:val="00C9423B"/>
    <w:rsid w:val="00C942CD"/>
    <w:rsid w:val="00C94348"/>
    <w:rsid w:val="00C94820"/>
    <w:rsid w:val="00C94E04"/>
    <w:rsid w:val="00C95692"/>
    <w:rsid w:val="00C96DD3"/>
    <w:rsid w:val="00C96F6E"/>
    <w:rsid w:val="00C96FF3"/>
    <w:rsid w:val="00C97359"/>
    <w:rsid w:val="00C97454"/>
    <w:rsid w:val="00C97473"/>
    <w:rsid w:val="00C9788C"/>
    <w:rsid w:val="00C978AE"/>
    <w:rsid w:val="00C97B35"/>
    <w:rsid w:val="00CA00C6"/>
    <w:rsid w:val="00CA03A1"/>
    <w:rsid w:val="00CA0821"/>
    <w:rsid w:val="00CA085C"/>
    <w:rsid w:val="00CA125E"/>
    <w:rsid w:val="00CA1447"/>
    <w:rsid w:val="00CA1472"/>
    <w:rsid w:val="00CA1551"/>
    <w:rsid w:val="00CA1767"/>
    <w:rsid w:val="00CA2333"/>
    <w:rsid w:val="00CA27CC"/>
    <w:rsid w:val="00CA27F5"/>
    <w:rsid w:val="00CA2A80"/>
    <w:rsid w:val="00CA2BEE"/>
    <w:rsid w:val="00CA3439"/>
    <w:rsid w:val="00CA3504"/>
    <w:rsid w:val="00CA36CC"/>
    <w:rsid w:val="00CA371C"/>
    <w:rsid w:val="00CA42BD"/>
    <w:rsid w:val="00CA44F2"/>
    <w:rsid w:val="00CA47D4"/>
    <w:rsid w:val="00CA48EA"/>
    <w:rsid w:val="00CA4E2E"/>
    <w:rsid w:val="00CA513F"/>
    <w:rsid w:val="00CA585D"/>
    <w:rsid w:val="00CA58CF"/>
    <w:rsid w:val="00CA61E1"/>
    <w:rsid w:val="00CA62C5"/>
    <w:rsid w:val="00CA77D9"/>
    <w:rsid w:val="00CA7B10"/>
    <w:rsid w:val="00CA7DCB"/>
    <w:rsid w:val="00CB04FA"/>
    <w:rsid w:val="00CB0785"/>
    <w:rsid w:val="00CB0DA3"/>
    <w:rsid w:val="00CB155B"/>
    <w:rsid w:val="00CB16A7"/>
    <w:rsid w:val="00CB1769"/>
    <w:rsid w:val="00CB182C"/>
    <w:rsid w:val="00CB1C4D"/>
    <w:rsid w:val="00CB1CC3"/>
    <w:rsid w:val="00CB1DF7"/>
    <w:rsid w:val="00CB1FB3"/>
    <w:rsid w:val="00CB2352"/>
    <w:rsid w:val="00CB27FC"/>
    <w:rsid w:val="00CB388B"/>
    <w:rsid w:val="00CB43BB"/>
    <w:rsid w:val="00CB43F7"/>
    <w:rsid w:val="00CB4514"/>
    <w:rsid w:val="00CB4907"/>
    <w:rsid w:val="00CB4B32"/>
    <w:rsid w:val="00CB4C16"/>
    <w:rsid w:val="00CB4C9E"/>
    <w:rsid w:val="00CB55AB"/>
    <w:rsid w:val="00CB5E73"/>
    <w:rsid w:val="00CB69CA"/>
    <w:rsid w:val="00CB6C06"/>
    <w:rsid w:val="00CB6C7B"/>
    <w:rsid w:val="00CB70A7"/>
    <w:rsid w:val="00CB7523"/>
    <w:rsid w:val="00CB77DD"/>
    <w:rsid w:val="00CB7B2E"/>
    <w:rsid w:val="00CC0620"/>
    <w:rsid w:val="00CC08D4"/>
    <w:rsid w:val="00CC0985"/>
    <w:rsid w:val="00CC0DBC"/>
    <w:rsid w:val="00CC1FFD"/>
    <w:rsid w:val="00CC23D5"/>
    <w:rsid w:val="00CC2529"/>
    <w:rsid w:val="00CC26F1"/>
    <w:rsid w:val="00CC2899"/>
    <w:rsid w:val="00CC28A8"/>
    <w:rsid w:val="00CC2D1C"/>
    <w:rsid w:val="00CC3019"/>
    <w:rsid w:val="00CC3212"/>
    <w:rsid w:val="00CC33AF"/>
    <w:rsid w:val="00CC3512"/>
    <w:rsid w:val="00CC3E55"/>
    <w:rsid w:val="00CC4356"/>
    <w:rsid w:val="00CC444E"/>
    <w:rsid w:val="00CC480C"/>
    <w:rsid w:val="00CC4B32"/>
    <w:rsid w:val="00CC51B4"/>
    <w:rsid w:val="00CC53A9"/>
    <w:rsid w:val="00CC5B8C"/>
    <w:rsid w:val="00CC5C43"/>
    <w:rsid w:val="00CC5CCB"/>
    <w:rsid w:val="00CC5DF0"/>
    <w:rsid w:val="00CC6267"/>
    <w:rsid w:val="00CC654D"/>
    <w:rsid w:val="00CC71E5"/>
    <w:rsid w:val="00CC759B"/>
    <w:rsid w:val="00CC7F4C"/>
    <w:rsid w:val="00CD0176"/>
    <w:rsid w:val="00CD065E"/>
    <w:rsid w:val="00CD06AF"/>
    <w:rsid w:val="00CD09CE"/>
    <w:rsid w:val="00CD0D52"/>
    <w:rsid w:val="00CD0F46"/>
    <w:rsid w:val="00CD1B54"/>
    <w:rsid w:val="00CD1D4A"/>
    <w:rsid w:val="00CD1F2E"/>
    <w:rsid w:val="00CD2005"/>
    <w:rsid w:val="00CD2096"/>
    <w:rsid w:val="00CD2552"/>
    <w:rsid w:val="00CD2922"/>
    <w:rsid w:val="00CD3687"/>
    <w:rsid w:val="00CD3758"/>
    <w:rsid w:val="00CD3799"/>
    <w:rsid w:val="00CD3ABF"/>
    <w:rsid w:val="00CD3EAC"/>
    <w:rsid w:val="00CD4097"/>
    <w:rsid w:val="00CD43FC"/>
    <w:rsid w:val="00CD46D6"/>
    <w:rsid w:val="00CD5004"/>
    <w:rsid w:val="00CD5701"/>
    <w:rsid w:val="00CD5C73"/>
    <w:rsid w:val="00CD5D4B"/>
    <w:rsid w:val="00CD602F"/>
    <w:rsid w:val="00CD69AE"/>
    <w:rsid w:val="00CD79B8"/>
    <w:rsid w:val="00CD7A1C"/>
    <w:rsid w:val="00CE09B9"/>
    <w:rsid w:val="00CE111F"/>
    <w:rsid w:val="00CE1205"/>
    <w:rsid w:val="00CE13C3"/>
    <w:rsid w:val="00CE151F"/>
    <w:rsid w:val="00CE1684"/>
    <w:rsid w:val="00CE180E"/>
    <w:rsid w:val="00CE1B90"/>
    <w:rsid w:val="00CE1D73"/>
    <w:rsid w:val="00CE2696"/>
    <w:rsid w:val="00CE2B1B"/>
    <w:rsid w:val="00CE2C3A"/>
    <w:rsid w:val="00CE37E9"/>
    <w:rsid w:val="00CE3923"/>
    <w:rsid w:val="00CE3CB2"/>
    <w:rsid w:val="00CE405D"/>
    <w:rsid w:val="00CE4205"/>
    <w:rsid w:val="00CE44FC"/>
    <w:rsid w:val="00CE4A72"/>
    <w:rsid w:val="00CE52BF"/>
    <w:rsid w:val="00CE5F9A"/>
    <w:rsid w:val="00CE6173"/>
    <w:rsid w:val="00CE61D4"/>
    <w:rsid w:val="00CE67FE"/>
    <w:rsid w:val="00CE6B6B"/>
    <w:rsid w:val="00CE7DF9"/>
    <w:rsid w:val="00CE7E22"/>
    <w:rsid w:val="00CE7F45"/>
    <w:rsid w:val="00CF0047"/>
    <w:rsid w:val="00CF00E1"/>
    <w:rsid w:val="00CF0680"/>
    <w:rsid w:val="00CF0AC6"/>
    <w:rsid w:val="00CF0B5D"/>
    <w:rsid w:val="00CF13A0"/>
    <w:rsid w:val="00CF1C21"/>
    <w:rsid w:val="00CF23A9"/>
    <w:rsid w:val="00CF2987"/>
    <w:rsid w:val="00CF2D4A"/>
    <w:rsid w:val="00CF2DF6"/>
    <w:rsid w:val="00CF4733"/>
    <w:rsid w:val="00CF482B"/>
    <w:rsid w:val="00CF482F"/>
    <w:rsid w:val="00CF4CE1"/>
    <w:rsid w:val="00CF4E93"/>
    <w:rsid w:val="00CF5948"/>
    <w:rsid w:val="00CF5CC4"/>
    <w:rsid w:val="00CF6072"/>
    <w:rsid w:val="00CF6B9B"/>
    <w:rsid w:val="00CF6ED2"/>
    <w:rsid w:val="00CF77FD"/>
    <w:rsid w:val="00D002F4"/>
    <w:rsid w:val="00D00788"/>
    <w:rsid w:val="00D012DF"/>
    <w:rsid w:val="00D0170D"/>
    <w:rsid w:val="00D01762"/>
    <w:rsid w:val="00D01D67"/>
    <w:rsid w:val="00D0238D"/>
    <w:rsid w:val="00D0283F"/>
    <w:rsid w:val="00D02C2A"/>
    <w:rsid w:val="00D03175"/>
    <w:rsid w:val="00D03327"/>
    <w:rsid w:val="00D03608"/>
    <w:rsid w:val="00D036F4"/>
    <w:rsid w:val="00D03E84"/>
    <w:rsid w:val="00D03E99"/>
    <w:rsid w:val="00D040B4"/>
    <w:rsid w:val="00D046E0"/>
    <w:rsid w:val="00D04D5E"/>
    <w:rsid w:val="00D04ED9"/>
    <w:rsid w:val="00D04F39"/>
    <w:rsid w:val="00D058DA"/>
    <w:rsid w:val="00D059B8"/>
    <w:rsid w:val="00D05A76"/>
    <w:rsid w:val="00D0666E"/>
    <w:rsid w:val="00D06AD7"/>
    <w:rsid w:val="00D06AF9"/>
    <w:rsid w:val="00D06C3E"/>
    <w:rsid w:val="00D07250"/>
    <w:rsid w:val="00D07B4D"/>
    <w:rsid w:val="00D07BA2"/>
    <w:rsid w:val="00D10000"/>
    <w:rsid w:val="00D11350"/>
    <w:rsid w:val="00D120B7"/>
    <w:rsid w:val="00D12C27"/>
    <w:rsid w:val="00D12DEF"/>
    <w:rsid w:val="00D12F18"/>
    <w:rsid w:val="00D132BB"/>
    <w:rsid w:val="00D13C98"/>
    <w:rsid w:val="00D14E18"/>
    <w:rsid w:val="00D15321"/>
    <w:rsid w:val="00D1578E"/>
    <w:rsid w:val="00D15A9C"/>
    <w:rsid w:val="00D15D82"/>
    <w:rsid w:val="00D160B4"/>
    <w:rsid w:val="00D16907"/>
    <w:rsid w:val="00D1690C"/>
    <w:rsid w:val="00D16B7E"/>
    <w:rsid w:val="00D16C49"/>
    <w:rsid w:val="00D16E03"/>
    <w:rsid w:val="00D170C1"/>
    <w:rsid w:val="00D17E23"/>
    <w:rsid w:val="00D20236"/>
    <w:rsid w:val="00D204F2"/>
    <w:rsid w:val="00D2064A"/>
    <w:rsid w:val="00D207F8"/>
    <w:rsid w:val="00D20985"/>
    <w:rsid w:val="00D21027"/>
    <w:rsid w:val="00D2171A"/>
    <w:rsid w:val="00D225D2"/>
    <w:rsid w:val="00D22883"/>
    <w:rsid w:val="00D22E3C"/>
    <w:rsid w:val="00D2304A"/>
    <w:rsid w:val="00D232EA"/>
    <w:rsid w:val="00D23577"/>
    <w:rsid w:val="00D23837"/>
    <w:rsid w:val="00D23D06"/>
    <w:rsid w:val="00D2425E"/>
    <w:rsid w:val="00D24441"/>
    <w:rsid w:val="00D247F3"/>
    <w:rsid w:val="00D24A2E"/>
    <w:rsid w:val="00D252EE"/>
    <w:rsid w:val="00D25648"/>
    <w:rsid w:val="00D25952"/>
    <w:rsid w:val="00D25968"/>
    <w:rsid w:val="00D25E03"/>
    <w:rsid w:val="00D2602A"/>
    <w:rsid w:val="00D263F5"/>
    <w:rsid w:val="00D26870"/>
    <w:rsid w:val="00D27369"/>
    <w:rsid w:val="00D277C7"/>
    <w:rsid w:val="00D27C8B"/>
    <w:rsid w:val="00D27F0C"/>
    <w:rsid w:val="00D30487"/>
    <w:rsid w:val="00D304E4"/>
    <w:rsid w:val="00D30AE8"/>
    <w:rsid w:val="00D30CB1"/>
    <w:rsid w:val="00D317FE"/>
    <w:rsid w:val="00D343DC"/>
    <w:rsid w:val="00D346C2"/>
    <w:rsid w:val="00D34BEE"/>
    <w:rsid w:val="00D34DB8"/>
    <w:rsid w:val="00D35928"/>
    <w:rsid w:val="00D3597F"/>
    <w:rsid w:val="00D359AE"/>
    <w:rsid w:val="00D35BFD"/>
    <w:rsid w:val="00D35C85"/>
    <w:rsid w:val="00D36C88"/>
    <w:rsid w:val="00D37152"/>
    <w:rsid w:val="00D37A38"/>
    <w:rsid w:val="00D37CF3"/>
    <w:rsid w:val="00D40162"/>
    <w:rsid w:val="00D4033A"/>
    <w:rsid w:val="00D41037"/>
    <w:rsid w:val="00D41263"/>
    <w:rsid w:val="00D41269"/>
    <w:rsid w:val="00D41520"/>
    <w:rsid w:val="00D417C7"/>
    <w:rsid w:val="00D4183F"/>
    <w:rsid w:val="00D418B3"/>
    <w:rsid w:val="00D4252C"/>
    <w:rsid w:val="00D42614"/>
    <w:rsid w:val="00D42B05"/>
    <w:rsid w:val="00D42CFE"/>
    <w:rsid w:val="00D42D6C"/>
    <w:rsid w:val="00D4308D"/>
    <w:rsid w:val="00D43330"/>
    <w:rsid w:val="00D438FA"/>
    <w:rsid w:val="00D44865"/>
    <w:rsid w:val="00D44B93"/>
    <w:rsid w:val="00D45255"/>
    <w:rsid w:val="00D45891"/>
    <w:rsid w:val="00D45C77"/>
    <w:rsid w:val="00D45F41"/>
    <w:rsid w:val="00D4605B"/>
    <w:rsid w:val="00D46838"/>
    <w:rsid w:val="00D4690E"/>
    <w:rsid w:val="00D46CBB"/>
    <w:rsid w:val="00D47250"/>
    <w:rsid w:val="00D4741E"/>
    <w:rsid w:val="00D5034A"/>
    <w:rsid w:val="00D504D4"/>
    <w:rsid w:val="00D50502"/>
    <w:rsid w:val="00D506A0"/>
    <w:rsid w:val="00D50C82"/>
    <w:rsid w:val="00D510D9"/>
    <w:rsid w:val="00D51416"/>
    <w:rsid w:val="00D52407"/>
    <w:rsid w:val="00D52533"/>
    <w:rsid w:val="00D5310E"/>
    <w:rsid w:val="00D53286"/>
    <w:rsid w:val="00D5395F"/>
    <w:rsid w:val="00D540ED"/>
    <w:rsid w:val="00D54281"/>
    <w:rsid w:val="00D54A4F"/>
    <w:rsid w:val="00D54DD9"/>
    <w:rsid w:val="00D55625"/>
    <w:rsid w:val="00D556F0"/>
    <w:rsid w:val="00D55E79"/>
    <w:rsid w:val="00D55F3E"/>
    <w:rsid w:val="00D560B6"/>
    <w:rsid w:val="00D5614F"/>
    <w:rsid w:val="00D569F3"/>
    <w:rsid w:val="00D56FDA"/>
    <w:rsid w:val="00D5734A"/>
    <w:rsid w:val="00D574AE"/>
    <w:rsid w:val="00D57686"/>
    <w:rsid w:val="00D57D40"/>
    <w:rsid w:val="00D57F64"/>
    <w:rsid w:val="00D60248"/>
    <w:rsid w:val="00D6026D"/>
    <w:rsid w:val="00D605F3"/>
    <w:rsid w:val="00D60F1B"/>
    <w:rsid w:val="00D61248"/>
    <w:rsid w:val="00D618AA"/>
    <w:rsid w:val="00D61BB3"/>
    <w:rsid w:val="00D621EE"/>
    <w:rsid w:val="00D623ED"/>
    <w:rsid w:val="00D62A3A"/>
    <w:rsid w:val="00D6315D"/>
    <w:rsid w:val="00D633F4"/>
    <w:rsid w:val="00D63810"/>
    <w:rsid w:val="00D63837"/>
    <w:rsid w:val="00D638FD"/>
    <w:rsid w:val="00D63FD7"/>
    <w:rsid w:val="00D64205"/>
    <w:rsid w:val="00D64879"/>
    <w:rsid w:val="00D649AB"/>
    <w:rsid w:val="00D650E3"/>
    <w:rsid w:val="00D65691"/>
    <w:rsid w:val="00D65813"/>
    <w:rsid w:val="00D6617A"/>
    <w:rsid w:val="00D6651F"/>
    <w:rsid w:val="00D6652F"/>
    <w:rsid w:val="00D667A3"/>
    <w:rsid w:val="00D671D9"/>
    <w:rsid w:val="00D67273"/>
    <w:rsid w:val="00D675A1"/>
    <w:rsid w:val="00D67AEA"/>
    <w:rsid w:val="00D70433"/>
    <w:rsid w:val="00D70E8B"/>
    <w:rsid w:val="00D71177"/>
    <w:rsid w:val="00D7121D"/>
    <w:rsid w:val="00D71CF2"/>
    <w:rsid w:val="00D724A1"/>
    <w:rsid w:val="00D727C8"/>
    <w:rsid w:val="00D7290D"/>
    <w:rsid w:val="00D730F3"/>
    <w:rsid w:val="00D733A6"/>
    <w:rsid w:val="00D736C9"/>
    <w:rsid w:val="00D73BEC"/>
    <w:rsid w:val="00D73DC9"/>
    <w:rsid w:val="00D741C3"/>
    <w:rsid w:val="00D74406"/>
    <w:rsid w:val="00D74870"/>
    <w:rsid w:val="00D74BC9"/>
    <w:rsid w:val="00D751CA"/>
    <w:rsid w:val="00D7573E"/>
    <w:rsid w:val="00D75968"/>
    <w:rsid w:val="00D75D42"/>
    <w:rsid w:val="00D75FD7"/>
    <w:rsid w:val="00D76678"/>
    <w:rsid w:val="00D76B6C"/>
    <w:rsid w:val="00D778A5"/>
    <w:rsid w:val="00D77B32"/>
    <w:rsid w:val="00D77B75"/>
    <w:rsid w:val="00D77D5F"/>
    <w:rsid w:val="00D77D6F"/>
    <w:rsid w:val="00D80069"/>
    <w:rsid w:val="00D80818"/>
    <w:rsid w:val="00D81969"/>
    <w:rsid w:val="00D81999"/>
    <w:rsid w:val="00D81AAC"/>
    <w:rsid w:val="00D81B2B"/>
    <w:rsid w:val="00D81CAB"/>
    <w:rsid w:val="00D81F17"/>
    <w:rsid w:val="00D825D8"/>
    <w:rsid w:val="00D828B0"/>
    <w:rsid w:val="00D82D89"/>
    <w:rsid w:val="00D83123"/>
    <w:rsid w:val="00D83391"/>
    <w:rsid w:val="00D83C39"/>
    <w:rsid w:val="00D83DD0"/>
    <w:rsid w:val="00D83DE7"/>
    <w:rsid w:val="00D83ECA"/>
    <w:rsid w:val="00D83EE1"/>
    <w:rsid w:val="00D844B8"/>
    <w:rsid w:val="00D84654"/>
    <w:rsid w:val="00D84B2D"/>
    <w:rsid w:val="00D84D5F"/>
    <w:rsid w:val="00D84DEA"/>
    <w:rsid w:val="00D84FF4"/>
    <w:rsid w:val="00D853EB"/>
    <w:rsid w:val="00D85534"/>
    <w:rsid w:val="00D857B1"/>
    <w:rsid w:val="00D85A18"/>
    <w:rsid w:val="00D85B95"/>
    <w:rsid w:val="00D862F7"/>
    <w:rsid w:val="00D8705D"/>
    <w:rsid w:val="00D876C2"/>
    <w:rsid w:val="00D87747"/>
    <w:rsid w:val="00D87AF6"/>
    <w:rsid w:val="00D87E73"/>
    <w:rsid w:val="00D87E9F"/>
    <w:rsid w:val="00D9007F"/>
    <w:rsid w:val="00D90276"/>
    <w:rsid w:val="00D907E6"/>
    <w:rsid w:val="00D90EF9"/>
    <w:rsid w:val="00D91070"/>
    <w:rsid w:val="00D91AAF"/>
    <w:rsid w:val="00D9238F"/>
    <w:rsid w:val="00D932CE"/>
    <w:rsid w:val="00D93D9D"/>
    <w:rsid w:val="00D93FB0"/>
    <w:rsid w:val="00D9490F"/>
    <w:rsid w:val="00D94F61"/>
    <w:rsid w:val="00D95054"/>
    <w:rsid w:val="00D95E99"/>
    <w:rsid w:val="00D964AE"/>
    <w:rsid w:val="00D9663A"/>
    <w:rsid w:val="00D96C84"/>
    <w:rsid w:val="00D96EDE"/>
    <w:rsid w:val="00D970BC"/>
    <w:rsid w:val="00D975AB"/>
    <w:rsid w:val="00D97C3B"/>
    <w:rsid w:val="00DA01ED"/>
    <w:rsid w:val="00DA0237"/>
    <w:rsid w:val="00DA045D"/>
    <w:rsid w:val="00DA0479"/>
    <w:rsid w:val="00DA067B"/>
    <w:rsid w:val="00DA0B54"/>
    <w:rsid w:val="00DA0CDE"/>
    <w:rsid w:val="00DA1055"/>
    <w:rsid w:val="00DA11CB"/>
    <w:rsid w:val="00DA1A7F"/>
    <w:rsid w:val="00DA1B7D"/>
    <w:rsid w:val="00DA1D4F"/>
    <w:rsid w:val="00DA28D2"/>
    <w:rsid w:val="00DA2F2C"/>
    <w:rsid w:val="00DA347D"/>
    <w:rsid w:val="00DA357C"/>
    <w:rsid w:val="00DA3AD8"/>
    <w:rsid w:val="00DA3B7A"/>
    <w:rsid w:val="00DA3C75"/>
    <w:rsid w:val="00DA40C8"/>
    <w:rsid w:val="00DA40E8"/>
    <w:rsid w:val="00DA437D"/>
    <w:rsid w:val="00DA43AA"/>
    <w:rsid w:val="00DA4A60"/>
    <w:rsid w:val="00DA519B"/>
    <w:rsid w:val="00DA5479"/>
    <w:rsid w:val="00DA557E"/>
    <w:rsid w:val="00DA55D1"/>
    <w:rsid w:val="00DA57E3"/>
    <w:rsid w:val="00DA5D16"/>
    <w:rsid w:val="00DA6014"/>
    <w:rsid w:val="00DA6106"/>
    <w:rsid w:val="00DA6230"/>
    <w:rsid w:val="00DA68C1"/>
    <w:rsid w:val="00DA6DF1"/>
    <w:rsid w:val="00DA76AA"/>
    <w:rsid w:val="00DA7917"/>
    <w:rsid w:val="00DA79D4"/>
    <w:rsid w:val="00DB0822"/>
    <w:rsid w:val="00DB0ABF"/>
    <w:rsid w:val="00DB1D32"/>
    <w:rsid w:val="00DB279F"/>
    <w:rsid w:val="00DB2931"/>
    <w:rsid w:val="00DB2988"/>
    <w:rsid w:val="00DB2B2E"/>
    <w:rsid w:val="00DB2E3B"/>
    <w:rsid w:val="00DB303B"/>
    <w:rsid w:val="00DB3536"/>
    <w:rsid w:val="00DB382B"/>
    <w:rsid w:val="00DB3931"/>
    <w:rsid w:val="00DB3DFA"/>
    <w:rsid w:val="00DB3F86"/>
    <w:rsid w:val="00DB467F"/>
    <w:rsid w:val="00DB4B77"/>
    <w:rsid w:val="00DB5460"/>
    <w:rsid w:val="00DB5834"/>
    <w:rsid w:val="00DB5A0F"/>
    <w:rsid w:val="00DB5CD0"/>
    <w:rsid w:val="00DB60C3"/>
    <w:rsid w:val="00DB619D"/>
    <w:rsid w:val="00DB63EF"/>
    <w:rsid w:val="00DB6A68"/>
    <w:rsid w:val="00DB6BFA"/>
    <w:rsid w:val="00DB70D0"/>
    <w:rsid w:val="00DB7C71"/>
    <w:rsid w:val="00DC004F"/>
    <w:rsid w:val="00DC01EA"/>
    <w:rsid w:val="00DC025F"/>
    <w:rsid w:val="00DC02F3"/>
    <w:rsid w:val="00DC04CE"/>
    <w:rsid w:val="00DC0CA0"/>
    <w:rsid w:val="00DC10BC"/>
    <w:rsid w:val="00DC22FA"/>
    <w:rsid w:val="00DC311C"/>
    <w:rsid w:val="00DC3994"/>
    <w:rsid w:val="00DC39C0"/>
    <w:rsid w:val="00DC46E4"/>
    <w:rsid w:val="00DC47DE"/>
    <w:rsid w:val="00DC4D38"/>
    <w:rsid w:val="00DC513E"/>
    <w:rsid w:val="00DC517D"/>
    <w:rsid w:val="00DC536F"/>
    <w:rsid w:val="00DC53E8"/>
    <w:rsid w:val="00DC5611"/>
    <w:rsid w:val="00DC5FE9"/>
    <w:rsid w:val="00DC6820"/>
    <w:rsid w:val="00DC6CA5"/>
    <w:rsid w:val="00DC728F"/>
    <w:rsid w:val="00DC777A"/>
    <w:rsid w:val="00DC7DB8"/>
    <w:rsid w:val="00DD076A"/>
    <w:rsid w:val="00DD0873"/>
    <w:rsid w:val="00DD0AF2"/>
    <w:rsid w:val="00DD130B"/>
    <w:rsid w:val="00DD1520"/>
    <w:rsid w:val="00DD177D"/>
    <w:rsid w:val="00DD193B"/>
    <w:rsid w:val="00DD193F"/>
    <w:rsid w:val="00DD19C5"/>
    <w:rsid w:val="00DD1C59"/>
    <w:rsid w:val="00DD21D3"/>
    <w:rsid w:val="00DD25CA"/>
    <w:rsid w:val="00DD2AC8"/>
    <w:rsid w:val="00DD2D7A"/>
    <w:rsid w:val="00DD2E5C"/>
    <w:rsid w:val="00DD3180"/>
    <w:rsid w:val="00DD3586"/>
    <w:rsid w:val="00DD3643"/>
    <w:rsid w:val="00DD3A45"/>
    <w:rsid w:val="00DD3D6E"/>
    <w:rsid w:val="00DD40D5"/>
    <w:rsid w:val="00DD4302"/>
    <w:rsid w:val="00DD4806"/>
    <w:rsid w:val="00DD4834"/>
    <w:rsid w:val="00DD4C7D"/>
    <w:rsid w:val="00DD5429"/>
    <w:rsid w:val="00DD54BF"/>
    <w:rsid w:val="00DD5522"/>
    <w:rsid w:val="00DD5F44"/>
    <w:rsid w:val="00DD6A33"/>
    <w:rsid w:val="00DD78AE"/>
    <w:rsid w:val="00DD7A48"/>
    <w:rsid w:val="00DD7D38"/>
    <w:rsid w:val="00DE0820"/>
    <w:rsid w:val="00DE09AB"/>
    <w:rsid w:val="00DE0B23"/>
    <w:rsid w:val="00DE0C22"/>
    <w:rsid w:val="00DE0F15"/>
    <w:rsid w:val="00DE0F29"/>
    <w:rsid w:val="00DE13A4"/>
    <w:rsid w:val="00DE2478"/>
    <w:rsid w:val="00DE24FE"/>
    <w:rsid w:val="00DE25A9"/>
    <w:rsid w:val="00DE28C8"/>
    <w:rsid w:val="00DE341E"/>
    <w:rsid w:val="00DE34B7"/>
    <w:rsid w:val="00DE3BEA"/>
    <w:rsid w:val="00DE4890"/>
    <w:rsid w:val="00DE4944"/>
    <w:rsid w:val="00DE4BA1"/>
    <w:rsid w:val="00DE4D91"/>
    <w:rsid w:val="00DE4FB8"/>
    <w:rsid w:val="00DE5920"/>
    <w:rsid w:val="00DE6116"/>
    <w:rsid w:val="00DE6678"/>
    <w:rsid w:val="00DE6A87"/>
    <w:rsid w:val="00DE6BC4"/>
    <w:rsid w:val="00DE6E07"/>
    <w:rsid w:val="00DE7168"/>
    <w:rsid w:val="00DE737A"/>
    <w:rsid w:val="00DE776F"/>
    <w:rsid w:val="00DE78B0"/>
    <w:rsid w:val="00DE79FB"/>
    <w:rsid w:val="00DF0094"/>
    <w:rsid w:val="00DF077D"/>
    <w:rsid w:val="00DF0B62"/>
    <w:rsid w:val="00DF0E18"/>
    <w:rsid w:val="00DF1935"/>
    <w:rsid w:val="00DF1E70"/>
    <w:rsid w:val="00DF1FBA"/>
    <w:rsid w:val="00DF21EC"/>
    <w:rsid w:val="00DF2318"/>
    <w:rsid w:val="00DF28AA"/>
    <w:rsid w:val="00DF2950"/>
    <w:rsid w:val="00DF2AB0"/>
    <w:rsid w:val="00DF2F4A"/>
    <w:rsid w:val="00DF3192"/>
    <w:rsid w:val="00DF342C"/>
    <w:rsid w:val="00DF3453"/>
    <w:rsid w:val="00DF367B"/>
    <w:rsid w:val="00DF3725"/>
    <w:rsid w:val="00DF3B18"/>
    <w:rsid w:val="00DF3B4E"/>
    <w:rsid w:val="00DF3BAC"/>
    <w:rsid w:val="00DF3CC0"/>
    <w:rsid w:val="00DF4439"/>
    <w:rsid w:val="00DF4736"/>
    <w:rsid w:val="00DF4B3A"/>
    <w:rsid w:val="00DF4F50"/>
    <w:rsid w:val="00DF5230"/>
    <w:rsid w:val="00DF570D"/>
    <w:rsid w:val="00DF68BF"/>
    <w:rsid w:val="00DF6B7E"/>
    <w:rsid w:val="00DF6F05"/>
    <w:rsid w:val="00DF7002"/>
    <w:rsid w:val="00DF70F2"/>
    <w:rsid w:val="00DF7162"/>
    <w:rsid w:val="00DF7942"/>
    <w:rsid w:val="00E005B4"/>
    <w:rsid w:val="00E00772"/>
    <w:rsid w:val="00E00C7C"/>
    <w:rsid w:val="00E00D3D"/>
    <w:rsid w:val="00E00E9B"/>
    <w:rsid w:val="00E017D0"/>
    <w:rsid w:val="00E01A43"/>
    <w:rsid w:val="00E01D81"/>
    <w:rsid w:val="00E020ED"/>
    <w:rsid w:val="00E0219A"/>
    <w:rsid w:val="00E023F5"/>
    <w:rsid w:val="00E02A79"/>
    <w:rsid w:val="00E03329"/>
    <w:rsid w:val="00E0339C"/>
    <w:rsid w:val="00E03763"/>
    <w:rsid w:val="00E038E1"/>
    <w:rsid w:val="00E039EA"/>
    <w:rsid w:val="00E03A51"/>
    <w:rsid w:val="00E04943"/>
    <w:rsid w:val="00E04A85"/>
    <w:rsid w:val="00E04CB8"/>
    <w:rsid w:val="00E04F1E"/>
    <w:rsid w:val="00E05870"/>
    <w:rsid w:val="00E058F3"/>
    <w:rsid w:val="00E05E10"/>
    <w:rsid w:val="00E0632C"/>
    <w:rsid w:val="00E0678A"/>
    <w:rsid w:val="00E06B6D"/>
    <w:rsid w:val="00E06FC9"/>
    <w:rsid w:val="00E07084"/>
    <w:rsid w:val="00E0755B"/>
    <w:rsid w:val="00E076CD"/>
    <w:rsid w:val="00E07871"/>
    <w:rsid w:val="00E0792D"/>
    <w:rsid w:val="00E07D68"/>
    <w:rsid w:val="00E07DE5"/>
    <w:rsid w:val="00E1016F"/>
    <w:rsid w:val="00E10CC6"/>
    <w:rsid w:val="00E11886"/>
    <w:rsid w:val="00E11AC9"/>
    <w:rsid w:val="00E11C75"/>
    <w:rsid w:val="00E11C8D"/>
    <w:rsid w:val="00E12122"/>
    <w:rsid w:val="00E1296D"/>
    <w:rsid w:val="00E12BC1"/>
    <w:rsid w:val="00E12DD7"/>
    <w:rsid w:val="00E13ECD"/>
    <w:rsid w:val="00E14FB9"/>
    <w:rsid w:val="00E154B0"/>
    <w:rsid w:val="00E15943"/>
    <w:rsid w:val="00E15DB7"/>
    <w:rsid w:val="00E15EEC"/>
    <w:rsid w:val="00E16775"/>
    <w:rsid w:val="00E168BB"/>
    <w:rsid w:val="00E16AF3"/>
    <w:rsid w:val="00E17794"/>
    <w:rsid w:val="00E17A57"/>
    <w:rsid w:val="00E17D3B"/>
    <w:rsid w:val="00E17EB3"/>
    <w:rsid w:val="00E20920"/>
    <w:rsid w:val="00E20958"/>
    <w:rsid w:val="00E20D3F"/>
    <w:rsid w:val="00E20FFC"/>
    <w:rsid w:val="00E213F3"/>
    <w:rsid w:val="00E22723"/>
    <w:rsid w:val="00E22D29"/>
    <w:rsid w:val="00E22E96"/>
    <w:rsid w:val="00E22E9C"/>
    <w:rsid w:val="00E22FEE"/>
    <w:rsid w:val="00E2337B"/>
    <w:rsid w:val="00E2477D"/>
    <w:rsid w:val="00E24F4F"/>
    <w:rsid w:val="00E24F6B"/>
    <w:rsid w:val="00E254BE"/>
    <w:rsid w:val="00E2550B"/>
    <w:rsid w:val="00E2605E"/>
    <w:rsid w:val="00E261B0"/>
    <w:rsid w:val="00E267F8"/>
    <w:rsid w:val="00E269D6"/>
    <w:rsid w:val="00E26A3E"/>
    <w:rsid w:val="00E27567"/>
    <w:rsid w:val="00E2783D"/>
    <w:rsid w:val="00E30A62"/>
    <w:rsid w:val="00E30B26"/>
    <w:rsid w:val="00E3101B"/>
    <w:rsid w:val="00E31701"/>
    <w:rsid w:val="00E31C16"/>
    <w:rsid w:val="00E31E21"/>
    <w:rsid w:val="00E322BB"/>
    <w:rsid w:val="00E32CCE"/>
    <w:rsid w:val="00E330E0"/>
    <w:rsid w:val="00E3478E"/>
    <w:rsid w:val="00E350AE"/>
    <w:rsid w:val="00E3515B"/>
    <w:rsid w:val="00E35938"/>
    <w:rsid w:val="00E35AB4"/>
    <w:rsid w:val="00E35CEB"/>
    <w:rsid w:val="00E3608F"/>
    <w:rsid w:val="00E36DF3"/>
    <w:rsid w:val="00E36EE3"/>
    <w:rsid w:val="00E37029"/>
    <w:rsid w:val="00E37339"/>
    <w:rsid w:val="00E3747A"/>
    <w:rsid w:val="00E379C8"/>
    <w:rsid w:val="00E40164"/>
    <w:rsid w:val="00E410CB"/>
    <w:rsid w:val="00E41138"/>
    <w:rsid w:val="00E411A0"/>
    <w:rsid w:val="00E41990"/>
    <w:rsid w:val="00E419A7"/>
    <w:rsid w:val="00E41BE5"/>
    <w:rsid w:val="00E41C5E"/>
    <w:rsid w:val="00E41F41"/>
    <w:rsid w:val="00E4219E"/>
    <w:rsid w:val="00E42468"/>
    <w:rsid w:val="00E42A99"/>
    <w:rsid w:val="00E42E38"/>
    <w:rsid w:val="00E42EA5"/>
    <w:rsid w:val="00E42FCB"/>
    <w:rsid w:val="00E4325D"/>
    <w:rsid w:val="00E4332E"/>
    <w:rsid w:val="00E4370F"/>
    <w:rsid w:val="00E43EB2"/>
    <w:rsid w:val="00E442AB"/>
    <w:rsid w:val="00E4453B"/>
    <w:rsid w:val="00E44885"/>
    <w:rsid w:val="00E44B50"/>
    <w:rsid w:val="00E44B9B"/>
    <w:rsid w:val="00E4574E"/>
    <w:rsid w:val="00E4669E"/>
    <w:rsid w:val="00E468D3"/>
    <w:rsid w:val="00E46C0E"/>
    <w:rsid w:val="00E46C9D"/>
    <w:rsid w:val="00E46F92"/>
    <w:rsid w:val="00E4747C"/>
    <w:rsid w:val="00E479B9"/>
    <w:rsid w:val="00E500E4"/>
    <w:rsid w:val="00E50145"/>
    <w:rsid w:val="00E5065E"/>
    <w:rsid w:val="00E508B8"/>
    <w:rsid w:val="00E508BB"/>
    <w:rsid w:val="00E50C65"/>
    <w:rsid w:val="00E50D6A"/>
    <w:rsid w:val="00E510B3"/>
    <w:rsid w:val="00E5178C"/>
    <w:rsid w:val="00E51B3F"/>
    <w:rsid w:val="00E5247C"/>
    <w:rsid w:val="00E52892"/>
    <w:rsid w:val="00E52ED6"/>
    <w:rsid w:val="00E53A42"/>
    <w:rsid w:val="00E53AC7"/>
    <w:rsid w:val="00E53C01"/>
    <w:rsid w:val="00E53C1D"/>
    <w:rsid w:val="00E53F47"/>
    <w:rsid w:val="00E548A2"/>
    <w:rsid w:val="00E548A4"/>
    <w:rsid w:val="00E549BE"/>
    <w:rsid w:val="00E54CA5"/>
    <w:rsid w:val="00E54D43"/>
    <w:rsid w:val="00E55365"/>
    <w:rsid w:val="00E55782"/>
    <w:rsid w:val="00E55E18"/>
    <w:rsid w:val="00E5610B"/>
    <w:rsid w:val="00E56919"/>
    <w:rsid w:val="00E569EB"/>
    <w:rsid w:val="00E56D7D"/>
    <w:rsid w:val="00E56EE2"/>
    <w:rsid w:val="00E57208"/>
    <w:rsid w:val="00E57AFA"/>
    <w:rsid w:val="00E60251"/>
    <w:rsid w:val="00E605B8"/>
    <w:rsid w:val="00E609F9"/>
    <w:rsid w:val="00E60A37"/>
    <w:rsid w:val="00E60BED"/>
    <w:rsid w:val="00E60D0A"/>
    <w:rsid w:val="00E61464"/>
    <w:rsid w:val="00E61693"/>
    <w:rsid w:val="00E6173E"/>
    <w:rsid w:val="00E617A1"/>
    <w:rsid w:val="00E61E3C"/>
    <w:rsid w:val="00E62140"/>
    <w:rsid w:val="00E628C1"/>
    <w:rsid w:val="00E62C6A"/>
    <w:rsid w:val="00E62C72"/>
    <w:rsid w:val="00E62E13"/>
    <w:rsid w:val="00E62EBE"/>
    <w:rsid w:val="00E632F0"/>
    <w:rsid w:val="00E6350A"/>
    <w:rsid w:val="00E63921"/>
    <w:rsid w:val="00E63A57"/>
    <w:rsid w:val="00E645C3"/>
    <w:rsid w:val="00E648CC"/>
    <w:rsid w:val="00E64AC5"/>
    <w:rsid w:val="00E64E16"/>
    <w:rsid w:val="00E65477"/>
    <w:rsid w:val="00E65A29"/>
    <w:rsid w:val="00E65C05"/>
    <w:rsid w:val="00E66206"/>
    <w:rsid w:val="00E66312"/>
    <w:rsid w:val="00E66D05"/>
    <w:rsid w:val="00E66E2A"/>
    <w:rsid w:val="00E67372"/>
    <w:rsid w:val="00E67639"/>
    <w:rsid w:val="00E67867"/>
    <w:rsid w:val="00E678A8"/>
    <w:rsid w:val="00E67B54"/>
    <w:rsid w:val="00E708EC"/>
    <w:rsid w:val="00E70CA3"/>
    <w:rsid w:val="00E71064"/>
    <w:rsid w:val="00E7190D"/>
    <w:rsid w:val="00E71F44"/>
    <w:rsid w:val="00E7213D"/>
    <w:rsid w:val="00E72505"/>
    <w:rsid w:val="00E72852"/>
    <w:rsid w:val="00E72DA4"/>
    <w:rsid w:val="00E73233"/>
    <w:rsid w:val="00E732BB"/>
    <w:rsid w:val="00E73375"/>
    <w:rsid w:val="00E735F0"/>
    <w:rsid w:val="00E7367D"/>
    <w:rsid w:val="00E73936"/>
    <w:rsid w:val="00E74294"/>
    <w:rsid w:val="00E74322"/>
    <w:rsid w:val="00E744CF"/>
    <w:rsid w:val="00E744F2"/>
    <w:rsid w:val="00E747BE"/>
    <w:rsid w:val="00E7511C"/>
    <w:rsid w:val="00E75164"/>
    <w:rsid w:val="00E753F5"/>
    <w:rsid w:val="00E75495"/>
    <w:rsid w:val="00E758DD"/>
    <w:rsid w:val="00E75C0B"/>
    <w:rsid w:val="00E75C11"/>
    <w:rsid w:val="00E7629F"/>
    <w:rsid w:val="00E765D3"/>
    <w:rsid w:val="00E7664E"/>
    <w:rsid w:val="00E76672"/>
    <w:rsid w:val="00E779D5"/>
    <w:rsid w:val="00E8000B"/>
    <w:rsid w:val="00E80F75"/>
    <w:rsid w:val="00E81626"/>
    <w:rsid w:val="00E8181E"/>
    <w:rsid w:val="00E8282E"/>
    <w:rsid w:val="00E8296E"/>
    <w:rsid w:val="00E82AC6"/>
    <w:rsid w:val="00E82C4D"/>
    <w:rsid w:val="00E82D54"/>
    <w:rsid w:val="00E83369"/>
    <w:rsid w:val="00E83690"/>
    <w:rsid w:val="00E83959"/>
    <w:rsid w:val="00E849DD"/>
    <w:rsid w:val="00E84A39"/>
    <w:rsid w:val="00E85283"/>
    <w:rsid w:val="00E85849"/>
    <w:rsid w:val="00E85AC0"/>
    <w:rsid w:val="00E85C67"/>
    <w:rsid w:val="00E860BD"/>
    <w:rsid w:val="00E869E5"/>
    <w:rsid w:val="00E86FA8"/>
    <w:rsid w:val="00E87945"/>
    <w:rsid w:val="00E87B21"/>
    <w:rsid w:val="00E903C9"/>
    <w:rsid w:val="00E907DF"/>
    <w:rsid w:val="00E90AFF"/>
    <w:rsid w:val="00E90C6C"/>
    <w:rsid w:val="00E913B3"/>
    <w:rsid w:val="00E9150C"/>
    <w:rsid w:val="00E9191B"/>
    <w:rsid w:val="00E91D44"/>
    <w:rsid w:val="00E921AA"/>
    <w:rsid w:val="00E93122"/>
    <w:rsid w:val="00E934D8"/>
    <w:rsid w:val="00E9377B"/>
    <w:rsid w:val="00E93CA1"/>
    <w:rsid w:val="00E93DB6"/>
    <w:rsid w:val="00E94811"/>
    <w:rsid w:val="00E94E51"/>
    <w:rsid w:val="00E94FC4"/>
    <w:rsid w:val="00E95E74"/>
    <w:rsid w:val="00E96090"/>
    <w:rsid w:val="00E961CD"/>
    <w:rsid w:val="00E96BFE"/>
    <w:rsid w:val="00E96C68"/>
    <w:rsid w:val="00E97479"/>
    <w:rsid w:val="00E97A00"/>
    <w:rsid w:val="00E97A11"/>
    <w:rsid w:val="00E97E55"/>
    <w:rsid w:val="00EA01E7"/>
    <w:rsid w:val="00EA02B6"/>
    <w:rsid w:val="00EA0EE0"/>
    <w:rsid w:val="00EA0F46"/>
    <w:rsid w:val="00EA10DB"/>
    <w:rsid w:val="00EA16C0"/>
    <w:rsid w:val="00EA1E2D"/>
    <w:rsid w:val="00EA26A3"/>
    <w:rsid w:val="00EA26A9"/>
    <w:rsid w:val="00EA2714"/>
    <w:rsid w:val="00EA2AFC"/>
    <w:rsid w:val="00EA2C89"/>
    <w:rsid w:val="00EA2F85"/>
    <w:rsid w:val="00EA3040"/>
    <w:rsid w:val="00EA3674"/>
    <w:rsid w:val="00EA37CE"/>
    <w:rsid w:val="00EA4087"/>
    <w:rsid w:val="00EA4191"/>
    <w:rsid w:val="00EA4B5C"/>
    <w:rsid w:val="00EA4DEC"/>
    <w:rsid w:val="00EA5110"/>
    <w:rsid w:val="00EA52B1"/>
    <w:rsid w:val="00EA5831"/>
    <w:rsid w:val="00EA5B56"/>
    <w:rsid w:val="00EA6120"/>
    <w:rsid w:val="00EA660C"/>
    <w:rsid w:val="00EA6794"/>
    <w:rsid w:val="00EA6C8D"/>
    <w:rsid w:val="00EA6F8B"/>
    <w:rsid w:val="00EA7468"/>
    <w:rsid w:val="00EA7CB5"/>
    <w:rsid w:val="00EB010F"/>
    <w:rsid w:val="00EB05F5"/>
    <w:rsid w:val="00EB0DB5"/>
    <w:rsid w:val="00EB1115"/>
    <w:rsid w:val="00EB1206"/>
    <w:rsid w:val="00EB14A8"/>
    <w:rsid w:val="00EB1507"/>
    <w:rsid w:val="00EB18D5"/>
    <w:rsid w:val="00EB1BD9"/>
    <w:rsid w:val="00EB20AC"/>
    <w:rsid w:val="00EB29BD"/>
    <w:rsid w:val="00EB35DE"/>
    <w:rsid w:val="00EB3B47"/>
    <w:rsid w:val="00EB3F67"/>
    <w:rsid w:val="00EB4371"/>
    <w:rsid w:val="00EB4611"/>
    <w:rsid w:val="00EB4F69"/>
    <w:rsid w:val="00EB58FF"/>
    <w:rsid w:val="00EB5B9B"/>
    <w:rsid w:val="00EB5CE4"/>
    <w:rsid w:val="00EB5D03"/>
    <w:rsid w:val="00EB6443"/>
    <w:rsid w:val="00EB6FB9"/>
    <w:rsid w:val="00EB7209"/>
    <w:rsid w:val="00EB786D"/>
    <w:rsid w:val="00EB7BEA"/>
    <w:rsid w:val="00EB7F6D"/>
    <w:rsid w:val="00EC01C8"/>
    <w:rsid w:val="00EC051C"/>
    <w:rsid w:val="00EC05C3"/>
    <w:rsid w:val="00EC0622"/>
    <w:rsid w:val="00EC06AD"/>
    <w:rsid w:val="00EC205A"/>
    <w:rsid w:val="00EC22A9"/>
    <w:rsid w:val="00EC3178"/>
    <w:rsid w:val="00EC327D"/>
    <w:rsid w:val="00EC3950"/>
    <w:rsid w:val="00EC3A2D"/>
    <w:rsid w:val="00EC3BC1"/>
    <w:rsid w:val="00EC4802"/>
    <w:rsid w:val="00EC57CD"/>
    <w:rsid w:val="00EC59C7"/>
    <w:rsid w:val="00EC5B24"/>
    <w:rsid w:val="00EC5E8D"/>
    <w:rsid w:val="00EC64BE"/>
    <w:rsid w:val="00EC6CD6"/>
    <w:rsid w:val="00EC6E03"/>
    <w:rsid w:val="00EC71F7"/>
    <w:rsid w:val="00EC75CF"/>
    <w:rsid w:val="00EC78DF"/>
    <w:rsid w:val="00ED0A08"/>
    <w:rsid w:val="00ED0CB3"/>
    <w:rsid w:val="00ED0EAD"/>
    <w:rsid w:val="00ED10F2"/>
    <w:rsid w:val="00ED1159"/>
    <w:rsid w:val="00ED1453"/>
    <w:rsid w:val="00ED15C0"/>
    <w:rsid w:val="00ED1703"/>
    <w:rsid w:val="00ED1C28"/>
    <w:rsid w:val="00ED22D4"/>
    <w:rsid w:val="00ED2569"/>
    <w:rsid w:val="00ED2BC7"/>
    <w:rsid w:val="00ED2C62"/>
    <w:rsid w:val="00ED3182"/>
    <w:rsid w:val="00ED368C"/>
    <w:rsid w:val="00ED3944"/>
    <w:rsid w:val="00ED3B14"/>
    <w:rsid w:val="00ED45B4"/>
    <w:rsid w:val="00ED4BFD"/>
    <w:rsid w:val="00ED4F89"/>
    <w:rsid w:val="00ED54CF"/>
    <w:rsid w:val="00ED6569"/>
    <w:rsid w:val="00ED6D28"/>
    <w:rsid w:val="00ED6DB6"/>
    <w:rsid w:val="00ED7290"/>
    <w:rsid w:val="00ED7464"/>
    <w:rsid w:val="00EE1136"/>
    <w:rsid w:val="00EE1778"/>
    <w:rsid w:val="00EE19B3"/>
    <w:rsid w:val="00EE1B29"/>
    <w:rsid w:val="00EE1B5C"/>
    <w:rsid w:val="00EE1C9D"/>
    <w:rsid w:val="00EE30C2"/>
    <w:rsid w:val="00EE33B6"/>
    <w:rsid w:val="00EE40D6"/>
    <w:rsid w:val="00EE43BB"/>
    <w:rsid w:val="00EE4820"/>
    <w:rsid w:val="00EE5021"/>
    <w:rsid w:val="00EE5206"/>
    <w:rsid w:val="00EE5782"/>
    <w:rsid w:val="00EE59B2"/>
    <w:rsid w:val="00EE5BDB"/>
    <w:rsid w:val="00EE5E7A"/>
    <w:rsid w:val="00EE5F14"/>
    <w:rsid w:val="00EE63AC"/>
    <w:rsid w:val="00EE64D5"/>
    <w:rsid w:val="00EE751C"/>
    <w:rsid w:val="00EF0FC8"/>
    <w:rsid w:val="00EF129F"/>
    <w:rsid w:val="00EF204A"/>
    <w:rsid w:val="00EF2092"/>
    <w:rsid w:val="00EF2462"/>
    <w:rsid w:val="00EF25B2"/>
    <w:rsid w:val="00EF27C4"/>
    <w:rsid w:val="00EF414C"/>
    <w:rsid w:val="00EF43EF"/>
    <w:rsid w:val="00EF448B"/>
    <w:rsid w:val="00EF49C5"/>
    <w:rsid w:val="00EF4D38"/>
    <w:rsid w:val="00EF4FD3"/>
    <w:rsid w:val="00EF50C3"/>
    <w:rsid w:val="00EF53C2"/>
    <w:rsid w:val="00EF54BB"/>
    <w:rsid w:val="00EF550D"/>
    <w:rsid w:val="00EF5DE1"/>
    <w:rsid w:val="00EF60C3"/>
    <w:rsid w:val="00EF6206"/>
    <w:rsid w:val="00EF6816"/>
    <w:rsid w:val="00EF685D"/>
    <w:rsid w:val="00EF6978"/>
    <w:rsid w:val="00EF6FAC"/>
    <w:rsid w:val="00EF765A"/>
    <w:rsid w:val="00EF7DAB"/>
    <w:rsid w:val="00F00176"/>
    <w:rsid w:val="00F00918"/>
    <w:rsid w:val="00F00AA9"/>
    <w:rsid w:val="00F00B04"/>
    <w:rsid w:val="00F017A8"/>
    <w:rsid w:val="00F018E1"/>
    <w:rsid w:val="00F02262"/>
    <w:rsid w:val="00F02723"/>
    <w:rsid w:val="00F0355A"/>
    <w:rsid w:val="00F03BC7"/>
    <w:rsid w:val="00F04360"/>
    <w:rsid w:val="00F0480F"/>
    <w:rsid w:val="00F04B98"/>
    <w:rsid w:val="00F04BED"/>
    <w:rsid w:val="00F0535A"/>
    <w:rsid w:val="00F05EDE"/>
    <w:rsid w:val="00F05EF3"/>
    <w:rsid w:val="00F0656C"/>
    <w:rsid w:val="00F0676C"/>
    <w:rsid w:val="00F06B0B"/>
    <w:rsid w:val="00F0702F"/>
    <w:rsid w:val="00F075C0"/>
    <w:rsid w:val="00F07738"/>
    <w:rsid w:val="00F079B4"/>
    <w:rsid w:val="00F07A0C"/>
    <w:rsid w:val="00F07A61"/>
    <w:rsid w:val="00F07D28"/>
    <w:rsid w:val="00F07D33"/>
    <w:rsid w:val="00F07F40"/>
    <w:rsid w:val="00F1001D"/>
    <w:rsid w:val="00F1032E"/>
    <w:rsid w:val="00F108CB"/>
    <w:rsid w:val="00F10A14"/>
    <w:rsid w:val="00F10CB2"/>
    <w:rsid w:val="00F11571"/>
    <w:rsid w:val="00F11F68"/>
    <w:rsid w:val="00F12801"/>
    <w:rsid w:val="00F12C1A"/>
    <w:rsid w:val="00F130AE"/>
    <w:rsid w:val="00F130C4"/>
    <w:rsid w:val="00F136F1"/>
    <w:rsid w:val="00F1384A"/>
    <w:rsid w:val="00F1386A"/>
    <w:rsid w:val="00F148A4"/>
    <w:rsid w:val="00F14E8D"/>
    <w:rsid w:val="00F15F40"/>
    <w:rsid w:val="00F160BA"/>
    <w:rsid w:val="00F16283"/>
    <w:rsid w:val="00F16425"/>
    <w:rsid w:val="00F1657A"/>
    <w:rsid w:val="00F169AF"/>
    <w:rsid w:val="00F16A76"/>
    <w:rsid w:val="00F16EB2"/>
    <w:rsid w:val="00F17363"/>
    <w:rsid w:val="00F17DAF"/>
    <w:rsid w:val="00F17FBC"/>
    <w:rsid w:val="00F207ED"/>
    <w:rsid w:val="00F20D30"/>
    <w:rsid w:val="00F20E6A"/>
    <w:rsid w:val="00F21009"/>
    <w:rsid w:val="00F212B8"/>
    <w:rsid w:val="00F21309"/>
    <w:rsid w:val="00F2165C"/>
    <w:rsid w:val="00F2173B"/>
    <w:rsid w:val="00F21EB9"/>
    <w:rsid w:val="00F22616"/>
    <w:rsid w:val="00F22931"/>
    <w:rsid w:val="00F23355"/>
    <w:rsid w:val="00F23375"/>
    <w:rsid w:val="00F2340A"/>
    <w:rsid w:val="00F23828"/>
    <w:rsid w:val="00F23B09"/>
    <w:rsid w:val="00F23B99"/>
    <w:rsid w:val="00F241B2"/>
    <w:rsid w:val="00F241FC"/>
    <w:rsid w:val="00F24A76"/>
    <w:rsid w:val="00F24FF5"/>
    <w:rsid w:val="00F2577D"/>
    <w:rsid w:val="00F26253"/>
    <w:rsid w:val="00F26461"/>
    <w:rsid w:val="00F265C5"/>
    <w:rsid w:val="00F2743A"/>
    <w:rsid w:val="00F275B1"/>
    <w:rsid w:val="00F279FE"/>
    <w:rsid w:val="00F300D1"/>
    <w:rsid w:val="00F30523"/>
    <w:rsid w:val="00F309CA"/>
    <w:rsid w:val="00F30E46"/>
    <w:rsid w:val="00F3117F"/>
    <w:rsid w:val="00F3264B"/>
    <w:rsid w:val="00F329E9"/>
    <w:rsid w:val="00F32B73"/>
    <w:rsid w:val="00F32BED"/>
    <w:rsid w:val="00F32C54"/>
    <w:rsid w:val="00F32D4F"/>
    <w:rsid w:val="00F32E02"/>
    <w:rsid w:val="00F32F97"/>
    <w:rsid w:val="00F32FB0"/>
    <w:rsid w:val="00F33013"/>
    <w:rsid w:val="00F3324A"/>
    <w:rsid w:val="00F33670"/>
    <w:rsid w:val="00F33E97"/>
    <w:rsid w:val="00F340E4"/>
    <w:rsid w:val="00F3417F"/>
    <w:rsid w:val="00F34AB4"/>
    <w:rsid w:val="00F34DC2"/>
    <w:rsid w:val="00F34DD6"/>
    <w:rsid w:val="00F3507D"/>
    <w:rsid w:val="00F355A8"/>
    <w:rsid w:val="00F35C37"/>
    <w:rsid w:val="00F35C3E"/>
    <w:rsid w:val="00F35CBC"/>
    <w:rsid w:val="00F364E3"/>
    <w:rsid w:val="00F36569"/>
    <w:rsid w:val="00F36B31"/>
    <w:rsid w:val="00F37A82"/>
    <w:rsid w:val="00F37F86"/>
    <w:rsid w:val="00F40443"/>
    <w:rsid w:val="00F40804"/>
    <w:rsid w:val="00F408F3"/>
    <w:rsid w:val="00F40A18"/>
    <w:rsid w:val="00F40D94"/>
    <w:rsid w:val="00F41038"/>
    <w:rsid w:val="00F41393"/>
    <w:rsid w:val="00F417FA"/>
    <w:rsid w:val="00F41EE8"/>
    <w:rsid w:val="00F4347E"/>
    <w:rsid w:val="00F43E2F"/>
    <w:rsid w:val="00F44390"/>
    <w:rsid w:val="00F445AE"/>
    <w:rsid w:val="00F448E2"/>
    <w:rsid w:val="00F44EEF"/>
    <w:rsid w:val="00F450EE"/>
    <w:rsid w:val="00F45365"/>
    <w:rsid w:val="00F454D4"/>
    <w:rsid w:val="00F455A9"/>
    <w:rsid w:val="00F459B6"/>
    <w:rsid w:val="00F4618E"/>
    <w:rsid w:val="00F46437"/>
    <w:rsid w:val="00F46747"/>
    <w:rsid w:val="00F46807"/>
    <w:rsid w:val="00F46AEF"/>
    <w:rsid w:val="00F46C28"/>
    <w:rsid w:val="00F471E1"/>
    <w:rsid w:val="00F47DAC"/>
    <w:rsid w:val="00F47F36"/>
    <w:rsid w:val="00F50074"/>
    <w:rsid w:val="00F50AE2"/>
    <w:rsid w:val="00F519EB"/>
    <w:rsid w:val="00F5220A"/>
    <w:rsid w:val="00F5232E"/>
    <w:rsid w:val="00F523F7"/>
    <w:rsid w:val="00F527B0"/>
    <w:rsid w:val="00F528CC"/>
    <w:rsid w:val="00F528F9"/>
    <w:rsid w:val="00F52BE7"/>
    <w:rsid w:val="00F52EE6"/>
    <w:rsid w:val="00F534B7"/>
    <w:rsid w:val="00F535F3"/>
    <w:rsid w:val="00F53601"/>
    <w:rsid w:val="00F53C16"/>
    <w:rsid w:val="00F54095"/>
    <w:rsid w:val="00F54E84"/>
    <w:rsid w:val="00F55101"/>
    <w:rsid w:val="00F5539B"/>
    <w:rsid w:val="00F5546D"/>
    <w:rsid w:val="00F55972"/>
    <w:rsid w:val="00F55D57"/>
    <w:rsid w:val="00F55EA7"/>
    <w:rsid w:val="00F5675C"/>
    <w:rsid w:val="00F56A56"/>
    <w:rsid w:val="00F56AFC"/>
    <w:rsid w:val="00F56C7A"/>
    <w:rsid w:val="00F570CA"/>
    <w:rsid w:val="00F570D5"/>
    <w:rsid w:val="00F572C2"/>
    <w:rsid w:val="00F57435"/>
    <w:rsid w:val="00F5795D"/>
    <w:rsid w:val="00F60005"/>
    <w:rsid w:val="00F60D15"/>
    <w:rsid w:val="00F6181F"/>
    <w:rsid w:val="00F618BF"/>
    <w:rsid w:val="00F61AAD"/>
    <w:rsid w:val="00F61E61"/>
    <w:rsid w:val="00F61FFB"/>
    <w:rsid w:val="00F6230A"/>
    <w:rsid w:val="00F6271D"/>
    <w:rsid w:val="00F62B20"/>
    <w:rsid w:val="00F62BCF"/>
    <w:rsid w:val="00F62DBE"/>
    <w:rsid w:val="00F62E7D"/>
    <w:rsid w:val="00F63127"/>
    <w:rsid w:val="00F6352B"/>
    <w:rsid w:val="00F63951"/>
    <w:rsid w:val="00F63A54"/>
    <w:rsid w:val="00F6417F"/>
    <w:rsid w:val="00F6422A"/>
    <w:rsid w:val="00F6481D"/>
    <w:rsid w:val="00F64C79"/>
    <w:rsid w:val="00F64EFB"/>
    <w:rsid w:val="00F66096"/>
    <w:rsid w:val="00F664A3"/>
    <w:rsid w:val="00F66791"/>
    <w:rsid w:val="00F66DE8"/>
    <w:rsid w:val="00F6719F"/>
    <w:rsid w:val="00F67775"/>
    <w:rsid w:val="00F67AAE"/>
    <w:rsid w:val="00F67FC6"/>
    <w:rsid w:val="00F70654"/>
    <w:rsid w:val="00F70D44"/>
    <w:rsid w:val="00F71386"/>
    <w:rsid w:val="00F71529"/>
    <w:rsid w:val="00F71745"/>
    <w:rsid w:val="00F7187D"/>
    <w:rsid w:val="00F71B45"/>
    <w:rsid w:val="00F720E7"/>
    <w:rsid w:val="00F721CE"/>
    <w:rsid w:val="00F7284B"/>
    <w:rsid w:val="00F728F0"/>
    <w:rsid w:val="00F73485"/>
    <w:rsid w:val="00F7353E"/>
    <w:rsid w:val="00F7384D"/>
    <w:rsid w:val="00F73870"/>
    <w:rsid w:val="00F73DD0"/>
    <w:rsid w:val="00F73F77"/>
    <w:rsid w:val="00F7411E"/>
    <w:rsid w:val="00F74814"/>
    <w:rsid w:val="00F74D65"/>
    <w:rsid w:val="00F74D88"/>
    <w:rsid w:val="00F74EC3"/>
    <w:rsid w:val="00F7501E"/>
    <w:rsid w:val="00F75982"/>
    <w:rsid w:val="00F75F12"/>
    <w:rsid w:val="00F763F3"/>
    <w:rsid w:val="00F76875"/>
    <w:rsid w:val="00F76A8A"/>
    <w:rsid w:val="00F76E48"/>
    <w:rsid w:val="00F7737A"/>
    <w:rsid w:val="00F779D3"/>
    <w:rsid w:val="00F80CDD"/>
    <w:rsid w:val="00F810C6"/>
    <w:rsid w:val="00F8136D"/>
    <w:rsid w:val="00F814E8"/>
    <w:rsid w:val="00F81AD5"/>
    <w:rsid w:val="00F81E1E"/>
    <w:rsid w:val="00F81F3A"/>
    <w:rsid w:val="00F8252F"/>
    <w:rsid w:val="00F83359"/>
    <w:rsid w:val="00F8352A"/>
    <w:rsid w:val="00F8399F"/>
    <w:rsid w:val="00F83B39"/>
    <w:rsid w:val="00F83C16"/>
    <w:rsid w:val="00F83C78"/>
    <w:rsid w:val="00F84008"/>
    <w:rsid w:val="00F84715"/>
    <w:rsid w:val="00F84B93"/>
    <w:rsid w:val="00F84D65"/>
    <w:rsid w:val="00F84DD6"/>
    <w:rsid w:val="00F85E73"/>
    <w:rsid w:val="00F861CF"/>
    <w:rsid w:val="00F86240"/>
    <w:rsid w:val="00F86B01"/>
    <w:rsid w:val="00F86DA6"/>
    <w:rsid w:val="00F87568"/>
    <w:rsid w:val="00F87616"/>
    <w:rsid w:val="00F900B7"/>
    <w:rsid w:val="00F904E8"/>
    <w:rsid w:val="00F90C53"/>
    <w:rsid w:val="00F9135F"/>
    <w:rsid w:val="00F926F2"/>
    <w:rsid w:val="00F927C1"/>
    <w:rsid w:val="00F92840"/>
    <w:rsid w:val="00F92C1E"/>
    <w:rsid w:val="00F92CD6"/>
    <w:rsid w:val="00F92F90"/>
    <w:rsid w:val="00F93CFB"/>
    <w:rsid w:val="00F93D7D"/>
    <w:rsid w:val="00F942FC"/>
    <w:rsid w:val="00F9433C"/>
    <w:rsid w:val="00F948B1"/>
    <w:rsid w:val="00F94B8F"/>
    <w:rsid w:val="00F9505A"/>
    <w:rsid w:val="00F9512C"/>
    <w:rsid w:val="00F9559B"/>
    <w:rsid w:val="00F95649"/>
    <w:rsid w:val="00F95BB4"/>
    <w:rsid w:val="00F9609F"/>
    <w:rsid w:val="00F96183"/>
    <w:rsid w:val="00F967A3"/>
    <w:rsid w:val="00F97253"/>
    <w:rsid w:val="00F97524"/>
    <w:rsid w:val="00F9780F"/>
    <w:rsid w:val="00F9795E"/>
    <w:rsid w:val="00F97AC5"/>
    <w:rsid w:val="00FA0326"/>
    <w:rsid w:val="00FA0B90"/>
    <w:rsid w:val="00FA0C13"/>
    <w:rsid w:val="00FA0DBD"/>
    <w:rsid w:val="00FA1667"/>
    <w:rsid w:val="00FA19F5"/>
    <w:rsid w:val="00FA1E83"/>
    <w:rsid w:val="00FA233E"/>
    <w:rsid w:val="00FA2360"/>
    <w:rsid w:val="00FA3864"/>
    <w:rsid w:val="00FA3901"/>
    <w:rsid w:val="00FA4382"/>
    <w:rsid w:val="00FA4611"/>
    <w:rsid w:val="00FA4758"/>
    <w:rsid w:val="00FA47A7"/>
    <w:rsid w:val="00FA49F0"/>
    <w:rsid w:val="00FA4A87"/>
    <w:rsid w:val="00FA5482"/>
    <w:rsid w:val="00FA54B2"/>
    <w:rsid w:val="00FA57FB"/>
    <w:rsid w:val="00FA5940"/>
    <w:rsid w:val="00FA5BA4"/>
    <w:rsid w:val="00FA5CE7"/>
    <w:rsid w:val="00FA6129"/>
    <w:rsid w:val="00FA61D4"/>
    <w:rsid w:val="00FA6547"/>
    <w:rsid w:val="00FA6E23"/>
    <w:rsid w:val="00FA777D"/>
    <w:rsid w:val="00FA78C2"/>
    <w:rsid w:val="00FA7A14"/>
    <w:rsid w:val="00FA7A4B"/>
    <w:rsid w:val="00FA7AA1"/>
    <w:rsid w:val="00FB0350"/>
    <w:rsid w:val="00FB0F15"/>
    <w:rsid w:val="00FB1384"/>
    <w:rsid w:val="00FB193D"/>
    <w:rsid w:val="00FB1BCE"/>
    <w:rsid w:val="00FB1D8B"/>
    <w:rsid w:val="00FB2013"/>
    <w:rsid w:val="00FB2085"/>
    <w:rsid w:val="00FB20F1"/>
    <w:rsid w:val="00FB22E4"/>
    <w:rsid w:val="00FB262D"/>
    <w:rsid w:val="00FB2D44"/>
    <w:rsid w:val="00FB3AF8"/>
    <w:rsid w:val="00FB3AFB"/>
    <w:rsid w:val="00FB3CDE"/>
    <w:rsid w:val="00FB41D7"/>
    <w:rsid w:val="00FB4473"/>
    <w:rsid w:val="00FB44AE"/>
    <w:rsid w:val="00FB480A"/>
    <w:rsid w:val="00FB4E53"/>
    <w:rsid w:val="00FB58EC"/>
    <w:rsid w:val="00FB5A2F"/>
    <w:rsid w:val="00FB5F4C"/>
    <w:rsid w:val="00FB5F6D"/>
    <w:rsid w:val="00FB6A16"/>
    <w:rsid w:val="00FB7336"/>
    <w:rsid w:val="00FB75BE"/>
    <w:rsid w:val="00FC003C"/>
    <w:rsid w:val="00FC0548"/>
    <w:rsid w:val="00FC0755"/>
    <w:rsid w:val="00FC0F1A"/>
    <w:rsid w:val="00FC2676"/>
    <w:rsid w:val="00FC27B4"/>
    <w:rsid w:val="00FC2B4D"/>
    <w:rsid w:val="00FC306A"/>
    <w:rsid w:val="00FC31D9"/>
    <w:rsid w:val="00FC3278"/>
    <w:rsid w:val="00FC3596"/>
    <w:rsid w:val="00FC368F"/>
    <w:rsid w:val="00FC3814"/>
    <w:rsid w:val="00FC4638"/>
    <w:rsid w:val="00FC4B79"/>
    <w:rsid w:val="00FC5174"/>
    <w:rsid w:val="00FC5260"/>
    <w:rsid w:val="00FC54F3"/>
    <w:rsid w:val="00FC5D12"/>
    <w:rsid w:val="00FC5F6E"/>
    <w:rsid w:val="00FC6671"/>
    <w:rsid w:val="00FC6708"/>
    <w:rsid w:val="00FC7183"/>
    <w:rsid w:val="00FC75B6"/>
    <w:rsid w:val="00FD0007"/>
    <w:rsid w:val="00FD0669"/>
    <w:rsid w:val="00FD06AE"/>
    <w:rsid w:val="00FD06FF"/>
    <w:rsid w:val="00FD07DE"/>
    <w:rsid w:val="00FD0872"/>
    <w:rsid w:val="00FD0C36"/>
    <w:rsid w:val="00FD0DC8"/>
    <w:rsid w:val="00FD1B4D"/>
    <w:rsid w:val="00FD2417"/>
    <w:rsid w:val="00FD299D"/>
    <w:rsid w:val="00FD2F4B"/>
    <w:rsid w:val="00FD37F0"/>
    <w:rsid w:val="00FD3965"/>
    <w:rsid w:val="00FD3AE2"/>
    <w:rsid w:val="00FD450B"/>
    <w:rsid w:val="00FD536D"/>
    <w:rsid w:val="00FD549F"/>
    <w:rsid w:val="00FD54BD"/>
    <w:rsid w:val="00FD55FD"/>
    <w:rsid w:val="00FD597A"/>
    <w:rsid w:val="00FD597B"/>
    <w:rsid w:val="00FD6A97"/>
    <w:rsid w:val="00FD7513"/>
    <w:rsid w:val="00FD79B7"/>
    <w:rsid w:val="00FD7A9E"/>
    <w:rsid w:val="00FD7C74"/>
    <w:rsid w:val="00FE05A1"/>
    <w:rsid w:val="00FE08E1"/>
    <w:rsid w:val="00FE09AF"/>
    <w:rsid w:val="00FE0D60"/>
    <w:rsid w:val="00FE1043"/>
    <w:rsid w:val="00FE1310"/>
    <w:rsid w:val="00FE13BD"/>
    <w:rsid w:val="00FE1990"/>
    <w:rsid w:val="00FE19A5"/>
    <w:rsid w:val="00FE22BC"/>
    <w:rsid w:val="00FE24E8"/>
    <w:rsid w:val="00FE2C19"/>
    <w:rsid w:val="00FE3152"/>
    <w:rsid w:val="00FE32C9"/>
    <w:rsid w:val="00FE3383"/>
    <w:rsid w:val="00FE39F3"/>
    <w:rsid w:val="00FE3D75"/>
    <w:rsid w:val="00FE3DEB"/>
    <w:rsid w:val="00FE4159"/>
    <w:rsid w:val="00FE420B"/>
    <w:rsid w:val="00FE481C"/>
    <w:rsid w:val="00FE4C68"/>
    <w:rsid w:val="00FE5350"/>
    <w:rsid w:val="00FE5623"/>
    <w:rsid w:val="00FE5C21"/>
    <w:rsid w:val="00FE6180"/>
    <w:rsid w:val="00FE62CB"/>
    <w:rsid w:val="00FE725D"/>
    <w:rsid w:val="00FE78C3"/>
    <w:rsid w:val="00FF036A"/>
    <w:rsid w:val="00FF082F"/>
    <w:rsid w:val="00FF09D0"/>
    <w:rsid w:val="00FF0BE5"/>
    <w:rsid w:val="00FF0F35"/>
    <w:rsid w:val="00FF0FC3"/>
    <w:rsid w:val="00FF1DD1"/>
    <w:rsid w:val="00FF1F17"/>
    <w:rsid w:val="00FF20A9"/>
    <w:rsid w:val="00FF2906"/>
    <w:rsid w:val="00FF303D"/>
    <w:rsid w:val="00FF3199"/>
    <w:rsid w:val="00FF325C"/>
    <w:rsid w:val="00FF34FD"/>
    <w:rsid w:val="00FF35D1"/>
    <w:rsid w:val="00FF3F98"/>
    <w:rsid w:val="00FF414A"/>
    <w:rsid w:val="00FF4F19"/>
    <w:rsid w:val="00FF63A5"/>
    <w:rsid w:val="00FF6472"/>
    <w:rsid w:val="00FF6836"/>
    <w:rsid w:val="00FF6B9D"/>
    <w:rsid w:val="00FF7012"/>
    <w:rsid w:val="00FF71F0"/>
    <w:rsid w:val="00FF745C"/>
    <w:rsid w:val="00FF76E3"/>
    <w:rsid w:val="00FF7A45"/>
    <w:rsid w:val="00FF7A62"/>
    <w:rsid w:val="00FF7C7F"/>
    <w:rsid w:val="00FF7E42"/>
    <w:rsid w:val="01011432"/>
    <w:rsid w:val="010C0502"/>
    <w:rsid w:val="01192C1F"/>
    <w:rsid w:val="012375FA"/>
    <w:rsid w:val="015B4FE6"/>
    <w:rsid w:val="015E6F5E"/>
    <w:rsid w:val="017240DE"/>
    <w:rsid w:val="01761E20"/>
    <w:rsid w:val="01850B03"/>
    <w:rsid w:val="023F2212"/>
    <w:rsid w:val="02785724"/>
    <w:rsid w:val="02A36C44"/>
    <w:rsid w:val="02A91D81"/>
    <w:rsid w:val="02D84414"/>
    <w:rsid w:val="02E725DE"/>
    <w:rsid w:val="02FC0103"/>
    <w:rsid w:val="03113D91"/>
    <w:rsid w:val="031E62CB"/>
    <w:rsid w:val="035D3297"/>
    <w:rsid w:val="0368307B"/>
    <w:rsid w:val="03800D34"/>
    <w:rsid w:val="03AC7D7B"/>
    <w:rsid w:val="03BE7AAE"/>
    <w:rsid w:val="03D35307"/>
    <w:rsid w:val="03E07A24"/>
    <w:rsid w:val="0402799B"/>
    <w:rsid w:val="04374CED"/>
    <w:rsid w:val="043A35D9"/>
    <w:rsid w:val="04575F38"/>
    <w:rsid w:val="04AC7907"/>
    <w:rsid w:val="04AE18D1"/>
    <w:rsid w:val="04FD452E"/>
    <w:rsid w:val="05045994"/>
    <w:rsid w:val="050F05C1"/>
    <w:rsid w:val="0526590B"/>
    <w:rsid w:val="054D01D9"/>
    <w:rsid w:val="055406CA"/>
    <w:rsid w:val="056C5A14"/>
    <w:rsid w:val="056F2E0E"/>
    <w:rsid w:val="05A625A8"/>
    <w:rsid w:val="05DB4947"/>
    <w:rsid w:val="05DD3C30"/>
    <w:rsid w:val="05E92EE5"/>
    <w:rsid w:val="05F94DCD"/>
    <w:rsid w:val="0607606A"/>
    <w:rsid w:val="060F2843"/>
    <w:rsid w:val="06530982"/>
    <w:rsid w:val="067F1777"/>
    <w:rsid w:val="06952D48"/>
    <w:rsid w:val="069F7723"/>
    <w:rsid w:val="06A27213"/>
    <w:rsid w:val="070954E4"/>
    <w:rsid w:val="0721282E"/>
    <w:rsid w:val="074B78AB"/>
    <w:rsid w:val="07746E01"/>
    <w:rsid w:val="07A640DD"/>
    <w:rsid w:val="07AB20F7"/>
    <w:rsid w:val="07C03DF5"/>
    <w:rsid w:val="07DE66BF"/>
    <w:rsid w:val="08071A24"/>
    <w:rsid w:val="082C148A"/>
    <w:rsid w:val="08400A92"/>
    <w:rsid w:val="086504F8"/>
    <w:rsid w:val="086B1627"/>
    <w:rsid w:val="08886691"/>
    <w:rsid w:val="08886959"/>
    <w:rsid w:val="088A61B1"/>
    <w:rsid w:val="089D5EE4"/>
    <w:rsid w:val="08AB6853"/>
    <w:rsid w:val="08FD4BD5"/>
    <w:rsid w:val="092819C6"/>
    <w:rsid w:val="09694018"/>
    <w:rsid w:val="097E3F67"/>
    <w:rsid w:val="09B259BF"/>
    <w:rsid w:val="09D9119E"/>
    <w:rsid w:val="09D92F4C"/>
    <w:rsid w:val="09EC3E56"/>
    <w:rsid w:val="0A15639D"/>
    <w:rsid w:val="0A4A209B"/>
    <w:rsid w:val="0A8C0226"/>
    <w:rsid w:val="0A92134D"/>
    <w:rsid w:val="0A9E7CF1"/>
    <w:rsid w:val="0AC0410C"/>
    <w:rsid w:val="0B3939D7"/>
    <w:rsid w:val="0B4B60CB"/>
    <w:rsid w:val="0B5774E5"/>
    <w:rsid w:val="0BC272C5"/>
    <w:rsid w:val="0C0544CC"/>
    <w:rsid w:val="0C1110C3"/>
    <w:rsid w:val="0C232BA4"/>
    <w:rsid w:val="0C2A5CE1"/>
    <w:rsid w:val="0C2C7CAB"/>
    <w:rsid w:val="0C48260B"/>
    <w:rsid w:val="0C5B60E8"/>
    <w:rsid w:val="0C5F3EE9"/>
    <w:rsid w:val="0C7451AE"/>
    <w:rsid w:val="0C7E427E"/>
    <w:rsid w:val="0CA75583"/>
    <w:rsid w:val="0CC04F7C"/>
    <w:rsid w:val="0CCD48BE"/>
    <w:rsid w:val="0CEC11E8"/>
    <w:rsid w:val="0CF224C6"/>
    <w:rsid w:val="0CF700A4"/>
    <w:rsid w:val="0D696CDD"/>
    <w:rsid w:val="0D7C6A10"/>
    <w:rsid w:val="0D9755F8"/>
    <w:rsid w:val="0DB717F6"/>
    <w:rsid w:val="0DD56120"/>
    <w:rsid w:val="0DF412AC"/>
    <w:rsid w:val="0E097B78"/>
    <w:rsid w:val="0E372937"/>
    <w:rsid w:val="0E4A4418"/>
    <w:rsid w:val="0E820056"/>
    <w:rsid w:val="0EEC3721"/>
    <w:rsid w:val="0F331350"/>
    <w:rsid w:val="0F794A55"/>
    <w:rsid w:val="0FA45DAA"/>
    <w:rsid w:val="0FA67D74"/>
    <w:rsid w:val="10190546"/>
    <w:rsid w:val="1021564D"/>
    <w:rsid w:val="104E5D16"/>
    <w:rsid w:val="106543CE"/>
    <w:rsid w:val="106C50AA"/>
    <w:rsid w:val="106E3DC3"/>
    <w:rsid w:val="106F460A"/>
    <w:rsid w:val="1090605D"/>
    <w:rsid w:val="109A0F5B"/>
    <w:rsid w:val="10F60887"/>
    <w:rsid w:val="110805BA"/>
    <w:rsid w:val="11382C4E"/>
    <w:rsid w:val="11421D1E"/>
    <w:rsid w:val="11561326"/>
    <w:rsid w:val="116C0150"/>
    <w:rsid w:val="11733C86"/>
    <w:rsid w:val="117A3264"/>
    <w:rsid w:val="11847C41"/>
    <w:rsid w:val="118C2F9A"/>
    <w:rsid w:val="119836EC"/>
    <w:rsid w:val="11987B90"/>
    <w:rsid w:val="11C12C43"/>
    <w:rsid w:val="12045226"/>
    <w:rsid w:val="12135469"/>
    <w:rsid w:val="121C60CC"/>
    <w:rsid w:val="123478B9"/>
    <w:rsid w:val="12463148"/>
    <w:rsid w:val="124A70DD"/>
    <w:rsid w:val="125C165E"/>
    <w:rsid w:val="12706417"/>
    <w:rsid w:val="12802AFE"/>
    <w:rsid w:val="128B745A"/>
    <w:rsid w:val="129F0FBA"/>
    <w:rsid w:val="12C40466"/>
    <w:rsid w:val="12C66037"/>
    <w:rsid w:val="12E3308D"/>
    <w:rsid w:val="131119A8"/>
    <w:rsid w:val="131274CE"/>
    <w:rsid w:val="131D659F"/>
    <w:rsid w:val="1323348A"/>
    <w:rsid w:val="136C4E31"/>
    <w:rsid w:val="136F2362"/>
    <w:rsid w:val="137D5290"/>
    <w:rsid w:val="13F83D3F"/>
    <w:rsid w:val="14005579"/>
    <w:rsid w:val="1424395D"/>
    <w:rsid w:val="14264E35"/>
    <w:rsid w:val="14406565"/>
    <w:rsid w:val="145A2EDB"/>
    <w:rsid w:val="148D32B1"/>
    <w:rsid w:val="14AF1479"/>
    <w:rsid w:val="14B06F9F"/>
    <w:rsid w:val="14B4331E"/>
    <w:rsid w:val="151237B6"/>
    <w:rsid w:val="155B33AF"/>
    <w:rsid w:val="156F29B6"/>
    <w:rsid w:val="15A703A2"/>
    <w:rsid w:val="15B12FCF"/>
    <w:rsid w:val="15D31197"/>
    <w:rsid w:val="15F64E85"/>
    <w:rsid w:val="160A2E79"/>
    <w:rsid w:val="164D0F49"/>
    <w:rsid w:val="167D1103"/>
    <w:rsid w:val="16A83E6F"/>
    <w:rsid w:val="16AE6146"/>
    <w:rsid w:val="16C84A74"/>
    <w:rsid w:val="16DC407B"/>
    <w:rsid w:val="1706734A"/>
    <w:rsid w:val="172056F1"/>
    <w:rsid w:val="1735378C"/>
    <w:rsid w:val="173B5246"/>
    <w:rsid w:val="1740460A"/>
    <w:rsid w:val="17740758"/>
    <w:rsid w:val="17780248"/>
    <w:rsid w:val="17AF1790"/>
    <w:rsid w:val="17B62B1E"/>
    <w:rsid w:val="18082CB8"/>
    <w:rsid w:val="182E0907"/>
    <w:rsid w:val="18510A99"/>
    <w:rsid w:val="187F1162"/>
    <w:rsid w:val="18AB63FB"/>
    <w:rsid w:val="18B52DD6"/>
    <w:rsid w:val="18CE20EA"/>
    <w:rsid w:val="18F51424"/>
    <w:rsid w:val="19185113"/>
    <w:rsid w:val="19197809"/>
    <w:rsid w:val="191E097B"/>
    <w:rsid w:val="19516FA3"/>
    <w:rsid w:val="195645B9"/>
    <w:rsid w:val="199C21AB"/>
    <w:rsid w:val="19A370D2"/>
    <w:rsid w:val="19C77265"/>
    <w:rsid w:val="19CD414F"/>
    <w:rsid w:val="19FB54DC"/>
    <w:rsid w:val="1A8707A2"/>
    <w:rsid w:val="1B300E3A"/>
    <w:rsid w:val="1B5C74C6"/>
    <w:rsid w:val="1B6603B7"/>
    <w:rsid w:val="1BB308A2"/>
    <w:rsid w:val="1BDE2644"/>
    <w:rsid w:val="1BEA548C"/>
    <w:rsid w:val="1BF14125"/>
    <w:rsid w:val="1BF9747E"/>
    <w:rsid w:val="1C6A5C20"/>
    <w:rsid w:val="1CAE2016"/>
    <w:rsid w:val="1CBC0BD7"/>
    <w:rsid w:val="1CF814E3"/>
    <w:rsid w:val="1D1E53EE"/>
    <w:rsid w:val="1D3249F5"/>
    <w:rsid w:val="1D3544E5"/>
    <w:rsid w:val="1D464944"/>
    <w:rsid w:val="1D70057E"/>
    <w:rsid w:val="1D7274E7"/>
    <w:rsid w:val="1D864D41"/>
    <w:rsid w:val="1D9558DC"/>
    <w:rsid w:val="1DFC3255"/>
    <w:rsid w:val="1DFE521F"/>
    <w:rsid w:val="1E49448D"/>
    <w:rsid w:val="1E4F5A7B"/>
    <w:rsid w:val="1E566E09"/>
    <w:rsid w:val="1E960FB4"/>
    <w:rsid w:val="1E982F7E"/>
    <w:rsid w:val="1EC41FC5"/>
    <w:rsid w:val="1F016D75"/>
    <w:rsid w:val="1F126633"/>
    <w:rsid w:val="1F132604"/>
    <w:rsid w:val="1F2D7B6A"/>
    <w:rsid w:val="1F4B7FF0"/>
    <w:rsid w:val="1F63358C"/>
    <w:rsid w:val="1F6D7F66"/>
    <w:rsid w:val="1F705CA9"/>
    <w:rsid w:val="1FAE2CF4"/>
    <w:rsid w:val="1FB65DB1"/>
    <w:rsid w:val="1FC3227C"/>
    <w:rsid w:val="1FC3402A"/>
    <w:rsid w:val="1FFB1A16"/>
    <w:rsid w:val="202C422E"/>
    <w:rsid w:val="202F7912"/>
    <w:rsid w:val="2031368A"/>
    <w:rsid w:val="20346CD6"/>
    <w:rsid w:val="206A26F8"/>
    <w:rsid w:val="20B47E17"/>
    <w:rsid w:val="20D61B3B"/>
    <w:rsid w:val="20FD17BE"/>
    <w:rsid w:val="213F5933"/>
    <w:rsid w:val="21507B40"/>
    <w:rsid w:val="21821CC3"/>
    <w:rsid w:val="21AD0AEE"/>
    <w:rsid w:val="21B43FEB"/>
    <w:rsid w:val="21E36C06"/>
    <w:rsid w:val="220F79FB"/>
    <w:rsid w:val="221C2118"/>
    <w:rsid w:val="223905D4"/>
    <w:rsid w:val="22511DC1"/>
    <w:rsid w:val="22995516"/>
    <w:rsid w:val="22A719E1"/>
    <w:rsid w:val="22AD2D70"/>
    <w:rsid w:val="22B10AB2"/>
    <w:rsid w:val="22BD2FB3"/>
    <w:rsid w:val="22CC31F6"/>
    <w:rsid w:val="23673BBD"/>
    <w:rsid w:val="239D35F1"/>
    <w:rsid w:val="24BE74B6"/>
    <w:rsid w:val="24DB3BC4"/>
    <w:rsid w:val="24E843AD"/>
    <w:rsid w:val="25270BB7"/>
    <w:rsid w:val="25632E34"/>
    <w:rsid w:val="257A162F"/>
    <w:rsid w:val="25AE3087"/>
    <w:rsid w:val="25C91C6F"/>
    <w:rsid w:val="25D82D31"/>
    <w:rsid w:val="26387907"/>
    <w:rsid w:val="263F63D5"/>
    <w:rsid w:val="26555BF8"/>
    <w:rsid w:val="267F4860"/>
    <w:rsid w:val="270D0281"/>
    <w:rsid w:val="271B4EC1"/>
    <w:rsid w:val="27231852"/>
    <w:rsid w:val="27391076"/>
    <w:rsid w:val="2744004B"/>
    <w:rsid w:val="274A3812"/>
    <w:rsid w:val="27771C57"/>
    <w:rsid w:val="27C6290A"/>
    <w:rsid w:val="27E965F8"/>
    <w:rsid w:val="28245882"/>
    <w:rsid w:val="283275E9"/>
    <w:rsid w:val="28433F5A"/>
    <w:rsid w:val="284D6B87"/>
    <w:rsid w:val="28A075FF"/>
    <w:rsid w:val="28A6098D"/>
    <w:rsid w:val="28B5297E"/>
    <w:rsid w:val="28B704A4"/>
    <w:rsid w:val="28BE5CD7"/>
    <w:rsid w:val="28D3348E"/>
    <w:rsid w:val="29064F88"/>
    <w:rsid w:val="29BB5D72"/>
    <w:rsid w:val="29DC5CEB"/>
    <w:rsid w:val="2A1A0CEB"/>
    <w:rsid w:val="2A257D96"/>
    <w:rsid w:val="2A693A20"/>
    <w:rsid w:val="2AAF1CFC"/>
    <w:rsid w:val="2AB96756"/>
    <w:rsid w:val="2ACB234D"/>
    <w:rsid w:val="2AEB2687"/>
    <w:rsid w:val="2B8C79C6"/>
    <w:rsid w:val="2B996587"/>
    <w:rsid w:val="2BA07B09"/>
    <w:rsid w:val="2BA61558"/>
    <w:rsid w:val="2BD870AF"/>
    <w:rsid w:val="2BF81500"/>
    <w:rsid w:val="2C106849"/>
    <w:rsid w:val="2C2220D9"/>
    <w:rsid w:val="2C4E51EB"/>
    <w:rsid w:val="2C5A7AC4"/>
    <w:rsid w:val="2C73502A"/>
    <w:rsid w:val="2C9254B0"/>
    <w:rsid w:val="2CA451E4"/>
    <w:rsid w:val="2CA86A82"/>
    <w:rsid w:val="2CCB451E"/>
    <w:rsid w:val="2CF00429"/>
    <w:rsid w:val="2D035001"/>
    <w:rsid w:val="2D104627"/>
    <w:rsid w:val="2D236108"/>
    <w:rsid w:val="2D391DD0"/>
    <w:rsid w:val="2D482013"/>
    <w:rsid w:val="2D746964"/>
    <w:rsid w:val="2DBE22D5"/>
    <w:rsid w:val="2DCA6ECC"/>
    <w:rsid w:val="2DE15B66"/>
    <w:rsid w:val="2E310CF9"/>
    <w:rsid w:val="2E3A5DFF"/>
    <w:rsid w:val="2E4C5B33"/>
    <w:rsid w:val="2E755089"/>
    <w:rsid w:val="2E9279E9"/>
    <w:rsid w:val="2E9C2616"/>
    <w:rsid w:val="2EB57234"/>
    <w:rsid w:val="2EB711FE"/>
    <w:rsid w:val="2EC21951"/>
    <w:rsid w:val="2EC61441"/>
    <w:rsid w:val="2EC90F31"/>
    <w:rsid w:val="2ED7364E"/>
    <w:rsid w:val="2EF37D5C"/>
    <w:rsid w:val="2F087CAC"/>
    <w:rsid w:val="2F0B154A"/>
    <w:rsid w:val="2F1C5505"/>
    <w:rsid w:val="2F266384"/>
    <w:rsid w:val="2F4A02C4"/>
    <w:rsid w:val="2F4D3910"/>
    <w:rsid w:val="2F68074A"/>
    <w:rsid w:val="2FDA2A33"/>
    <w:rsid w:val="2FDD4C94"/>
    <w:rsid w:val="2FF16992"/>
    <w:rsid w:val="30071D11"/>
    <w:rsid w:val="301E705B"/>
    <w:rsid w:val="305A62E5"/>
    <w:rsid w:val="30A77D27"/>
    <w:rsid w:val="30BA467A"/>
    <w:rsid w:val="30BA6D84"/>
    <w:rsid w:val="30BB3DCE"/>
    <w:rsid w:val="310D3357"/>
    <w:rsid w:val="313E1763"/>
    <w:rsid w:val="314B20D2"/>
    <w:rsid w:val="315471D8"/>
    <w:rsid w:val="315B004E"/>
    <w:rsid w:val="31603DCF"/>
    <w:rsid w:val="31723B02"/>
    <w:rsid w:val="31905D36"/>
    <w:rsid w:val="319E0453"/>
    <w:rsid w:val="31B1462B"/>
    <w:rsid w:val="31E57635"/>
    <w:rsid w:val="31EB11BF"/>
    <w:rsid w:val="31F757DF"/>
    <w:rsid w:val="31F84007"/>
    <w:rsid w:val="32221084"/>
    <w:rsid w:val="322272D6"/>
    <w:rsid w:val="32544FB6"/>
    <w:rsid w:val="32D57EA5"/>
    <w:rsid w:val="32EB0A1A"/>
    <w:rsid w:val="332B21BB"/>
    <w:rsid w:val="33437504"/>
    <w:rsid w:val="33A4112B"/>
    <w:rsid w:val="33C36A7B"/>
    <w:rsid w:val="33F7209D"/>
    <w:rsid w:val="340A1DD0"/>
    <w:rsid w:val="340D208A"/>
    <w:rsid w:val="34256C0A"/>
    <w:rsid w:val="34433534"/>
    <w:rsid w:val="344A041F"/>
    <w:rsid w:val="344E43B3"/>
    <w:rsid w:val="349873DC"/>
    <w:rsid w:val="349F4C0E"/>
    <w:rsid w:val="34CA155F"/>
    <w:rsid w:val="353510CF"/>
    <w:rsid w:val="35613C72"/>
    <w:rsid w:val="3569521C"/>
    <w:rsid w:val="35773495"/>
    <w:rsid w:val="35CA5CBB"/>
    <w:rsid w:val="35CE6E2D"/>
    <w:rsid w:val="362353CB"/>
    <w:rsid w:val="36EE3C2B"/>
    <w:rsid w:val="36F66F57"/>
    <w:rsid w:val="37411FAD"/>
    <w:rsid w:val="37490E61"/>
    <w:rsid w:val="37555A58"/>
    <w:rsid w:val="37DE3C9F"/>
    <w:rsid w:val="3857135C"/>
    <w:rsid w:val="386A108F"/>
    <w:rsid w:val="38832151"/>
    <w:rsid w:val="388530FB"/>
    <w:rsid w:val="38A071A7"/>
    <w:rsid w:val="38E2331B"/>
    <w:rsid w:val="38FE5C7B"/>
    <w:rsid w:val="39007C46"/>
    <w:rsid w:val="3914549F"/>
    <w:rsid w:val="399432C0"/>
    <w:rsid w:val="39BC591B"/>
    <w:rsid w:val="3A1219DE"/>
    <w:rsid w:val="3A687850"/>
    <w:rsid w:val="3A7601BF"/>
    <w:rsid w:val="3AC30F2B"/>
    <w:rsid w:val="3AD209D9"/>
    <w:rsid w:val="3AEF3ACE"/>
    <w:rsid w:val="3AF13CEA"/>
    <w:rsid w:val="3B1B2B15"/>
    <w:rsid w:val="3B2D45F6"/>
    <w:rsid w:val="3B950B19"/>
    <w:rsid w:val="3BEB0999"/>
    <w:rsid w:val="3C2D2B00"/>
    <w:rsid w:val="3C577B7C"/>
    <w:rsid w:val="3C5C74D9"/>
    <w:rsid w:val="3C7733FA"/>
    <w:rsid w:val="3C7C5835"/>
    <w:rsid w:val="3CAD59EE"/>
    <w:rsid w:val="3CD029E3"/>
    <w:rsid w:val="3CE31410"/>
    <w:rsid w:val="3CE33B06"/>
    <w:rsid w:val="3D4A5933"/>
    <w:rsid w:val="3DDA6CB7"/>
    <w:rsid w:val="3DEE4511"/>
    <w:rsid w:val="3E083824"/>
    <w:rsid w:val="3E1C72D0"/>
    <w:rsid w:val="3E530817"/>
    <w:rsid w:val="3E5325C6"/>
    <w:rsid w:val="3E777A0C"/>
    <w:rsid w:val="3E8310FD"/>
    <w:rsid w:val="3E8D3D29"/>
    <w:rsid w:val="3E946E66"/>
    <w:rsid w:val="3EA64DEB"/>
    <w:rsid w:val="3EB07A18"/>
    <w:rsid w:val="3ECD05CA"/>
    <w:rsid w:val="3EDB2CE7"/>
    <w:rsid w:val="3F3423F7"/>
    <w:rsid w:val="3F4563B2"/>
    <w:rsid w:val="3F47212A"/>
    <w:rsid w:val="3F4C7741"/>
    <w:rsid w:val="3F6A31A9"/>
    <w:rsid w:val="3FB672B0"/>
    <w:rsid w:val="3FBB766D"/>
    <w:rsid w:val="3FD85478"/>
    <w:rsid w:val="3FEB51AC"/>
    <w:rsid w:val="4004626D"/>
    <w:rsid w:val="40112738"/>
    <w:rsid w:val="40297A82"/>
    <w:rsid w:val="402E32EA"/>
    <w:rsid w:val="40420B44"/>
    <w:rsid w:val="406B009A"/>
    <w:rsid w:val="409C4D60"/>
    <w:rsid w:val="40CC430E"/>
    <w:rsid w:val="40D519B8"/>
    <w:rsid w:val="40F167F2"/>
    <w:rsid w:val="4105404B"/>
    <w:rsid w:val="41434B73"/>
    <w:rsid w:val="4168282C"/>
    <w:rsid w:val="41A03D74"/>
    <w:rsid w:val="41CA2B9F"/>
    <w:rsid w:val="41D43A1D"/>
    <w:rsid w:val="41DD6D76"/>
    <w:rsid w:val="41E225DE"/>
    <w:rsid w:val="41E974C9"/>
    <w:rsid w:val="41FB148E"/>
    <w:rsid w:val="42187DAE"/>
    <w:rsid w:val="423C1CEE"/>
    <w:rsid w:val="42A67168"/>
    <w:rsid w:val="43056584"/>
    <w:rsid w:val="430B346F"/>
    <w:rsid w:val="43544E16"/>
    <w:rsid w:val="43754D8C"/>
    <w:rsid w:val="439173D3"/>
    <w:rsid w:val="43CF26EE"/>
    <w:rsid w:val="43F860E9"/>
    <w:rsid w:val="440920A4"/>
    <w:rsid w:val="441D16AC"/>
    <w:rsid w:val="442567B2"/>
    <w:rsid w:val="443A04B0"/>
    <w:rsid w:val="44427364"/>
    <w:rsid w:val="44507CD3"/>
    <w:rsid w:val="445552E9"/>
    <w:rsid w:val="446A2417"/>
    <w:rsid w:val="44823C05"/>
    <w:rsid w:val="4496320C"/>
    <w:rsid w:val="44B244EA"/>
    <w:rsid w:val="44BE5DD5"/>
    <w:rsid w:val="44C22253"/>
    <w:rsid w:val="450E5498"/>
    <w:rsid w:val="45324524"/>
    <w:rsid w:val="454113CA"/>
    <w:rsid w:val="454F7F8B"/>
    <w:rsid w:val="45603F46"/>
    <w:rsid w:val="45B147A1"/>
    <w:rsid w:val="45E76415"/>
    <w:rsid w:val="45F823D0"/>
    <w:rsid w:val="45F8417E"/>
    <w:rsid w:val="463E3B5B"/>
    <w:rsid w:val="464253F9"/>
    <w:rsid w:val="46603AD2"/>
    <w:rsid w:val="468974CC"/>
    <w:rsid w:val="46AC4F69"/>
    <w:rsid w:val="46C44060"/>
    <w:rsid w:val="46C978C9"/>
    <w:rsid w:val="46D1677D"/>
    <w:rsid w:val="46FC37FA"/>
    <w:rsid w:val="47490C0E"/>
    <w:rsid w:val="475F68C4"/>
    <w:rsid w:val="47631ACB"/>
    <w:rsid w:val="476B4E24"/>
    <w:rsid w:val="476F65BA"/>
    <w:rsid w:val="47AA14A8"/>
    <w:rsid w:val="47F60B91"/>
    <w:rsid w:val="482254E2"/>
    <w:rsid w:val="4847319B"/>
    <w:rsid w:val="486F624E"/>
    <w:rsid w:val="4871646A"/>
    <w:rsid w:val="487675DC"/>
    <w:rsid w:val="489B69E5"/>
    <w:rsid w:val="48AF2AEE"/>
    <w:rsid w:val="48CA4BC2"/>
    <w:rsid w:val="48FA020D"/>
    <w:rsid w:val="49153299"/>
    <w:rsid w:val="49396F88"/>
    <w:rsid w:val="49423962"/>
    <w:rsid w:val="4962490E"/>
    <w:rsid w:val="49AD1724"/>
    <w:rsid w:val="49CD76D0"/>
    <w:rsid w:val="49E50EBD"/>
    <w:rsid w:val="4A0330F2"/>
    <w:rsid w:val="4A064990"/>
    <w:rsid w:val="4A162E25"/>
    <w:rsid w:val="4A1672C9"/>
    <w:rsid w:val="4A2117CA"/>
    <w:rsid w:val="4A25750C"/>
    <w:rsid w:val="4A361719"/>
    <w:rsid w:val="4A5E47CC"/>
    <w:rsid w:val="4A722025"/>
    <w:rsid w:val="4A8C70C9"/>
    <w:rsid w:val="4A964557"/>
    <w:rsid w:val="4AB16FF2"/>
    <w:rsid w:val="4AD44F71"/>
    <w:rsid w:val="4AF07B1A"/>
    <w:rsid w:val="4AFA4303"/>
    <w:rsid w:val="4B1A1E03"/>
    <w:rsid w:val="4B1F5D09"/>
    <w:rsid w:val="4B410375"/>
    <w:rsid w:val="4B531E57"/>
    <w:rsid w:val="4B6202EC"/>
    <w:rsid w:val="4B7047B7"/>
    <w:rsid w:val="4B7638AC"/>
    <w:rsid w:val="4BC92AF4"/>
    <w:rsid w:val="4BCD1C09"/>
    <w:rsid w:val="4BD56D10"/>
    <w:rsid w:val="4C2A6FF1"/>
    <w:rsid w:val="4C3C0B3D"/>
    <w:rsid w:val="4C4A5008"/>
    <w:rsid w:val="4C7D362F"/>
    <w:rsid w:val="4C83676C"/>
    <w:rsid w:val="4C854292"/>
    <w:rsid w:val="4CB716E0"/>
    <w:rsid w:val="4CF907DC"/>
    <w:rsid w:val="4D371A30"/>
    <w:rsid w:val="4D6F764D"/>
    <w:rsid w:val="4D7C38E7"/>
    <w:rsid w:val="4DBA440F"/>
    <w:rsid w:val="4DCB03CA"/>
    <w:rsid w:val="4DD51249"/>
    <w:rsid w:val="4DE1374A"/>
    <w:rsid w:val="4DE41406"/>
    <w:rsid w:val="4DFA4CDF"/>
    <w:rsid w:val="4DFF1E22"/>
    <w:rsid w:val="4E263853"/>
    <w:rsid w:val="4E324158"/>
    <w:rsid w:val="4E6A7057"/>
    <w:rsid w:val="4E7B594C"/>
    <w:rsid w:val="4E8D38D2"/>
    <w:rsid w:val="4E946A0E"/>
    <w:rsid w:val="4E9B5FEF"/>
    <w:rsid w:val="4E9C58C3"/>
    <w:rsid w:val="4ECC61A8"/>
    <w:rsid w:val="4ED816D8"/>
    <w:rsid w:val="4ED84B4D"/>
    <w:rsid w:val="4EF63225"/>
    <w:rsid w:val="4F0E4A13"/>
    <w:rsid w:val="4F4E12B3"/>
    <w:rsid w:val="4F732AC8"/>
    <w:rsid w:val="50046A56"/>
    <w:rsid w:val="50151DD1"/>
    <w:rsid w:val="502B33A2"/>
    <w:rsid w:val="505C7A00"/>
    <w:rsid w:val="506643DA"/>
    <w:rsid w:val="506B379F"/>
    <w:rsid w:val="506D5769"/>
    <w:rsid w:val="50827466"/>
    <w:rsid w:val="508B3E41"/>
    <w:rsid w:val="50E0418D"/>
    <w:rsid w:val="510F4A72"/>
    <w:rsid w:val="51136310"/>
    <w:rsid w:val="512247A5"/>
    <w:rsid w:val="512E314A"/>
    <w:rsid w:val="51586419"/>
    <w:rsid w:val="515A3F3F"/>
    <w:rsid w:val="518A40F8"/>
    <w:rsid w:val="51A21442"/>
    <w:rsid w:val="51CC4711"/>
    <w:rsid w:val="520914C1"/>
    <w:rsid w:val="523A42C3"/>
    <w:rsid w:val="525C3CE7"/>
    <w:rsid w:val="532C36B9"/>
    <w:rsid w:val="53493DBC"/>
    <w:rsid w:val="53925CA4"/>
    <w:rsid w:val="53C75190"/>
    <w:rsid w:val="53EE096F"/>
    <w:rsid w:val="5418783D"/>
    <w:rsid w:val="54414F42"/>
    <w:rsid w:val="545F5823"/>
    <w:rsid w:val="54680721"/>
    <w:rsid w:val="55052414"/>
    <w:rsid w:val="553E1482"/>
    <w:rsid w:val="55990DAE"/>
    <w:rsid w:val="55B94FAC"/>
    <w:rsid w:val="560721BC"/>
    <w:rsid w:val="56A65531"/>
    <w:rsid w:val="56B769A1"/>
    <w:rsid w:val="571921A6"/>
    <w:rsid w:val="571F6745"/>
    <w:rsid w:val="577E025B"/>
    <w:rsid w:val="57AC6B77"/>
    <w:rsid w:val="57C352ED"/>
    <w:rsid w:val="57CF2865"/>
    <w:rsid w:val="57D367F9"/>
    <w:rsid w:val="57EE718F"/>
    <w:rsid w:val="588B2C30"/>
    <w:rsid w:val="589D2963"/>
    <w:rsid w:val="58F033DB"/>
    <w:rsid w:val="5901687A"/>
    <w:rsid w:val="59DE4FE1"/>
    <w:rsid w:val="59E00D5A"/>
    <w:rsid w:val="59E545C2"/>
    <w:rsid w:val="59E913FD"/>
    <w:rsid w:val="5A7D3939"/>
    <w:rsid w:val="5A821E11"/>
    <w:rsid w:val="5AA13FB5"/>
    <w:rsid w:val="5AA20705"/>
    <w:rsid w:val="5AA22340"/>
    <w:rsid w:val="5AC16DDD"/>
    <w:rsid w:val="5B2555BE"/>
    <w:rsid w:val="5B2A2BD4"/>
    <w:rsid w:val="5B3475AF"/>
    <w:rsid w:val="5B6E1865"/>
    <w:rsid w:val="5BA67D81"/>
    <w:rsid w:val="5BB10BFF"/>
    <w:rsid w:val="5BCD355F"/>
    <w:rsid w:val="5BE025A1"/>
    <w:rsid w:val="5BEF34D6"/>
    <w:rsid w:val="5C321615"/>
    <w:rsid w:val="5C401F83"/>
    <w:rsid w:val="5C423F4D"/>
    <w:rsid w:val="5C846314"/>
    <w:rsid w:val="5C9B365E"/>
    <w:rsid w:val="5CA249EC"/>
    <w:rsid w:val="5CB70498"/>
    <w:rsid w:val="5CC2508E"/>
    <w:rsid w:val="5CCD7CBB"/>
    <w:rsid w:val="5D064F7B"/>
    <w:rsid w:val="5D852344"/>
    <w:rsid w:val="5DA84284"/>
    <w:rsid w:val="5DB6659A"/>
    <w:rsid w:val="5E20206C"/>
    <w:rsid w:val="5E2733FB"/>
    <w:rsid w:val="5E3653EC"/>
    <w:rsid w:val="5E443FAD"/>
    <w:rsid w:val="5EB0690E"/>
    <w:rsid w:val="5F0454EA"/>
    <w:rsid w:val="5F053010"/>
    <w:rsid w:val="5F4D1265"/>
    <w:rsid w:val="5F571ABE"/>
    <w:rsid w:val="5F7D704B"/>
    <w:rsid w:val="5F9E593F"/>
    <w:rsid w:val="5FB011CE"/>
    <w:rsid w:val="5FC658F2"/>
    <w:rsid w:val="5FD56E87"/>
    <w:rsid w:val="5FE61FB3"/>
    <w:rsid w:val="60395667"/>
    <w:rsid w:val="60634492"/>
    <w:rsid w:val="607A6786"/>
    <w:rsid w:val="6094614B"/>
    <w:rsid w:val="60A06F01"/>
    <w:rsid w:val="60D65E11"/>
    <w:rsid w:val="61047A23"/>
    <w:rsid w:val="611F485D"/>
    <w:rsid w:val="61286B5F"/>
    <w:rsid w:val="612B4F22"/>
    <w:rsid w:val="613100ED"/>
    <w:rsid w:val="61371BA7"/>
    <w:rsid w:val="6155027F"/>
    <w:rsid w:val="615A7643"/>
    <w:rsid w:val="61695AD8"/>
    <w:rsid w:val="61A22D98"/>
    <w:rsid w:val="61BD6AB9"/>
    <w:rsid w:val="61C947C9"/>
    <w:rsid w:val="61CA5F36"/>
    <w:rsid w:val="61E15FB7"/>
    <w:rsid w:val="620852F1"/>
    <w:rsid w:val="62122BFA"/>
    <w:rsid w:val="624326C5"/>
    <w:rsid w:val="62483940"/>
    <w:rsid w:val="62546789"/>
    <w:rsid w:val="62572235"/>
    <w:rsid w:val="6265400B"/>
    <w:rsid w:val="628E1C9B"/>
    <w:rsid w:val="62B80AC5"/>
    <w:rsid w:val="62DE42A4"/>
    <w:rsid w:val="63181564"/>
    <w:rsid w:val="63302D52"/>
    <w:rsid w:val="63312626"/>
    <w:rsid w:val="633A3BD0"/>
    <w:rsid w:val="638C3D00"/>
    <w:rsid w:val="639A01CB"/>
    <w:rsid w:val="63CD05A1"/>
    <w:rsid w:val="63FA510E"/>
    <w:rsid w:val="63FC0E86"/>
    <w:rsid w:val="63FF2724"/>
    <w:rsid w:val="640815D9"/>
    <w:rsid w:val="643E0737"/>
    <w:rsid w:val="64416899"/>
    <w:rsid w:val="647153D0"/>
    <w:rsid w:val="649410BE"/>
    <w:rsid w:val="64CC6AAA"/>
    <w:rsid w:val="64E831B8"/>
    <w:rsid w:val="651B358E"/>
    <w:rsid w:val="658C06CC"/>
    <w:rsid w:val="65A17F37"/>
    <w:rsid w:val="65C77271"/>
    <w:rsid w:val="65E322FD"/>
    <w:rsid w:val="66742F55"/>
    <w:rsid w:val="66815672"/>
    <w:rsid w:val="66974E96"/>
    <w:rsid w:val="66C7577B"/>
    <w:rsid w:val="66E31E89"/>
    <w:rsid w:val="670267B3"/>
    <w:rsid w:val="67073DC9"/>
    <w:rsid w:val="67424E02"/>
    <w:rsid w:val="67656C55"/>
    <w:rsid w:val="67803B7C"/>
    <w:rsid w:val="678C2521"/>
    <w:rsid w:val="67D97D85"/>
    <w:rsid w:val="67E74CB7"/>
    <w:rsid w:val="682B138A"/>
    <w:rsid w:val="683E7CBF"/>
    <w:rsid w:val="68872764"/>
    <w:rsid w:val="68B97345"/>
    <w:rsid w:val="68C61A62"/>
    <w:rsid w:val="68D128E1"/>
    <w:rsid w:val="68D979E8"/>
    <w:rsid w:val="69280027"/>
    <w:rsid w:val="69472BA3"/>
    <w:rsid w:val="69564B94"/>
    <w:rsid w:val="69603C65"/>
    <w:rsid w:val="696712DD"/>
    <w:rsid w:val="69913E1E"/>
    <w:rsid w:val="699F29DF"/>
    <w:rsid w:val="69A91168"/>
    <w:rsid w:val="69D6066A"/>
    <w:rsid w:val="69FC2CB2"/>
    <w:rsid w:val="6A0960AB"/>
    <w:rsid w:val="6A2904FB"/>
    <w:rsid w:val="6A615EE7"/>
    <w:rsid w:val="6A8614A9"/>
    <w:rsid w:val="6A8A71EB"/>
    <w:rsid w:val="6AAB0F10"/>
    <w:rsid w:val="6AC16985"/>
    <w:rsid w:val="6AEA1A38"/>
    <w:rsid w:val="6B2553EB"/>
    <w:rsid w:val="6B2A08A1"/>
    <w:rsid w:val="6B415118"/>
    <w:rsid w:val="6B636E87"/>
    <w:rsid w:val="6B7D0AFE"/>
    <w:rsid w:val="6C2471CC"/>
    <w:rsid w:val="6C3D203B"/>
    <w:rsid w:val="6C4164D2"/>
    <w:rsid w:val="6C5555D7"/>
    <w:rsid w:val="6C591959"/>
    <w:rsid w:val="6CB467A2"/>
    <w:rsid w:val="6D035033"/>
    <w:rsid w:val="6D1A412B"/>
    <w:rsid w:val="6D205BE5"/>
    <w:rsid w:val="6D2819A2"/>
    <w:rsid w:val="6D2C27DC"/>
    <w:rsid w:val="6D3276C6"/>
    <w:rsid w:val="6D4118D6"/>
    <w:rsid w:val="6D4D0230"/>
    <w:rsid w:val="6D505D9E"/>
    <w:rsid w:val="6D65211F"/>
    <w:rsid w:val="6D7D4DE5"/>
    <w:rsid w:val="6D82064E"/>
    <w:rsid w:val="6DA265FA"/>
    <w:rsid w:val="6DE76703"/>
    <w:rsid w:val="6E061605"/>
    <w:rsid w:val="6E4C0C5C"/>
    <w:rsid w:val="6E625D89"/>
    <w:rsid w:val="6E6B10E2"/>
    <w:rsid w:val="6E724890"/>
    <w:rsid w:val="6E853024"/>
    <w:rsid w:val="6E880CAE"/>
    <w:rsid w:val="6F141779"/>
    <w:rsid w:val="6F280D81"/>
    <w:rsid w:val="6F2E3EBD"/>
    <w:rsid w:val="6F410095"/>
    <w:rsid w:val="6F451933"/>
    <w:rsid w:val="6F4656AB"/>
    <w:rsid w:val="6F6B6EC0"/>
    <w:rsid w:val="6F7C731F"/>
    <w:rsid w:val="6FB02A59"/>
    <w:rsid w:val="6FCA1717"/>
    <w:rsid w:val="6FD44A65"/>
    <w:rsid w:val="6FD9651F"/>
    <w:rsid w:val="6FEF7AF1"/>
    <w:rsid w:val="6FFB2412"/>
    <w:rsid w:val="70076BE8"/>
    <w:rsid w:val="70205EFC"/>
    <w:rsid w:val="7048742A"/>
    <w:rsid w:val="704B11CB"/>
    <w:rsid w:val="70C40F7D"/>
    <w:rsid w:val="70FB7A42"/>
    <w:rsid w:val="711A6DEF"/>
    <w:rsid w:val="71341C5F"/>
    <w:rsid w:val="714D0F73"/>
    <w:rsid w:val="715E0A8A"/>
    <w:rsid w:val="718F158B"/>
    <w:rsid w:val="71993AC6"/>
    <w:rsid w:val="71AD1A11"/>
    <w:rsid w:val="71B608C6"/>
    <w:rsid w:val="71C823A7"/>
    <w:rsid w:val="71CB1E97"/>
    <w:rsid w:val="71F66F14"/>
    <w:rsid w:val="720930EC"/>
    <w:rsid w:val="723143F0"/>
    <w:rsid w:val="7238577F"/>
    <w:rsid w:val="72444124"/>
    <w:rsid w:val="724951A4"/>
    <w:rsid w:val="72785B7B"/>
    <w:rsid w:val="72A44BC2"/>
    <w:rsid w:val="72BF7C4E"/>
    <w:rsid w:val="73486879"/>
    <w:rsid w:val="735F4F8D"/>
    <w:rsid w:val="736A5E0C"/>
    <w:rsid w:val="7375030D"/>
    <w:rsid w:val="73F25E01"/>
    <w:rsid w:val="740A314B"/>
    <w:rsid w:val="746E6F92"/>
    <w:rsid w:val="74791404"/>
    <w:rsid w:val="748B2FEC"/>
    <w:rsid w:val="749D3FBF"/>
    <w:rsid w:val="74A37283"/>
    <w:rsid w:val="74C57072"/>
    <w:rsid w:val="74C74B98"/>
    <w:rsid w:val="74CB28DA"/>
    <w:rsid w:val="74EC2851"/>
    <w:rsid w:val="75063912"/>
    <w:rsid w:val="75120509"/>
    <w:rsid w:val="75241FEA"/>
    <w:rsid w:val="75742F72"/>
    <w:rsid w:val="757745A1"/>
    <w:rsid w:val="75952EE8"/>
    <w:rsid w:val="75A44ED9"/>
    <w:rsid w:val="75AB0B47"/>
    <w:rsid w:val="75BE243F"/>
    <w:rsid w:val="75EE05B1"/>
    <w:rsid w:val="76004806"/>
    <w:rsid w:val="761A519B"/>
    <w:rsid w:val="764F753B"/>
    <w:rsid w:val="76DF3F22"/>
    <w:rsid w:val="76E2206F"/>
    <w:rsid w:val="77183DD1"/>
    <w:rsid w:val="771C566F"/>
    <w:rsid w:val="774D11B5"/>
    <w:rsid w:val="775A5DB7"/>
    <w:rsid w:val="77844FC2"/>
    <w:rsid w:val="77D221D2"/>
    <w:rsid w:val="77DE2925"/>
    <w:rsid w:val="783469E8"/>
    <w:rsid w:val="78676109"/>
    <w:rsid w:val="78AC657F"/>
    <w:rsid w:val="7990080B"/>
    <w:rsid w:val="79AC0800"/>
    <w:rsid w:val="79B91924"/>
    <w:rsid w:val="79DC2CE5"/>
    <w:rsid w:val="7A0A5C53"/>
    <w:rsid w:val="7A1940E8"/>
    <w:rsid w:val="7A4647B1"/>
    <w:rsid w:val="7A5A200A"/>
    <w:rsid w:val="7A756E44"/>
    <w:rsid w:val="7A777060"/>
    <w:rsid w:val="7AA65250"/>
    <w:rsid w:val="7AA80FC8"/>
    <w:rsid w:val="7AD718AD"/>
    <w:rsid w:val="7ADB75EF"/>
    <w:rsid w:val="7AF1296F"/>
    <w:rsid w:val="7B130B37"/>
    <w:rsid w:val="7B3665D4"/>
    <w:rsid w:val="7B51340D"/>
    <w:rsid w:val="7B6E0463"/>
    <w:rsid w:val="7B7B66DC"/>
    <w:rsid w:val="7B9E57E0"/>
    <w:rsid w:val="7BA20856"/>
    <w:rsid w:val="7BD007D6"/>
    <w:rsid w:val="7C0146FA"/>
    <w:rsid w:val="7C0B6016"/>
    <w:rsid w:val="7C32323F"/>
    <w:rsid w:val="7C3D3992"/>
    <w:rsid w:val="7C43544C"/>
    <w:rsid w:val="7C5036C5"/>
    <w:rsid w:val="7C5F1B5A"/>
    <w:rsid w:val="7C6453C2"/>
    <w:rsid w:val="7CA73C2D"/>
    <w:rsid w:val="7CB023B6"/>
    <w:rsid w:val="7CC7607D"/>
    <w:rsid w:val="7CE34539"/>
    <w:rsid w:val="7D24527D"/>
    <w:rsid w:val="7D537911"/>
    <w:rsid w:val="7D7060B6"/>
    <w:rsid w:val="7D8E6B9B"/>
    <w:rsid w:val="7DB54128"/>
    <w:rsid w:val="7DEC38C1"/>
    <w:rsid w:val="7E123328"/>
    <w:rsid w:val="7E3F39F1"/>
    <w:rsid w:val="7E44083E"/>
    <w:rsid w:val="7E697346"/>
    <w:rsid w:val="7E861620"/>
    <w:rsid w:val="7E867FD7"/>
    <w:rsid w:val="7EC26238"/>
    <w:rsid w:val="7EEF3669"/>
    <w:rsid w:val="7EEF71C5"/>
    <w:rsid w:val="7EFE1AFE"/>
    <w:rsid w:val="7EFF6F9C"/>
    <w:rsid w:val="7F21759B"/>
    <w:rsid w:val="7F324AA5"/>
    <w:rsid w:val="7F853FCE"/>
    <w:rsid w:val="7F954211"/>
    <w:rsid w:val="7F9E0BEB"/>
    <w:rsid w:val="7FB64187"/>
    <w:rsid w:val="7FE743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6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6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4"/>
    <w:semiHidden/>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5">
    <w:name w:val="annotation text"/>
    <w:basedOn w:val="1"/>
    <w:link w:val="25"/>
    <w:autoRedefine/>
    <w:unhideWhenUsed/>
    <w:qFormat/>
    <w:uiPriority w:val="99"/>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0"/>
      <w:lang w:val="en-US" w:eastAsia="zh-CN" w:bidi="ar"/>
    </w:rPr>
  </w:style>
  <w:style w:type="paragraph" w:styleId="6">
    <w:name w:val="Body Text"/>
    <w:basedOn w:val="1"/>
    <w:link w:val="29"/>
    <w:unhideWhenUsed/>
    <w:qFormat/>
    <w:uiPriority w:val="99"/>
    <w:pPr>
      <w:spacing w:after="120"/>
    </w:pPr>
  </w:style>
  <w:style w:type="paragraph" w:styleId="7">
    <w:name w:val="Body Text Indent"/>
    <w:basedOn w:val="1"/>
    <w:link w:val="27"/>
    <w:unhideWhenUsed/>
    <w:qFormat/>
    <w:uiPriority w:val="0"/>
    <w:pPr>
      <w:spacing w:after="120"/>
      <w:ind w:left="420" w:leftChars="200"/>
    </w:pPr>
    <w:rPr>
      <w:rFonts w:ascii="Times New Roman" w:hAnsi="Times New Roman" w:eastAsia="宋体" w:cs="Times New Roman"/>
      <w:kern w:val="0"/>
      <w:sz w:val="20"/>
      <w:szCs w:val="24"/>
    </w:rPr>
  </w:style>
  <w:style w:type="paragraph" w:styleId="8">
    <w:name w:val="Balloon Text"/>
    <w:basedOn w:val="1"/>
    <w:link w:val="24"/>
    <w:semiHidden/>
    <w:unhideWhenUsed/>
    <w:qFormat/>
    <w:uiPriority w:val="99"/>
    <w:rPr>
      <w:sz w:val="18"/>
      <w:szCs w:val="18"/>
    </w:rPr>
  </w:style>
  <w:style w:type="paragraph" w:styleId="9">
    <w:name w:val="footer"/>
    <w:basedOn w:val="1"/>
    <w:link w:val="36"/>
    <w:unhideWhenUsed/>
    <w:qFormat/>
    <w:uiPriority w:val="99"/>
    <w:pPr>
      <w:tabs>
        <w:tab w:val="center" w:pos="4153"/>
        <w:tab w:val="right" w:pos="8306"/>
      </w:tabs>
      <w:snapToGrid w:val="0"/>
      <w:jc w:val="left"/>
    </w:pPr>
    <w:rPr>
      <w:sz w:val="18"/>
      <w:szCs w:val="18"/>
    </w:rPr>
  </w:style>
  <w:style w:type="paragraph" w:styleId="10">
    <w:name w:val="header"/>
    <w:basedOn w:val="1"/>
    <w:link w:val="3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Indent 3"/>
    <w:next w:val="12"/>
    <w:link w:val="34"/>
    <w:semi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
    <w:name w:val="样式 正文文本缩进 3 + 左侧:  2 字符"/>
    <w:basedOn w:val="1"/>
    <w:qFormat/>
    <w:uiPriority w:val="0"/>
  </w:style>
  <w:style w:type="paragraph" w:styleId="13">
    <w:name w:val="Body Text 2"/>
    <w:basedOn w:val="1"/>
    <w:link w:val="56"/>
    <w:semiHidden/>
    <w:unhideWhenUsed/>
    <w:qFormat/>
    <w:uiPriority w:val="99"/>
    <w:pPr>
      <w:spacing w:after="120" w:line="480" w:lineRule="auto"/>
    </w:pPr>
  </w:style>
  <w:style w:type="paragraph" w:styleId="14">
    <w:name w:val="Normal (Web)"/>
    <w:basedOn w:val="1"/>
    <w:link w:val="23"/>
    <w:qFormat/>
    <w:uiPriority w:val="99"/>
    <w:pPr>
      <w:widowControl/>
      <w:spacing w:before="100" w:beforeAutospacing="1" w:after="100" w:afterAutospacing="1"/>
      <w:jc w:val="left"/>
    </w:pPr>
    <w:rPr>
      <w:rFonts w:ascii="宋体" w:hAnsi="宋体" w:eastAsia="宋体"/>
      <w:sz w:val="24"/>
    </w:rPr>
  </w:style>
  <w:style w:type="paragraph" w:styleId="15">
    <w:name w:val="annotation subject"/>
    <w:basedOn w:val="5"/>
    <w:next w:val="5"/>
    <w:link w:val="26"/>
    <w:semiHidden/>
    <w:unhideWhenUsed/>
    <w:qFormat/>
    <w:uiPriority w:val="99"/>
    <w:rPr>
      <w:b/>
      <w:bCs/>
    </w:rPr>
  </w:style>
  <w:style w:type="paragraph" w:styleId="16">
    <w:name w:val="Body Text First Indent"/>
    <w:basedOn w:val="6"/>
    <w:link w:val="30"/>
    <w:autoRedefine/>
    <w:semiHidden/>
    <w:unhideWhenUsed/>
    <w:qFormat/>
    <w:uiPriority w:val="99"/>
    <w:pPr>
      <w:ind w:firstLine="420" w:firstLineChars="100"/>
    </w:pPr>
  </w:style>
  <w:style w:type="table" w:styleId="18">
    <w:name w:val="Table Grid"/>
    <w:basedOn w:val="1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0">
    <w:name w:val="Strong"/>
    <w:basedOn w:val="19"/>
    <w:qFormat/>
    <w:uiPriority w:val="22"/>
    <w:rPr>
      <w:b/>
      <w:bCs/>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styleId="22">
    <w:name w:val="annotation reference"/>
    <w:basedOn w:val="19"/>
    <w:autoRedefine/>
    <w:unhideWhenUsed/>
    <w:qFormat/>
    <w:uiPriority w:val="0"/>
    <w:rPr>
      <w:sz w:val="21"/>
      <w:szCs w:val="21"/>
    </w:rPr>
  </w:style>
  <w:style w:type="character" w:customStyle="1" w:styleId="23">
    <w:name w:val="普通(网站) Char"/>
    <w:link w:val="14"/>
    <w:qFormat/>
    <w:locked/>
    <w:uiPriority w:val="0"/>
    <w:rPr>
      <w:rFonts w:ascii="宋体" w:hAnsi="宋体" w:eastAsia="宋体"/>
      <w:sz w:val="24"/>
    </w:rPr>
  </w:style>
  <w:style w:type="character" w:customStyle="1" w:styleId="24">
    <w:name w:val="批注框文本 Char"/>
    <w:basedOn w:val="19"/>
    <w:link w:val="8"/>
    <w:autoRedefine/>
    <w:semiHidden/>
    <w:qFormat/>
    <w:uiPriority w:val="99"/>
    <w:rPr>
      <w:sz w:val="18"/>
      <w:szCs w:val="18"/>
    </w:rPr>
  </w:style>
  <w:style w:type="character" w:customStyle="1" w:styleId="25">
    <w:name w:val="批注文字 Char"/>
    <w:basedOn w:val="19"/>
    <w:link w:val="5"/>
    <w:qFormat/>
    <w:uiPriority w:val="99"/>
  </w:style>
  <w:style w:type="character" w:customStyle="1" w:styleId="26">
    <w:name w:val="批注主题 Char"/>
    <w:basedOn w:val="25"/>
    <w:link w:val="15"/>
    <w:semiHidden/>
    <w:qFormat/>
    <w:uiPriority w:val="99"/>
    <w:rPr>
      <w:b/>
      <w:bCs/>
    </w:rPr>
  </w:style>
  <w:style w:type="character" w:customStyle="1" w:styleId="27">
    <w:name w:val="正文文本缩进 Char"/>
    <w:basedOn w:val="19"/>
    <w:link w:val="7"/>
    <w:qFormat/>
    <w:uiPriority w:val="0"/>
    <w:rPr>
      <w:rFonts w:ascii="Times New Roman" w:hAnsi="Times New Roman" w:eastAsia="宋体" w:cs="Times New Roman"/>
      <w:kern w:val="0"/>
      <w:sz w:val="20"/>
      <w:szCs w:val="24"/>
    </w:rPr>
  </w:style>
  <w:style w:type="paragraph" w:customStyle="1" w:styleId="28">
    <w:name w:val="MFS正文 Char"/>
    <w:basedOn w:val="16"/>
    <w:autoRedefine/>
    <w:qFormat/>
    <w:uiPriority w:val="0"/>
    <w:pPr>
      <w:adjustRightInd w:val="0"/>
      <w:snapToGrid w:val="0"/>
      <w:spacing w:before="93" w:line="360" w:lineRule="auto"/>
      <w:ind w:firstLine="200" w:firstLineChars="200"/>
    </w:pPr>
    <w:rPr>
      <w:rFonts w:ascii="Times New Roman" w:hAnsi="Times New Roman" w:eastAsia="楷体_GB2312" w:cs="Times New Roman"/>
      <w:sz w:val="24"/>
      <w:szCs w:val="24"/>
    </w:rPr>
  </w:style>
  <w:style w:type="character" w:customStyle="1" w:styleId="29">
    <w:name w:val="正文文本 Char"/>
    <w:basedOn w:val="19"/>
    <w:link w:val="6"/>
    <w:qFormat/>
    <w:uiPriority w:val="99"/>
  </w:style>
  <w:style w:type="character" w:customStyle="1" w:styleId="30">
    <w:name w:val="正文首行缩进 Char"/>
    <w:basedOn w:val="29"/>
    <w:link w:val="16"/>
    <w:semiHidden/>
    <w:qFormat/>
    <w:uiPriority w:val="99"/>
  </w:style>
  <w:style w:type="character" w:customStyle="1" w:styleId="31">
    <w:name w:val="表格正文 Char"/>
    <w:link w:val="32"/>
    <w:qFormat/>
    <w:locked/>
    <w:uiPriority w:val="0"/>
    <w:rPr>
      <w:rFonts w:ascii="Times New Roman" w:hAnsi="Times New Roman" w:eastAsia="宋体" w:cs="Times New Roman"/>
      <w:sz w:val="21"/>
      <w:szCs w:val="21"/>
    </w:rPr>
  </w:style>
  <w:style w:type="paragraph" w:customStyle="1" w:styleId="32">
    <w:name w:val="表格正文"/>
    <w:basedOn w:val="1"/>
    <w:next w:val="1"/>
    <w:link w:val="31"/>
    <w:autoRedefine/>
    <w:qFormat/>
    <w:uiPriority w:val="0"/>
    <w:pPr>
      <w:spacing w:line="276" w:lineRule="auto"/>
      <w:jc w:val="center"/>
    </w:pPr>
    <w:rPr>
      <w:rFonts w:ascii="Times New Roman" w:hAnsi="Times New Roman" w:eastAsia="宋体" w:cs="Times New Roman"/>
      <w:kern w:val="0"/>
      <w:szCs w:val="21"/>
    </w:rPr>
  </w:style>
  <w:style w:type="paragraph" w:customStyle="1" w:styleId="33">
    <w:name w:val="表内容"/>
    <w:basedOn w:val="1"/>
    <w:next w:val="1"/>
    <w:qFormat/>
    <w:uiPriority w:val="99"/>
    <w:pPr>
      <w:spacing w:line="320" w:lineRule="exact"/>
      <w:jc w:val="center"/>
    </w:pPr>
    <w:rPr>
      <w:rFonts w:ascii="Times New Roman" w:hAnsi="Times New Roman" w:eastAsia="宋体" w:cs="Times New Roman"/>
      <w:szCs w:val="20"/>
    </w:rPr>
  </w:style>
  <w:style w:type="character" w:customStyle="1" w:styleId="34">
    <w:name w:val="正文文本缩进 3 Char"/>
    <w:basedOn w:val="19"/>
    <w:link w:val="11"/>
    <w:semiHidden/>
    <w:qFormat/>
    <w:uiPriority w:val="99"/>
    <w:rPr>
      <w:sz w:val="16"/>
      <w:szCs w:val="16"/>
    </w:rPr>
  </w:style>
  <w:style w:type="character" w:customStyle="1" w:styleId="35">
    <w:name w:val="页眉 Char"/>
    <w:basedOn w:val="19"/>
    <w:link w:val="10"/>
    <w:qFormat/>
    <w:uiPriority w:val="0"/>
    <w:rPr>
      <w:sz w:val="18"/>
      <w:szCs w:val="18"/>
    </w:rPr>
  </w:style>
  <w:style w:type="character" w:customStyle="1" w:styleId="36">
    <w:name w:val="页脚 Char"/>
    <w:basedOn w:val="19"/>
    <w:link w:val="9"/>
    <w:autoRedefine/>
    <w:qFormat/>
    <w:uiPriority w:val="99"/>
    <w:rPr>
      <w:sz w:val="18"/>
      <w:szCs w:val="18"/>
    </w:rPr>
  </w:style>
  <w:style w:type="paragraph" w:customStyle="1" w:styleId="37">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8">
    <w:name w:val="中文报告书样式"/>
    <w:basedOn w:val="1"/>
    <w:qFormat/>
    <w:uiPriority w:val="0"/>
    <w:pPr>
      <w:widowControl/>
      <w:adjustRightInd w:val="0"/>
      <w:spacing w:line="480" w:lineRule="atLeast"/>
      <w:ind w:firstLine="482"/>
      <w:jc w:val="left"/>
    </w:pPr>
    <w:rPr>
      <w:rFonts w:ascii="黑体" w:hAnsi="黑体" w:eastAsia="宋体" w:cs="黑体"/>
      <w:kern w:val="24"/>
      <w:sz w:val="24"/>
      <w:szCs w:val="20"/>
    </w:rPr>
  </w:style>
  <w:style w:type="paragraph" w:customStyle="1" w:styleId="39">
    <w:name w:val="表格内格式"/>
    <w:basedOn w:val="1"/>
    <w:link w:val="40"/>
    <w:qFormat/>
    <w:uiPriority w:val="0"/>
    <w:pPr>
      <w:adjustRightInd w:val="0"/>
      <w:snapToGrid w:val="0"/>
      <w:spacing w:before="60"/>
      <w:jc w:val="center"/>
    </w:pPr>
    <w:rPr>
      <w:rFonts w:ascii="Times New Roman" w:hAnsi="Times New Roman" w:eastAsia="宋体" w:cs="宋体"/>
      <w:snapToGrid w:val="0"/>
      <w:kern w:val="0"/>
      <w:sz w:val="18"/>
      <w:szCs w:val="20"/>
    </w:rPr>
  </w:style>
  <w:style w:type="character" w:customStyle="1" w:styleId="40">
    <w:name w:val="表格内格式 Char"/>
    <w:link w:val="39"/>
    <w:autoRedefine/>
    <w:qFormat/>
    <w:uiPriority w:val="0"/>
    <w:rPr>
      <w:rFonts w:ascii="Times New Roman" w:hAnsi="Times New Roman" w:eastAsia="宋体" w:cs="宋体"/>
      <w:snapToGrid w:val="0"/>
      <w:kern w:val="0"/>
      <w:sz w:val="18"/>
      <w:szCs w:val="20"/>
    </w:rPr>
  </w:style>
  <w:style w:type="character" w:customStyle="1" w:styleId="41">
    <w:name w:val="表格 Char"/>
    <w:link w:val="42"/>
    <w:qFormat/>
    <w:locked/>
    <w:uiPriority w:val="0"/>
    <w:rPr>
      <w:rFonts w:ascii="宋体"/>
    </w:rPr>
  </w:style>
  <w:style w:type="paragraph" w:customStyle="1" w:styleId="42">
    <w:name w:val="表格"/>
    <w:basedOn w:val="1"/>
    <w:next w:val="1"/>
    <w:link w:val="41"/>
    <w:qFormat/>
    <w:uiPriority w:val="0"/>
    <w:pPr>
      <w:adjustRightInd w:val="0"/>
      <w:snapToGrid w:val="0"/>
      <w:spacing w:beforeLines="10" w:afterLines="10" w:line="259" w:lineRule="auto"/>
      <w:jc w:val="center"/>
    </w:pPr>
    <w:rPr>
      <w:rFonts w:ascii="宋体"/>
    </w:rPr>
  </w:style>
  <w:style w:type="character" w:customStyle="1" w:styleId="43">
    <w:name w:val="2 表格内容 Char"/>
    <w:link w:val="44"/>
    <w:qFormat/>
    <w:uiPriority w:val="0"/>
    <w:rPr>
      <w:szCs w:val="21"/>
    </w:rPr>
  </w:style>
  <w:style w:type="paragraph" w:customStyle="1" w:styleId="44">
    <w:name w:val="2 表格内容"/>
    <w:basedOn w:val="1"/>
    <w:link w:val="43"/>
    <w:qFormat/>
    <w:uiPriority w:val="0"/>
    <w:pPr>
      <w:adjustRightInd w:val="0"/>
      <w:snapToGrid w:val="0"/>
      <w:spacing w:line="320" w:lineRule="exact"/>
      <w:jc w:val="center"/>
    </w:pPr>
    <w:rPr>
      <w:szCs w:val="21"/>
    </w:rPr>
  </w:style>
  <w:style w:type="character" w:customStyle="1" w:styleId="45">
    <w:name w:val="图表标注 Char"/>
    <w:link w:val="46"/>
    <w:autoRedefine/>
    <w:qFormat/>
    <w:uiPriority w:val="0"/>
    <w:rPr>
      <w:rFonts w:eastAsia="黑体"/>
      <w:sz w:val="24"/>
    </w:rPr>
  </w:style>
  <w:style w:type="paragraph" w:customStyle="1" w:styleId="46">
    <w:name w:val="图表标注"/>
    <w:basedOn w:val="1"/>
    <w:link w:val="45"/>
    <w:autoRedefine/>
    <w:qFormat/>
    <w:uiPriority w:val="0"/>
    <w:pPr>
      <w:spacing w:line="480" w:lineRule="exact"/>
      <w:jc w:val="center"/>
    </w:pPr>
    <w:rPr>
      <w:rFonts w:eastAsia="黑体"/>
      <w:sz w:val="24"/>
    </w:rPr>
  </w:style>
  <w:style w:type="character" w:customStyle="1" w:styleId="47">
    <w:name w:val="fontstyle01"/>
    <w:qFormat/>
    <w:uiPriority w:val="0"/>
    <w:rPr>
      <w:rFonts w:hint="eastAsia" w:ascii="宋体" w:hAnsi="宋体" w:eastAsia="宋体"/>
      <w:color w:val="000000"/>
      <w:sz w:val="24"/>
      <w:szCs w:val="24"/>
    </w:rPr>
  </w:style>
  <w:style w:type="paragraph" w:customStyle="1" w:styleId="48">
    <w:name w:val="Default"/>
    <w:link w:val="4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9">
    <w:name w:val="Default Char Char"/>
    <w:link w:val="48"/>
    <w:qFormat/>
    <w:uiPriority w:val="0"/>
    <w:rPr>
      <w:rFonts w:ascii="宋体" w:hAnsi="Times New Roman" w:eastAsia="宋体" w:cs="宋体"/>
      <w:color w:val="000000"/>
      <w:kern w:val="0"/>
      <w:sz w:val="24"/>
      <w:szCs w:val="24"/>
    </w:rPr>
  </w:style>
  <w:style w:type="paragraph" w:customStyle="1" w:styleId="50">
    <w:name w:val="无间隔1"/>
    <w:qFormat/>
    <w:uiPriority w:val="1"/>
    <w:pPr>
      <w:widowControl w:val="0"/>
      <w:jc w:val="center"/>
    </w:pPr>
    <w:rPr>
      <w:rFonts w:ascii="Times New Roman" w:hAnsi="Times New Roman" w:eastAsia="宋体" w:cs="Times New Roman"/>
      <w:kern w:val="2"/>
      <w:sz w:val="21"/>
      <w:szCs w:val="24"/>
      <w:lang w:val="en-US" w:eastAsia="zh-CN" w:bidi="ar-SA"/>
    </w:rPr>
  </w:style>
  <w:style w:type="paragraph" w:styleId="51">
    <w:name w:val="List Paragraph"/>
    <w:basedOn w:val="1"/>
    <w:qFormat/>
    <w:uiPriority w:val="99"/>
    <w:pPr>
      <w:ind w:firstLine="420" w:firstLineChars="200"/>
    </w:pPr>
    <w:rPr>
      <w:rFonts w:ascii="Times New Roman" w:hAnsi="Times New Roman" w:eastAsia="宋体" w:cs="Times New Roman"/>
    </w:rPr>
  </w:style>
  <w:style w:type="character" w:customStyle="1" w:styleId="52">
    <w:name w:val="报告表正文 Char Char"/>
    <w:link w:val="53"/>
    <w:qFormat/>
    <w:uiPriority w:val="0"/>
    <w:rPr>
      <w:rFonts w:eastAsia="宋体"/>
      <w:sz w:val="24"/>
    </w:rPr>
  </w:style>
  <w:style w:type="paragraph" w:customStyle="1" w:styleId="53">
    <w:name w:val="报告表正文"/>
    <w:basedOn w:val="1"/>
    <w:link w:val="52"/>
    <w:qFormat/>
    <w:uiPriority w:val="99"/>
    <w:pPr>
      <w:adjustRightInd w:val="0"/>
      <w:spacing w:line="312" w:lineRule="auto"/>
      <w:ind w:left="113" w:right="113" w:firstLine="482"/>
      <w:jc w:val="left"/>
      <w:textAlignment w:val="baseline"/>
    </w:pPr>
    <w:rPr>
      <w:rFonts w:eastAsia="宋体"/>
      <w:sz w:val="24"/>
    </w:rPr>
  </w:style>
  <w:style w:type="paragraph" w:customStyle="1" w:styleId="54">
    <w:name w:val="表格内容"/>
    <w:basedOn w:val="1"/>
    <w:link w:val="55"/>
    <w:autoRedefine/>
    <w:qFormat/>
    <w:uiPriority w:val="0"/>
    <w:pPr>
      <w:overflowPunct w:val="0"/>
      <w:adjustRightInd w:val="0"/>
      <w:snapToGrid w:val="0"/>
      <w:spacing w:line="276" w:lineRule="auto"/>
      <w:jc w:val="center"/>
      <w:textAlignment w:val="baseline"/>
    </w:pPr>
    <w:rPr>
      <w:rFonts w:ascii="Times New Roman" w:hAnsi="Times New Roman" w:eastAsia="宋体" w:cs="Times New Roman"/>
      <w:kern w:val="0"/>
      <w:szCs w:val="21"/>
    </w:rPr>
  </w:style>
  <w:style w:type="character" w:customStyle="1" w:styleId="55">
    <w:name w:val="表格内容 Char Char"/>
    <w:link w:val="54"/>
    <w:qFormat/>
    <w:uiPriority w:val="0"/>
    <w:rPr>
      <w:sz w:val="21"/>
      <w:szCs w:val="21"/>
    </w:rPr>
  </w:style>
  <w:style w:type="character" w:customStyle="1" w:styleId="56">
    <w:name w:val="正文文本 2 Char"/>
    <w:basedOn w:val="19"/>
    <w:link w:val="13"/>
    <w:semiHidden/>
    <w:qFormat/>
    <w:uiPriority w:val="99"/>
  </w:style>
  <w:style w:type="character" w:customStyle="1" w:styleId="57">
    <w:name w:val="1正文段落 Char"/>
    <w:link w:val="58"/>
    <w:autoRedefine/>
    <w:qFormat/>
    <w:uiPriority w:val="0"/>
    <w:rPr>
      <w:rFonts w:cs="Times New Roman"/>
      <w:snapToGrid w:val="0"/>
      <w:sz w:val="24"/>
      <w:szCs w:val="21"/>
    </w:rPr>
  </w:style>
  <w:style w:type="paragraph" w:customStyle="1" w:styleId="58">
    <w:name w:val="1正文段落"/>
    <w:basedOn w:val="1"/>
    <w:link w:val="57"/>
    <w:qFormat/>
    <w:uiPriority w:val="0"/>
    <w:pPr>
      <w:spacing w:line="360" w:lineRule="auto"/>
      <w:ind w:firstLine="200" w:firstLineChars="200"/>
    </w:pPr>
    <w:rPr>
      <w:rFonts w:cs="Times New Roman"/>
      <w:snapToGrid w:val="0"/>
      <w:sz w:val="24"/>
      <w:szCs w:val="21"/>
    </w:rPr>
  </w:style>
  <w:style w:type="paragraph" w:customStyle="1" w:styleId="59">
    <w:name w:val="正文内容"/>
    <w:link w:val="60"/>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60">
    <w:name w:val="正文内容 Char"/>
    <w:link w:val="59"/>
    <w:qFormat/>
    <w:uiPriority w:val="0"/>
    <w:rPr>
      <w:rFonts w:ascii="Times New Roman" w:hAnsi="Times New Roman" w:eastAsia="宋体" w:cs="Times New Roman"/>
      <w:sz w:val="24"/>
      <w:szCs w:val="24"/>
    </w:rPr>
  </w:style>
  <w:style w:type="character" w:customStyle="1" w:styleId="61">
    <w:name w:val="标题 1 Char"/>
    <w:basedOn w:val="19"/>
    <w:link w:val="2"/>
    <w:autoRedefine/>
    <w:qFormat/>
    <w:uiPriority w:val="9"/>
    <w:rPr>
      <w:rFonts w:ascii="宋体" w:hAnsi="宋体" w:eastAsia="宋体" w:cs="宋体"/>
      <w:b/>
      <w:bCs/>
      <w:kern w:val="36"/>
      <w:sz w:val="48"/>
      <w:szCs w:val="48"/>
    </w:rPr>
  </w:style>
  <w:style w:type="paragraph" w:customStyle="1" w:styleId="62">
    <w:name w:val="表格内部—常用"/>
    <w:basedOn w:val="1"/>
    <w:next w:val="1"/>
    <w:autoRedefine/>
    <w:qFormat/>
    <w:uiPriority w:val="0"/>
    <w:pPr>
      <w:jc w:val="center"/>
    </w:pPr>
    <w:rPr>
      <w:rFonts w:ascii="Times New Roman" w:hAnsi="Times New Roman" w:eastAsia="宋体" w:cs="Times New Roman"/>
      <w:szCs w:val="21"/>
    </w:rPr>
  </w:style>
  <w:style w:type="character" w:customStyle="1" w:styleId="63">
    <w:name w:val="font81"/>
    <w:basedOn w:val="19"/>
    <w:autoRedefine/>
    <w:qFormat/>
    <w:uiPriority w:val="0"/>
    <w:rPr>
      <w:rFonts w:hint="eastAsia" w:ascii="宋体" w:hAnsi="宋体" w:eastAsia="宋体" w:cs="宋体"/>
      <w:color w:val="000000"/>
      <w:sz w:val="18"/>
      <w:szCs w:val="18"/>
      <w:u w:val="none"/>
    </w:rPr>
  </w:style>
  <w:style w:type="character" w:customStyle="1" w:styleId="64">
    <w:name w:val="标题 3 Char"/>
    <w:basedOn w:val="19"/>
    <w:link w:val="4"/>
    <w:autoRedefine/>
    <w:semiHidden/>
    <w:qFormat/>
    <w:uiPriority w:val="9"/>
    <w:rPr>
      <w:b/>
      <w:bCs/>
      <w:sz w:val="32"/>
      <w:szCs w:val="32"/>
    </w:rPr>
  </w:style>
  <w:style w:type="paragraph" w:customStyle="1" w:styleId="65">
    <w:name w:val="正文-7"/>
    <w:basedOn w:val="1"/>
    <w:autoRedefine/>
    <w:qFormat/>
    <w:uiPriority w:val="0"/>
    <w:pPr>
      <w:spacing w:line="440" w:lineRule="exact"/>
      <w:ind w:firstLine="200" w:firstLineChars="200"/>
    </w:pPr>
    <w:rPr>
      <w:rFonts w:ascii="Times New Roman" w:hAnsi="Times New Roman" w:eastAsia="宋体" w:cs="Times New Roman"/>
      <w:snapToGrid w:val="0"/>
      <w:kern w:val="0"/>
      <w:sz w:val="24"/>
      <w:szCs w:val="24"/>
    </w:rPr>
  </w:style>
  <w:style w:type="character" w:customStyle="1" w:styleId="66">
    <w:name w:val="+正文 Char Char"/>
    <w:link w:val="67"/>
    <w:autoRedefine/>
    <w:qFormat/>
    <w:uiPriority w:val="0"/>
    <w:rPr>
      <w:rFonts w:eastAsia="宋体"/>
      <w:sz w:val="24"/>
      <w:szCs w:val="28"/>
    </w:rPr>
  </w:style>
  <w:style w:type="paragraph" w:customStyle="1" w:styleId="67">
    <w:name w:val="+正文"/>
    <w:basedOn w:val="1"/>
    <w:link w:val="66"/>
    <w:autoRedefine/>
    <w:qFormat/>
    <w:uiPriority w:val="0"/>
    <w:pPr>
      <w:spacing w:line="360" w:lineRule="auto"/>
      <w:ind w:firstLine="200" w:firstLineChars="200"/>
    </w:pPr>
    <w:rPr>
      <w:rFonts w:eastAsia="宋体"/>
      <w:sz w:val="24"/>
      <w:szCs w:val="28"/>
    </w:rPr>
  </w:style>
  <w:style w:type="character" w:customStyle="1" w:styleId="68">
    <w:name w:val="标题 2 Char"/>
    <w:basedOn w:val="19"/>
    <w:link w:val="3"/>
    <w:autoRedefine/>
    <w:semiHidden/>
    <w:qFormat/>
    <w:uiPriority w:val="9"/>
    <w:rPr>
      <w:rFonts w:asciiTheme="majorHAnsi" w:hAnsiTheme="majorHAnsi" w:eastAsiaTheme="majorEastAsia" w:cstheme="majorBidi"/>
      <w:b/>
      <w:bCs/>
      <w:sz w:val="32"/>
      <w:szCs w:val="32"/>
    </w:rPr>
  </w:style>
  <w:style w:type="character" w:customStyle="1" w:styleId="69">
    <w:name w:val="表格文字2 Char"/>
    <w:link w:val="70"/>
    <w:autoRedefine/>
    <w:qFormat/>
    <w:locked/>
    <w:uiPriority w:val="0"/>
    <w:rPr>
      <w:rFonts w:cs="宋体"/>
      <w:szCs w:val="21"/>
    </w:rPr>
  </w:style>
  <w:style w:type="paragraph" w:customStyle="1" w:styleId="70">
    <w:name w:val="表格文字2"/>
    <w:basedOn w:val="1"/>
    <w:link w:val="69"/>
    <w:autoRedefine/>
    <w:qFormat/>
    <w:uiPriority w:val="0"/>
    <w:pPr>
      <w:tabs>
        <w:tab w:val="left" w:pos="277"/>
        <w:tab w:val="left" w:pos="600"/>
        <w:tab w:val="left" w:pos="780"/>
        <w:tab w:val="left" w:pos="2517"/>
      </w:tabs>
      <w:adjustRightInd w:val="0"/>
      <w:spacing w:before="60"/>
      <w:jc w:val="center"/>
      <w:textAlignment w:val="baseline"/>
    </w:pPr>
    <w:rPr>
      <w:rFonts w:cs="宋体"/>
      <w:szCs w:val="21"/>
    </w:rPr>
  </w:style>
  <w:style w:type="paragraph" w:customStyle="1" w:styleId="71">
    <w:name w:val="表格内文字"/>
    <w:basedOn w:val="1"/>
    <w:link w:val="72"/>
    <w:autoRedefine/>
    <w:qFormat/>
    <w:uiPriority w:val="0"/>
    <w:pPr>
      <w:adjustRightInd w:val="0"/>
      <w:snapToGrid w:val="0"/>
      <w:jc w:val="center"/>
    </w:pPr>
    <w:rPr>
      <w:rFonts w:ascii="Times New Roman" w:hAnsi="Times New Roman" w:eastAsia="宋体" w:cs="Times New Roman"/>
      <w:color w:val="000000"/>
      <w:szCs w:val="24"/>
    </w:rPr>
  </w:style>
  <w:style w:type="character" w:customStyle="1" w:styleId="72">
    <w:name w:val="表格内文字 Char"/>
    <w:link w:val="71"/>
    <w:qFormat/>
    <w:uiPriority w:val="0"/>
    <w:rPr>
      <w:color w:val="000000"/>
      <w:kern w:val="2"/>
      <w:sz w:val="21"/>
      <w:szCs w:val="24"/>
    </w:rPr>
  </w:style>
  <w:style w:type="paragraph" w:customStyle="1" w:styleId="73">
    <w:name w:val="表格标题"/>
    <w:autoRedefine/>
    <w:qFormat/>
    <w:uiPriority w:val="0"/>
    <w:pPr>
      <w:spacing w:beforeLines="50"/>
      <w:jc w:val="center"/>
    </w:pPr>
    <w:rPr>
      <w:rFonts w:ascii="Times New Roman" w:hAnsi="Times New Roman" w:eastAsia="宋体" w:cs="Times New Roman"/>
      <w:b/>
      <w:sz w:val="21"/>
      <w:lang w:val="en-US" w:eastAsia="zh-CN" w:bidi="ar-SA"/>
    </w:rPr>
  </w:style>
  <w:style w:type="paragraph" w:customStyle="1" w:styleId="74">
    <w:name w:val="表内最终版"/>
    <w:basedOn w:val="75"/>
    <w:qFormat/>
    <w:uiPriority w:val="0"/>
    <w:pPr>
      <w:adjustRightInd w:val="0"/>
      <w:jc w:val="center"/>
    </w:pPr>
    <w:rPr>
      <w:sz w:val="21"/>
    </w:rPr>
  </w:style>
  <w:style w:type="paragraph" w:customStyle="1" w:styleId="75">
    <w:name w:val="正文最终"/>
    <w:qFormat/>
    <w:uiPriority w:val="0"/>
    <w:pPr>
      <w:widowControl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76">
    <w:name w:val="表头"/>
    <w:basedOn w:val="1"/>
    <w:next w:val="1"/>
    <w:unhideWhenUsed/>
    <w:qFormat/>
    <w:uiPriority w:val="0"/>
    <w:pPr>
      <w:jc w:val="center"/>
    </w:pPr>
    <w:rPr>
      <w:rFonts w:ascii="Times New Roman" w:hAnsi="Times New Roman" w:eastAsia="宋体"/>
      <w:b/>
      <w:kern w:val="0"/>
      <w:szCs w:val="21"/>
    </w:rPr>
  </w:style>
  <w:style w:type="table" w:customStyle="1" w:styleId="77">
    <w:name w:val="MFS表格"/>
    <w:basedOn w:val="17"/>
    <w:qFormat/>
    <w:uiPriority w:val="0"/>
    <w:pPr>
      <w:widowControl w:val="0"/>
      <w:snapToGrid w:val="0"/>
      <w:jc w:val="center"/>
    </w:pPr>
    <w:rPr>
      <w:sz w:val="18"/>
    </w:rPr>
    <w:tblPr>
      <w:tblBorders>
        <w:top w:val="single" w:color="000000" w:sz="12" w:space="0"/>
        <w:bottom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paragraph" w:customStyle="1" w:styleId="78">
    <w:name w:val="0 一级"/>
    <w:basedOn w:val="1"/>
    <w:next w:val="1"/>
    <w:link w:val="79"/>
    <w:qFormat/>
    <w:uiPriority w:val="0"/>
    <w:pPr>
      <w:spacing w:line="460" w:lineRule="exact"/>
      <w:outlineLvl w:val="1"/>
    </w:pPr>
    <w:rPr>
      <w:rFonts w:ascii="Times New Roman" w:hAnsi="Times New Roman" w:eastAsia="宋体" w:cs="Times New Roman"/>
      <w:b/>
      <w:bCs/>
      <w:kern w:val="0"/>
      <w:sz w:val="24"/>
      <w:szCs w:val="24"/>
    </w:rPr>
  </w:style>
  <w:style w:type="character" w:customStyle="1" w:styleId="79">
    <w:name w:val="0 一级 Char"/>
    <w:basedOn w:val="19"/>
    <w:link w:val="78"/>
    <w:qFormat/>
    <w:uiPriority w:val="0"/>
    <w:rPr>
      <w:b/>
      <w:bCs/>
      <w:sz w:val="24"/>
      <w:szCs w:val="24"/>
    </w:rPr>
  </w:style>
  <w:style w:type="character" w:customStyle="1" w:styleId="80">
    <w:name w:val="#正文 Char"/>
    <w:basedOn w:val="19"/>
    <w:link w:val="81"/>
    <w:qFormat/>
    <w:uiPriority w:val="0"/>
    <w:rPr>
      <w:sz w:val="24"/>
      <w:lang w:bidi="en-US"/>
    </w:rPr>
  </w:style>
  <w:style w:type="paragraph" w:customStyle="1" w:styleId="81">
    <w:name w:val="#正文"/>
    <w:basedOn w:val="1"/>
    <w:link w:val="80"/>
    <w:qFormat/>
    <w:uiPriority w:val="0"/>
    <w:pPr>
      <w:widowControl/>
      <w:adjustRightInd w:val="0"/>
      <w:snapToGrid w:val="0"/>
      <w:spacing w:line="460" w:lineRule="exact"/>
      <w:ind w:firstLine="482"/>
    </w:pPr>
    <w:rPr>
      <w:rFonts w:ascii="Times New Roman" w:hAnsi="Times New Roman" w:eastAsia="宋体" w:cs="Times New Roman"/>
      <w:kern w:val="0"/>
      <w:sz w:val="24"/>
      <w:szCs w:val="20"/>
    </w:rPr>
  </w:style>
  <w:style w:type="paragraph" w:customStyle="1" w:styleId="82">
    <w:name w:val="#表头"/>
    <w:basedOn w:val="1"/>
    <w:link w:val="85"/>
    <w:qFormat/>
    <w:uiPriority w:val="0"/>
    <w:pPr>
      <w:keepNext w:val="0"/>
      <w:keepLines w:val="0"/>
      <w:widowControl w:val="0"/>
      <w:suppressLineNumbers w:val="0"/>
      <w:spacing w:before="0" w:beforeLines="50" w:beforeAutospacing="0" w:after="0" w:afterAutospacing="0" w:line="360" w:lineRule="auto"/>
      <w:ind w:left="0" w:right="0" w:firstLine="198"/>
      <w:jc w:val="center"/>
    </w:pPr>
    <w:rPr>
      <w:rFonts w:hint="default" w:ascii="Times New Roman" w:hAnsi="Times New Roman" w:eastAsia="宋体" w:cs="Times New Roman"/>
      <w:b/>
      <w:kern w:val="0"/>
      <w:sz w:val="21"/>
      <w:szCs w:val="20"/>
      <w:lang w:val="en-US" w:eastAsia="zh-CN" w:bidi="ar"/>
    </w:rPr>
  </w:style>
  <w:style w:type="paragraph" w:customStyle="1" w:styleId="83">
    <w:name w:val="#表内"/>
    <w:basedOn w:val="1"/>
    <w:link w:val="84"/>
    <w:qFormat/>
    <w:uiPriority w:val="0"/>
    <w:pPr>
      <w:keepNext w:val="0"/>
      <w:keepLines w:val="0"/>
      <w:widowControl/>
      <w:suppressLineNumbers w:val="0"/>
      <w:adjustRightInd w:val="0"/>
      <w:snapToGrid w:val="0"/>
      <w:spacing w:before="0" w:beforeAutospacing="0" w:after="0" w:afterAutospacing="0" w:line="240" w:lineRule="auto"/>
      <w:ind w:left="0" w:right="0"/>
      <w:jc w:val="center"/>
    </w:pPr>
    <w:rPr>
      <w:rFonts w:hint="default" w:ascii="Times New Roman" w:hAnsi="Times New Roman" w:eastAsia="宋体" w:cs="宋体"/>
      <w:kern w:val="2"/>
      <w:sz w:val="21"/>
      <w:szCs w:val="21"/>
      <w:lang w:val="en-US" w:eastAsia="zh-CN" w:bidi="ar"/>
    </w:rPr>
  </w:style>
  <w:style w:type="character" w:customStyle="1" w:styleId="84">
    <w:name w:val="#表内 Char"/>
    <w:basedOn w:val="19"/>
    <w:link w:val="83"/>
    <w:qFormat/>
    <w:uiPriority w:val="0"/>
    <w:rPr>
      <w:rFonts w:hint="eastAsia" w:ascii="宋体" w:hAnsi="宋体" w:eastAsia="宋体" w:cs="宋体"/>
      <w:kern w:val="2"/>
      <w:sz w:val="21"/>
      <w:szCs w:val="21"/>
      <w:lang w:val="zh-CN"/>
    </w:rPr>
  </w:style>
  <w:style w:type="character" w:customStyle="1" w:styleId="85">
    <w:name w:val="#表头 Char"/>
    <w:basedOn w:val="19"/>
    <w:link w:val="82"/>
    <w:qFormat/>
    <w:uiPriority w:val="0"/>
    <w:rPr>
      <w:b/>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3.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913e9017-d6f9-4fde-9233-8c35c7271456</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49C0A6E9</paraID>
      <start>3</start>
      <end>7</end>
      <status>unmodified</status>
      <modifiedWord/>
      <trackRevisions>false</trackRevisions>
    </reviewItem>
    <reviewItem>
      <errorID>2781b1fc-8f2c-4510-8b13-35e775f0a2b7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10756EB</paraID>
      <start>0</start>
      <end>2</end>
      <status>unmodified</status>
      <modifiedWord/>
      <trackRevisions>false</trackRevisions>
    </reviewItem>
    <reviewItem>
      <errorID>bce6a6df-5b0c-4eaa-afa6-f3213c7543ad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38EE6CA2</paraID>
      <start>0</start>
      <end>2</end>
      <status>unmodified</status>
      <modifiedWord/>
      <trackRevisions>false</trackRevisions>
    </reviewItem>
    <reviewItem>
      <errorID>026d9b72-27b2-4f45-9822-a96356c5d58c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76829010</paraID>
      <start>0</start>
      <end>2</end>
      <status>unmodified</status>
      <modifiedWord/>
      <trackRevisions>false</trackRevisions>
    </reviewItem>
    <reviewItem>
      <errorID>1fe42d0c-4c48-4ba9-8a15-e431a3621491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76829010</paraID>
      <start>24</start>
      <end>25</end>
      <status>unmodified</status>
      <modifiedWord/>
      <trackRevisions>false</trackRevisions>
    </reviewItem>
    <reviewItem>
      <errorID>1d523102-2721-4c7a-a028-bddfb5176846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7FC1FA99</paraID>
      <start>0</start>
      <end>2</end>
      <status>unmodified</status>
      <modifiedWord/>
      <trackRevisions>false</trackRevisions>
    </reviewItem>
    <reviewItem>
      <errorID>3dc5195b-0c43-44e9-a8f7-2f5715209ee0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7FC1FA99</paraID>
      <start>20</start>
      <end>21</end>
      <status>unmodified</status>
      <modifiedWord/>
      <trackRevisions>false</trackRevisions>
    </reviewItem>
    <reviewItem>
      <errorID>f8ce2a5e-b45d-4128-bdc9-3a1b39b87d58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32EC7E5</paraID>
      <start>17</start>
      <end>18</end>
      <status>unmodified</status>
      <modifiedWord/>
      <trackRevisions>false</trackRevisions>
    </reviewItem>
    <reviewItem>
      <errorID>f8ba1408-fcec-4beb-9b38-cad4bbdf67d6</errorID>
      <errorWord>的属于</errorWord>
      <group>L1_AI</group>
      <groupName>深度校对</groupName>
      <ability>L2_AI_Grammar</ability>
      <abilityName>语法纠错</abilityName>
      <candidateList>
        <item>的</item>
      </candidateList>
      <explain/>
      <paraID>1D36878A</paraID>
      <start>46</start>
      <end>49</end>
      <status>unmodified</status>
      <modifiedWord/>
      <trackRevisions>false</trackRevisions>
    </reviewItem>
    <reviewItem>
      <errorID>9c1244c4-6116-4993-9f99-5fc36c610e0c</errorID>
      <errorWord>(</errorWord>
      <group>L1_Format</group>
      <groupName>格式问题</groupName>
      <ability>L2_HalfPunc</ability>
      <abilityName>全半角检查</abilityName>
      <candidateList>
        <item>（</item>
      </candidateList>
      <explain>文本全半角错误。</explain>
      <paraID>1D36878A</paraID>
      <start>72</start>
      <end>73</end>
      <status>unmodified</status>
      <modifiedWord/>
      <trackRevisions>false</trackRevisions>
    </reviewItem>
    <reviewItem>
      <errorID>b19c7063-f8d2-4fa4-8f29-e8a480442a09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1D36878A</paraID>
      <start>77</start>
      <end>78</end>
      <status>unmodified</status>
      <modifiedWord/>
      <trackRevisions>false</trackRevisions>
    </reviewItem>
    <reviewItem>
      <errorID>06d75e14-9a5a-46d9-ab00-22aa2bc17214</errorID>
      <errorWord>)</errorWord>
      <group>L1_Format</group>
      <groupName>格式问题</groupName>
      <ability>L2_HalfPunc</ability>
      <abilityName>全半角检查</abilityName>
      <candidateList>
        <item>）</item>
      </candidateList>
      <explain>文本全半角错误。</explain>
      <paraID>1D36878A</paraID>
      <start>83</start>
      <end>84</end>
      <status>unmodified</status>
      <modifiedWord/>
      <trackRevisions>false</trackRevisions>
    </reviewItem>
    <reviewItem>
      <errorID>2686418d-7eb0-42a9-85e1-d279aab9f791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1D36878A</paraID>
      <start>164</start>
      <end>165</end>
      <status>unmodified</status>
      <modifiedWord/>
      <trackRevisions>false</trackRevisions>
    </reviewItem>
    <reviewItem>
      <errorID>0f8a7a63-8880-43f2-856c-fc111486a669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A7A1B76</paraID>
      <start>0</start>
      <end>2</end>
      <status>unmodified</status>
      <modifiedWord/>
      <trackRevisions>false</trackRevisions>
    </reviewItem>
    <reviewItem>
      <errorID>65d04ff2-4c10-49d1-a2da-34ee0b6cff6a</errorID>
      <errorWord>、</errorWord>
      <group>L1_AI</group>
      <groupName>深度校对</groupName>
      <ability>L2_AI_Word</ability>
      <abilityName>字词纠错</abilityName>
      <candidateList>
        <item>和</item>
      </candidateList>
      <explain/>
      <paraID>5DD7A4C2</paraID>
      <start>20</start>
      <end>21</end>
      <status>unmodified</status>
      <modifiedWord/>
      <trackRevisions>false</trackRevisions>
    </reviewItem>
    <reviewItem>
      <errorID>c1c021cb-f27f-4e29-bc05-4b7fed16de62</errorID>
      <errorWord>取得了</errorWord>
      <group>L1_AI</group>
      <groupName>深度校对</groupName>
      <ability>L2_AI_Word</ability>
      <abilityName>字词纠错</abilityName>
      <candidateList>
        <item>取得</item>
      </candidateList>
      <explain/>
      <paraID>5DD7A4C2</paraID>
      <start>86</start>
      <end>89</end>
      <status>unmodified</status>
      <modifiedWord/>
      <trackRevisions>false</trackRevisions>
    </reviewItem>
    <reviewItem>
      <errorID>4e321026-0edf-4fcb-a34f-32de2a59adf6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740AE0CC</paraID>
      <start>0</start>
      <end>2</end>
      <status>unmodified</status>
      <modifiedWord/>
      <trackRevisions>false</trackRevisions>
    </reviewItem>
    <reviewItem>
      <errorID>96033b7e-0860-40c6-9ed9-e26c419271fe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7E54D377</paraID>
      <start>47</start>
      <end>48</end>
      <status>unmodified</status>
      <modifiedWord/>
      <trackRevisions>false</trackRevisions>
    </reviewItem>
    <reviewItem>
      <errorID>0890e193-6027-4e86-a6ab-66203009b3d0</errorID>
      <errorWord>IV类</errorWord>
      <group>L1_Knowledge</group>
      <groupName>知识性问题</groupName>
      <ability>L2_Knowledge</ability>
      <abilityName>其他知识</abilityName>
      <candidateList>
        <item>Ⅳ类</item>
      </candidateList>
      <explain/>
      <paraID>7A91B7E3</paraID>
      <start>46</start>
      <end>49</end>
      <status>unmodified</status>
      <modifiedWord/>
      <trackRevisions>false</trackRevisions>
    </reviewItem>
    <reviewItem>
      <errorID>4ba41174-5fd5-4495-ae29-ff1a675ad0bc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33A5B0C</paraID>
      <start>0</start>
      <end>2</end>
      <status>unmodified</status>
      <modifiedWord/>
      <trackRevisions>false</trackRevisions>
    </reviewItem>
    <reviewItem>
      <errorID>46c7da9d-6bf7-4685-8c2b-ef86658527b0</errorID>
      <errorWord>[2022]46号</errorWord>
      <group>L1_Knowledge</group>
      <groupName>知识性问题</groupName>
      <ability>L2_Knowledge</ability>
      <abilityName>其他知识</abilityName>
      <candidateList>
        <item>〔2022〕46号</item>
      </candidateList>
      <explain>发文字号格式错误。</explain>
      <paraID> 33A5B0C</paraID>
      <start>25</start>
      <end>34</end>
      <status>unmodified</status>
      <modifiedWord/>
      <trackRevisions>false</trackRevisions>
    </reviewItem>
    <reviewItem>
      <errorID>1f1ed235-b3a0-4afa-9d8d-a0dfb26aa07a</errorID>
      <errorWord>[2022]46号</errorWord>
      <group>L1_Knowledge</group>
      <groupName>知识性问题</groupName>
      <ability>L2_Knowledge</ability>
      <abilityName>其他知识</abilityName>
      <candidateList>
        <item>〔2022〕46号</item>
      </candidateList>
      <explain>发文字号格式错误。</explain>
      <paraID>723F1469</paraID>
      <start>29</start>
      <end>38</end>
      <status>unmodified</status>
      <modifiedWord/>
      <trackRevisions>false</trackRevisions>
    </reviewItem>
    <reviewItem>
      <errorID>72f653bf-2b1e-436d-9935-e6da5c14cff9</errorID>
      <errorWord>。</errorWord>
      <group>L1_AI</group>
      <groupName>深度校对</groupName>
      <ability>L2_AI_Punc</ability>
      <abilityName>标点纠错</abilityName>
      <candidateList>
        <item>，</item>
      </candidateList>
      <explain/>
      <paraID> 838106B</paraID>
      <start>61</start>
      <end>62</end>
      <status>unmodified</status>
      <modifiedWord/>
      <trackRevisions>false</trackRevisions>
    </reviewItem>
    <reviewItem>
      <errorID>6dcacf97-cd6b-431f-b8b6-44e8140141e4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5A14FB43</paraID>
      <start>0</start>
      <end>2</end>
      <status>unmodified</status>
      <modifiedWord/>
      <trackRevisions>false</trackRevisions>
    </reviewItem>
    <reviewItem>
      <errorID>24d605e5-e9f8-4bec-b9fc-13c0f8d823b4</errorID>
      <errorWord>处理厂</errorWord>
      <group>L1_AI</group>
      <groupName>深度校对</groupName>
      <ability>L2_AI_Punc</ability>
      <abilityName>标点纠错</abilityName>
      <candidateList>
        <item>处理厂。</item>
      </candidateList>
      <explain/>
      <paraID>75FC2F45</paraID>
      <start>40</start>
      <end>43</end>
      <status>unmodified</status>
      <modifiedWord/>
      <trackRevisions>false</trackRevisions>
    </reviewItem>
    <reviewItem>
      <errorID>5c180518-e5fe-4253-ba9f-ea143a520e02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5C986342</paraID>
      <start>0</start>
      <end>2</end>
      <status>unmodified</status>
      <modifiedWord/>
      <trackRevisions>false</trackRevisions>
    </reviewItem>
    <reviewItem>
      <errorID>9799c100-eed8-4e23-b538-90927efffda8</errorID>
      <errorWord>行业</errorWord>
      <group>L1_AI</group>
      <groupName>深度校对</groupName>
      <ability>L2_AI_Punc</ability>
      <abilityName>标点纠错</abilityName>
      <candidateList>
        <item>行业。</item>
      </candidateList>
      <explain/>
      <paraID>20B139E9</paraID>
      <start>44</start>
      <end>46</end>
      <status>unmodified</status>
      <modifiedWord/>
      <trackRevisions>false</trackRevisions>
    </reviewItem>
    <reviewItem>
      <errorID>93cd7f2f-6b2f-43c1-9f29-f9cc969a0f4b</errorID>
      <errorWord>使用</errorWord>
      <group>L1_AI</group>
      <groupName>深度校对</groupName>
      <ability>L2_AI_Punc</ability>
      <abilityName>标点纠错</abilityName>
      <candidateList>
        <item>使用。</item>
      </candidateList>
      <explain/>
      <paraID>6C7CFAA6</paraID>
      <start>22</start>
      <end>24</end>
      <status>unmodified</status>
      <modifiedWord/>
      <trackRevisions>false</trackRevisions>
    </reviewItem>
    <reviewItem>
      <errorID>de1067a5-d276-4b90-82e6-8cf8e6402946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66BEED62</paraID>
      <start>0</start>
      <end>2</end>
      <status>unmodified</status>
      <modifiedWord/>
      <trackRevisions>false</trackRevisions>
    </reviewItem>
    <reviewItem>
      <errorID>29843aa7-5244-41a7-913f-2e763ec84b9c</errorID>
      <errorWord>胶粘剂</errorWord>
      <group>L1_Word</group>
      <groupName>字词问题</groupName>
      <ability>L2_Typo</ability>
      <abilityName>字词错误</abilityName>
      <candidateList>
        <item>胶黏剂</item>
      </candidateList>
      <explain/>
      <paraID>379C8399</paraID>
      <start>53</start>
      <end>56</end>
      <status>unmodified</status>
      <modifiedWord/>
      <trackRevisions>false</trackRevisions>
    </reviewItem>
    <reviewItem>
      <errorID>b925de5e-e512-4e8c-aaa6-1c8bf1367f7a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2CB1CA6C</paraID>
      <start>0</start>
      <end>2</end>
      <status>unmodified</status>
      <modifiedWord/>
      <trackRevisions>false</trackRevisions>
    </reviewItem>
    <reviewItem>
      <errorID>bc1d1e6e-e032-4035-b92f-500901dc073f</errorID>
      <errorWord>(</errorWord>
      <group>L1_Format</group>
      <groupName>格式问题</groupName>
      <ability>L2_HalfPunc</ability>
      <abilityName>全半角检查</abilityName>
      <candidateList>
        <item>（</item>
      </candidateList>
      <explain>文本全半角错误。</explain>
      <paraID>7BFF758D</paraID>
      <start>122</start>
      <end>123</end>
      <status>unmodified</status>
      <modifiedWord/>
      <trackRevisions>false</trackRevisions>
    </reviewItem>
    <reviewItem>
      <errorID>85bf010b-a896-4b78-96f0-188ebefd4a37</errorID>
      <errorWord>)</errorWord>
      <group>L1_Format</group>
      <groupName>格式问题</groupName>
      <ability>L2_HalfPunc</ability>
      <abilityName>全半角检查</abilityName>
      <candidateList>
        <item>）</item>
      </candidateList>
      <explain>文本全半角错误。</explain>
      <paraID>7BFF758D</paraID>
      <start>137</start>
      <end>138</end>
      <status>unmodified</status>
      <modifiedWord/>
      <trackRevisions>false</trackRevisions>
    </reviewItem>
    <reviewItem>
      <errorID>e57cfd85-f514-48ed-8a20-82c4286d2090</errorID>
      <errorWord>“/</errorWord>
      <group>L1_Punc</group>
      <groupName>标点问题</groupName>
      <ability>L2_Punc</ability>
      <abilityName>标点符号检查</abilityName>
      <candidateList>
        <item>“</item>
      </candidateList>
      <explain/>
      <paraID>7BFF758D</paraID>
      <start>235</start>
      <end>237</end>
      <status>unmodified</status>
      <modifiedWord/>
      <trackRevisions>false</trackRevisions>
    </reviewItem>
    <reviewItem>
      <errorID>fd50f706-40ac-46af-87c1-af592b8f6288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7BFF758D</paraID>
      <start>237</start>
      <end>240</end>
      <status>unmodified</status>
      <modifiedWord/>
      <trackRevisions>false</trackRevisions>
    </reviewItem>
    <reviewItem>
      <errorID>53a561b5-4941-45a3-b0c9-07fad103f12f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38962258</paraID>
      <start>0</start>
      <end>2</end>
      <status>unmodified</status>
      <modifiedWord/>
      <trackRevisions>false</trackRevisions>
    </reviewItem>
    <reviewItem>
      <errorID>dc5de0f6-17c3-4fa0-a0ce-32356852a9ab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7BB29EA0</paraID>
      <start>0</start>
      <end>2</end>
      <status>unmodified</status>
      <modifiedWord/>
      <trackRevisions>false</trackRevisions>
    </reviewItem>
    <reviewItem>
      <errorID>972007b3-29cb-4229-bfb7-3f4829f5b50a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E2D5515</paraID>
      <start>0</start>
      <end>2</end>
      <status>unmodified</status>
      <modifiedWord/>
      <trackRevisions>false</trackRevisions>
    </reviewItem>
    <reviewItem>
      <errorID>7f59a41b-a2b6-42aa-8151-7cf098bf7aa1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405BC4E3</paraID>
      <start>0</start>
      <end>2</end>
      <status>unmodified</status>
      <modifiedWord/>
      <trackRevisions>false</trackRevisions>
    </reviewItem>
    <reviewItem>
      <errorID>9d1f0a6f-5f58-4781-8416-aacb9fd63c82</errorID>
      <errorWord>（</errorWord>
      <group>L1_Format</group>
      <groupName>格式问题</groupName>
      <ability>L2_HalfPunc</ability>
      <abilityName>全半角检查</abilityName>
      <candidateList>
        <item>(</item>
      </candidateList>
      <explain>文本全半角错误。</explain>
      <paraID> 5F34342</paraID>
      <start>5</start>
      <end>6</end>
      <status>unmodified</status>
      <modifiedWord/>
      <trackRevisions>false</trackRevisions>
    </reviewItem>
    <reviewItem>
      <errorID>93d88b08-c25f-4154-b06e-941d7d007407</errorID>
      <errorWord>）</errorWord>
      <group>L1_Format</group>
      <groupName>格式问题</groupName>
      <ability>L2_HalfPunc</ability>
      <abilityName>全半角检查</abilityName>
      <candidateList>
        <item>)</item>
      </candidateList>
      <explain>文本全半角错误。</explain>
      <paraID> 5F34342</paraID>
      <start>13</start>
      <end>14</end>
      <status>unmodified</status>
      <modifiedWord/>
      <trackRevisions>false</trackRevisions>
    </reviewItem>
    <reviewItem>
      <errorID>f307d37d-361c-4edb-841b-ce639c19165a</errorID>
      <errorWord>(</errorWord>
      <group>L1_Format</group>
      <groupName>格式问题</groupName>
      <ability>L2_HalfPunc</ability>
      <abilityName>全半角检查</abilityName>
      <candidateList>
        <item>（</item>
      </candidateList>
      <explain>文本全半角错误。</explain>
      <paraID> CA85E7D</paraID>
      <start>9</start>
      <end>10</end>
      <status>unmodified</status>
      <modifiedWord/>
      <trackRevisions>false</trackRevisions>
    </reviewItem>
    <reviewItem>
      <errorID>a93c8f9a-1db4-4209-8d47-80d9cbedbc65</errorID>
      <errorWord>)</errorWord>
      <group>L1_Format</group>
      <groupName>格式问题</groupName>
      <ability>L2_HalfPunc</ability>
      <abilityName>全半角检查</abilityName>
      <candidateList>
        <item>）</item>
      </candidateList>
      <explain>文本全半角错误。</explain>
      <paraID> CA85E7D</paraID>
      <start>14</start>
      <end>15</end>
      <status>unmodified</status>
      <modifiedWord/>
      <trackRevisions>false</trackRevisions>
    </reviewItem>
    <reviewItem>
      <errorID>6e4eaca9-dc29-417e-a40e-12da323521ea</errorID>
      <errorWord>，</errorWord>
      <group>L1_Word</group>
      <groupName>字词问题</groupName>
      <ability>L2_Typo</ability>
      <abilityName>字词错误</abilityName>
      <candidateList>
        <item>，具</item>
      </candidateList>
      <explain/>
      <paraID>63FA11D9</paraID>
      <start>10</start>
      <end>11</end>
      <status>unmodified</status>
      <modifiedWord/>
      <trackRevisions>false</trackRevisions>
    </reviewItem>
    <reviewItem>
      <errorID>d8638629-28f2-4a8b-81cf-abf47bb33da7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2492317C</paraID>
      <start>0</start>
      <end>2</end>
      <status>unmodified</status>
      <modifiedWord/>
      <trackRevisions>false</trackRevisions>
    </reviewItem>
    <reviewItem>
      <errorID>2bb8089b-e444-4df5-8a7b-03fd5422c75a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A316B5B</paraID>
      <start>66</start>
      <end>67</end>
      <status>unmodified</status>
      <modifiedWord/>
      <trackRevisions>false</trackRevisions>
    </reviewItem>
    <reviewItem>
      <errorID>89cdff5a-1056-4c5c-8f47-06c5eb2c2355</errorID>
      <errorWord>达</errorWord>
      <group>L1_Word</group>
      <groupName>字词问题</groupName>
      <ability>L2_Typo</ability>
      <abilityName>字词错误</abilityName>
      <candidateList>
        <item>达到</item>
      </candidateList>
      <explain>〈动〉到（多指抽象事物或程度）：达得到｜达不到｜目的没有～｜～国际水平。</explain>
      <paraID> A04298E</paraID>
      <start>141</start>
      <end>142</end>
      <status>unmodified</status>
      <modifiedWord/>
      <trackRevisions>false</trackRevisions>
    </reviewItem>
    <reviewItem>
      <errorID>7f838082-21d0-4ede-ac70-7969ba35a4a0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2F694631</paraID>
      <start>0</start>
      <end>2</end>
      <status>unmodified</status>
      <modifiedWord/>
      <trackRevisions>false</trackRevisions>
    </reviewItem>
    <reviewItem>
      <errorID>e5f33f55-9ebd-4ed4-9bc7-f74835e44364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7469E5E6</paraID>
      <start>0</start>
      <end>2</end>
      <status>unmodified</status>
      <modifiedWord/>
      <trackRevisions>false</trackRevisions>
    </reviewItem>
    <reviewItem>
      <errorID>13b72142-b3ff-4589-9ecf-9b6ea4345479</errorID>
      <errorWord>厂房为</errorWord>
      <group>L1_Word</group>
      <groupName>字词问题</groupName>
      <ability>L2_Typo</ability>
      <abilityName>字词错误</abilityName>
      <candidateList>
        <item>厂房</item>
      </candidateList>
      <explain/>
      <paraID>34ED2F08</paraID>
      <start>4</start>
      <end>7</end>
      <status>unmodified</status>
      <modifiedWord/>
      <trackRevisions>false</trackRevisions>
    </reviewItem>
    <reviewItem>
      <errorID>e5d003ad-0f1c-46c3-860f-cb481072165b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28FD3994</paraID>
      <start>0</start>
      <end>2</end>
      <status>unmodified</status>
      <modifiedWord/>
      <trackRevisions>false</trackRevisions>
    </reviewItem>
    <reviewItem>
      <errorID>d660d3cb-910b-44b9-bb00-609928c23261</errorID>
      <errorWord>沾</errorWord>
      <group>L1_Word</group>
      <groupName>字词问题</groupName>
      <ability>L2_Typo</ability>
      <abilityName>字词错误</abilityName>
      <candidateList>
        <item>蘸</item>
      </candidateList>
      <explain/>
      <paraID>28FD3994</paraID>
      <start>23</start>
      <end>24</end>
      <status>unmodified</status>
      <modifiedWord/>
      <trackRevisions>false</trackRevisions>
    </reviewItem>
    <reviewItem>
      <errorID>3cd74bdd-c84c-4ba4-a32e-b2e198a1921a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342816C0</paraID>
      <start>0</start>
      <end>2</end>
      <status>unmodified</status>
      <modifiedWord/>
      <trackRevisions>false</trackRevisions>
    </reviewItem>
    <reviewItem>
      <errorID>7905e1c1-42bd-41cd-a3f9-c0bc52a69633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45D7A21B</paraID>
      <start>0</start>
      <end>2</end>
      <status>unmodified</status>
      <modifiedWord/>
      <trackRevisions>false</trackRevisions>
    </reviewItem>
    <reviewItem>
      <errorID>1658613b-b709-44f5-9e1c-9fceff227560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4E2E1D25</paraID>
      <start>0</start>
      <end>2</end>
      <status>unmodified</status>
      <modifiedWord/>
      <trackRevisions>false</trackRevisions>
    </reviewItem>
    <reviewItem>
      <errorID>a4059e66-8e08-4031-b4a5-7b377b0a0fa7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5F11ADCC</paraID>
      <start>0</start>
      <end>2</end>
      <status>unmodified</status>
      <modifiedWord/>
      <trackRevisions>false</trackRevisions>
    </reviewItem>
    <reviewItem>
      <errorID>09ad5eb5-7443-44b6-be45-a3b684262929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588FFDF0</paraID>
      <start>0</start>
      <end>2</end>
      <status>unmodified</status>
      <modifiedWord/>
      <trackRevisions>false</trackRevisions>
    </reviewItem>
    <reviewItem>
      <errorID>6def6c8d-a55c-4ab3-9b3f-d0f3a4b66238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61FB32EE</paraID>
      <start>0</start>
      <end>2</end>
      <status>unmodified</status>
      <modifiedWord/>
      <trackRevisions>false</trackRevisions>
    </reviewItem>
    <reviewItem>
      <errorID>dac2afa8-66e6-4063-b989-317d1eba5921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61FB32EE</paraID>
      <start>111</start>
      <end>112</end>
      <status>unmodified</status>
      <modifiedWord/>
      <trackRevisions>false</trackRevisions>
    </reviewItem>
    <reviewItem>
      <errorID>e4d756f5-be97-4d1b-befc-14164304a0d2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5806331D</paraID>
      <start>0</start>
      <end>2</end>
      <status>unmodified</status>
      <modifiedWord/>
      <trackRevisions>false</trackRevisions>
    </reviewItem>
    <reviewItem>
      <errorID>6b20dfbc-700d-4116-be45-fd4f4f8b7164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141CCDCA</paraID>
      <start>0</start>
      <end>2</end>
      <status>unmodified</status>
      <modifiedWord/>
      <trackRevisions>false</trackRevisions>
    </reviewItem>
    <reviewItem>
      <errorID>14056cad-fb5d-49ce-bedd-6d66f756bead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1F353478</paraID>
      <start>0</start>
      <end>2</end>
      <status>unmodified</status>
      <modifiedWord/>
      <trackRevisions>false</trackRevisions>
    </reviewItem>
    <reviewItem>
      <errorID>04050269-3170-4297-9650-ce415dd087c6</errorID>
      <errorWord>（</errorWord>
      <group>L1_Format</group>
      <groupName>格式问题</groupName>
      <ability>L2_HalfPunc</ability>
      <abilityName>全半角检查</abilityName>
      <candidateList>
        <item>(</item>
      </candidateList>
      <explain>文本全半角错误。</explain>
      <paraID>157670E0</paraID>
      <start>0</start>
      <end>1</end>
      <status>unmodified</status>
      <modifiedWord/>
      <trackRevisions>false</trackRevisions>
    </reviewItem>
    <reviewItem>
      <errorID>a9feccfd-5aa9-4280-bc21-82f5ef0abc19</errorID>
      <errorWord>）</errorWord>
      <group>L1_Format</group>
      <groupName>格式问题</groupName>
      <ability>L2_HalfPunc</ability>
      <abilityName>全半角检查</abilityName>
      <candidateList>
        <item>)</item>
      </candidateList>
      <explain>文本全半角错误。</explain>
      <paraID>157670E0</paraID>
      <start>6</start>
      <end>7</end>
      <status>unmodified</status>
      <modifiedWord/>
      <trackRevisions>false</trackRevisions>
    </reviewItem>
    <reviewItem>
      <errorID>00c9c6c4-a440-4539-b817-cc31af3db54a</errorID>
      <errorWord>（</errorWord>
      <group>L1_Format</group>
      <groupName>格式问题</groupName>
      <ability>L2_HalfPunc</ability>
      <abilityName>全半角检查</abilityName>
      <candidateList>
        <item>(</item>
      </candidateList>
      <explain>文本全半角错误。</explain>
      <paraID>3A0170DA</paraID>
      <start>0</start>
      <end>1</end>
      <status>unmodified</status>
      <modifiedWord/>
      <trackRevisions>false</trackRevisions>
    </reviewItem>
    <reviewItem>
      <errorID>df1b4d2b-d22b-4a17-9282-e22dc2296a7d</errorID>
      <errorWord>）</errorWord>
      <group>L1_Format</group>
      <groupName>格式问题</groupName>
      <ability>L2_HalfPunc</ability>
      <abilityName>全半角检查</abilityName>
      <candidateList>
        <item>)</item>
      </candidateList>
      <explain>文本全半角错误。</explain>
      <paraID>3A0170DA</paraID>
      <start>6</start>
      <end>7</end>
      <status>unmodified</status>
      <modifiedWord/>
      <trackRevisions>false</trackRevisions>
    </reviewItem>
    <reviewItem>
      <errorID>06e8e002-6774-4f71-a5d8-c21cdd71880e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727EE5B</paraID>
      <start>75</start>
      <end>76</end>
      <status>unmodified</status>
      <modifiedWord/>
      <trackRevisions>false</trackRevisions>
    </reviewItem>
    <reviewItem>
      <errorID>d415925c-1043-4548-9ce6-8ba062562667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4E4EB103</paraID>
      <start>0</start>
      <end>2</end>
      <status>unmodified</status>
      <modifiedWord/>
      <trackRevisions>false</trackRevisions>
    </reviewItem>
    <reviewItem>
      <errorID>421605d0-36ca-4dbc-87a2-cedc93269c1d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29C48390</paraID>
      <start>0</start>
      <end>2</end>
      <status>unmodified</status>
      <modifiedWord/>
      <trackRevisions>false</trackRevisions>
    </reviewItem>
    <reviewItem>
      <errorID>3878f0be-e9b7-4123-8f22-d7ef40f5c18b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4CACD3A0</paraID>
      <start>0</start>
      <end>2</end>
      <status>unmodified</status>
      <modifiedWord/>
      <trackRevisions>false</trackRevisions>
    </reviewItem>
    <reviewItem>
      <errorID>17fb7482-f5a9-420b-a21c-c26fbb065bbd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415400A1</paraID>
      <start>0</start>
      <end>2</end>
      <status>unmodified</status>
      <modifiedWord/>
      <trackRevisions>false</trackRevisions>
    </reviewItem>
    <reviewItem>
      <errorID>8f271efc-4f85-41dd-8fc7-e64b6b9c8c5b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71F7A44C</paraID>
      <start>0</start>
      <end>2</end>
      <status>unmodified</status>
      <modifiedWord/>
      <trackRevisions>false</trackRevisions>
    </reviewItem>
    <reviewItem>
      <errorID>7cee9150-2166-4f25-ace6-9f41841e2eae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2A48294F</paraID>
      <start>0</start>
      <end>2</end>
      <status>unmodified</status>
      <modifiedWord/>
      <trackRevisions>false</trackRevisions>
    </reviewItem>
    <reviewItem>
      <errorID>7f0b0e63-b247-4002-890e-2d43141ad817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7293123</paraID>
      <start>0</start>
      <end>2</end>
      <status>unmodified</status>
      <modifiedWord/>
      <trackRevisions>false</trackRevisions>
    </reviewItem>
    <reviewItem>
      <errorID>be4a08e9-2a8a-40c5-8999-d31d845df6e3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2FAA88A6</paraID>
      <start>0</start>
      <end>2</end>
      <status>unmodified</status>
      <modifiedWord/>
      <trackRevisions>false</trackRevisions>
    </reviewItem>
    <reviewItem>
      <errorID>befa0f74-e583-45ef-9bcd-563fc4780035</errorID>
      <errorWord>（</errorWord>
      <group>L1_Format</group>
      <groupName>格式问题</groupName>
      <ability>L2_HalfPunc</ability>
      <abilityName>全半角检查</abilityName>
      <candidateList>
        <item>(</item>
      </candidateList>
      <explain>文本全半角错误。</explain>
      <paraID>1753DB7F</paraID>
      <start>0</start>
      <end>1</end>
      <status>unmodified</status>
      <modifiedWord/>
      <trackRevisions>false</trackRevisions>
    </reviewItem>
    <reviewItem>
      <errorID>7da88a54-c03f-4aaa-b4d4-8d53db0693d9</errorID>
      <errorWord>，</errorWord>
      <group>L1_Format</group>
      <groupName>格式问题</groupName>
      <ability>L2_HalfPunc</ability>
      <abilityName>全半角检查</abilityName>
      <candidateList>
        <item>, </item>
      </candidateList>
      <explain>文本全半角错误。</explain>
      <paraID>1753DB7F</paraID>
      <start>2</start>
      <end>3</end>
      <status>unmodified</status>
      <modifiedWord/>
      <trackRevisions>false</trackRevisions>
    </reviewItem>
    <reviewItem>
      <errorID>d8ec921f-063b-4757-a81a-c8a238fd2140</errorID>
      <errorWord>）</errorWord>
      <group>L1_Format</group>
      <groupName>格式问题</groupName>
      <ability>L2_HalfPunc</ability>
      <abilityName>全半角检查</abilityName>
      <candidateList>
        <item>)</item>
      </candidateList>
      <explain>文本全半角错误。</explain>
      <paraID>1753DB7F</paraID>
      <start>4</start>
      <end>5</end>
      <status>unmodified</status>
      <modifiedWord/>
      <trackRevisions>false</trackRevisions>
    </reviewItem>
    <reviewItem>
      <errorID>fc87b9ed-11dd-4726-9866-3813bf853109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67458813</paraID>
      <start>0</start>
      <end>2</end>
      <status>unmodified</status>
      <modifiedWord/>
      <trackRevisions>false</trackRevisions>
    </reviewItem>
    <reviewItem>
      <errorID>516181d6-7be7-47b5-9424-12a9c8bdb496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509F9036</paraID>
      <start>0</start>
      <end>2</end>
      <status>unmodified</status>
      <modifiedWord/>
      <trackRevisions>false</trackRevisions>
    </reviewItem>
    <reviewItem>
      <errorID>c28a19aa-c1cf-4b1c-bd49-4060e5eff3e9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47C675A9</paraID>
      <start>0</start>
      <end>2</end>
      <status>unmodified</status>
      <modifiedWord/>
      <trackRevisions>false</trackRevisions>
    </reviewItem>
    <reviewItem>
      <errorID>2285cbe5-0310-4d89-b4e3-5a3c79d50346</errorID>
      <errorWord>达</errorWord>
      <group>L1_Word</group>
      <groupName>字词问题</groupName>
      <ability>L2_Typo</ability>
      <abilityName>字词错误</abilityName>
      <candidateList>
        <item>达到</item>
      </candidateList>
      <explain>〈动〉到（多指抽象事物或程度）：达得到｜达不到｜目的没有～｜～国际水平。</explain>
      <paraID>2A2F10FC</paraID>
      <start>71</start>
      <end>72</end>
      <status>unmodified</status>
      <modifiedWord/>
      <trackRevisions>false</trackRevisions>
    </reviewItem>
    <reviewItem>
      <errorID>49ef60c4-5b8a-4804-87dc-6c1ec5d19983</errorID>
      <errorWord>（</errorWord>
      <group>L1_Format</group>
      <groupName>格式问题</groupName>
      <ability>L2_HalfPunc</ability>
      <abilityName>全半角检查</abilityName>
      <candidateList>
        <item>(</item>
      </candidateList>
      <explain>文本全半角错误。</explain>
      <paraID>323459B7</paraID>
      <start>1</start>
      <end>2</end>
      <status>unmodified</status>
      <modifiedWord/>
      <trackRevisions>false</trackRevisions>
    </reviewItem>
    <reviewItem>
      <errorID>42732d58-589d-46ca-9767-83554ea59855</errorID>
      <errorWord>）</errorWord>
      <group>L1_Format</group>
      <groupName>格式问题</groupName>
      <ability>L2_HalfPunc</ability>
      <abilityName>全半角检查</abilityName>
      <candidateList>
        <item>)</item>
      </candidateList>
      <explain>文本全半角错误。</explain>
      <paraID>323459B7</paraID>
      <start>3</start>
      <end>4</end>
      <status>unmodified</status>
      <modifiedWord/>
      <trackRevisions>false</trackRevisions>
    </reviewItem>
    <reviewItem>
      <errorID>719a348f-8592-48c2-94e0-1351550ec92d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1975C256</paraID>
      <start>0</start>
      <end>2</end>
      <status>unmodified</status>
      <modifiedWord/>
      <trackRevisions>false</trackRevisions>
    </reviewItem>
    <reviewItem>
      <errorID>5d0f326b-6663-4a48-a2e3-151dff59d7fe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1908FC75</paraID>
      <start>0</start>
      <end>2</end>
      <status>unmodified</status>
      <modifiedWord/>
      <trackRevisions>false</trackRevisions>
    </reviewItem>
    <reviewItem>
      <errorID>446aaf34-7a99-45f1-9134-ee8e24e9cbbe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299FA9FF</paraID>
      <start>0</start>
      <end>2</end>
      <status>unmodified</status>
      <modifiedWord/>
      <trackRevisions>false</trackRevisions>
    </reviewItem>
    <reviewItem>
      <errorID>45f7b4b7-2c1e-4175-9fef-a4aa3cb0b6aa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628707D0</paraID>
      <start>66</start>
      <end>67</end>
      <status>unmodified</status>
      <modifiedWord/>
      <trackRevisions>false</trackRevisions>
    </reviewItem>
    <reviewItem>
      <errorID>a27787e4-8ba7-448a-b2e8-e2d369bc9e89</errorID>
      <errorWord>：</errorWord>
      <group>L1_Format</group>
      <groupName>格式问题</groupName>
      <ability>L2_HalfPunc</ability>
      <abilityName>全半角检查</abilityName>
      <candidateList>
        <item>:</item>
      </candidateList>
      <explain>文本全半角错误。</explain>
      <paraID>628707D0</paraID>
      <start>202</start>
      <end>203</end>
      <status>unmodified</status>
      <modifiedWord/>
      <trackRevisions>false</trackRevisions>
    </reviewItem>
    <reviewItem>
      <errorID>c287c054-6a08-4e8c-b61a-11ad78225ff8</errorID>
      <errorWord>（</errorWord>
      <group>L1_Format</group>
      <groupName>格式问题</groupName>
      <ability>L2_HalfPunc</ability>
      <abilityName>全半角检查</abilityName>
      <candidateList>
        <item>(</item>
      </candidateList>
      <explain>文本全半角错误。</explain>
      <paraID>13824CB1</paraID>
      <start>0</start>
      <end>1</end>
      <status>unmodified</status>
      <modifiedWord/>
      <trackRevisions>false</trackRevisions>
    </reviewItem>
    <reviewItem>
      <errorID>a6d21bde-5ffc-427a-b750-7c4a16810488</errorID>
      <errorWord>）</errorWord>
      <group>L1_Format</group>
      <groupName>格式问题</groupName>
      <ability>L2_HalfPunc</ability>
      <abilityName>全半角检查</abilityName>
      <candidateList>
        <item>)</item>
      </candidateList>
      <explain>文本全半角错误。</explain>
      <paraID>13824CB1</paraID>
      <start>4</start>
      <end>5</end>
      <status>unmodified</status>
      <modifiedWord/>
      <trackRevisions>false</trackRevisions>
    </reviewItem>
    <reviewItem>
      <errorID>39addd24-dec9-474a-bccf-47b3bec8740f</errorID>
      <errorWord>～</errorWord>
      <group>L1_Format</group>
      <groupName>格式问题</groupName>
      <ability>L2_HalfPunc</ability>
      <abilityName>全半角检查</abilityName>
      <candidateList>
        <item>~</item>
      </candidateList>
      <explain>文本全半角错误。</explain>
      <paraID>37BB61D4</paraID>
      <start>1</start>
      <end>2</end>
      <status>unmodified</status>
      <modifiedWord/>
      <trackRevisions>false</trackRevisions>
    </reviewItem>
    <reviewItem>
      <errorID>b8dca2da-0ae0-495b-b7b3-6c9d49f847bc</errorID>
      <errorWord>～</errorWord>
      <group>L1_Format</group>
      <groupName>格式问题</groupName>
      <ability>L2_HalfPunc</ability>
      <abilityName>全半角检查</abilityName>
      <candidateList>
        <item>~</item>
      </candidateList>
      <explain>文本全半角错误。</explain>
      <paraID>5FD8AC31</paraID>
      <start>1</start>
      <end>2</end>
      <status>unmodified</status>
      <modifiedWord/>
      <trackRevisions>false</trackRevisions>
    </reviewItem>
    <reviewItem>
      <errorID>59a7bcc6-8a05-49bc-9269-b44d1b01d642</errorID>
      <errorWord>～</errorWord>
      <group>L1_Format</group>
      <groupName>格式问题</groupName>
      <ability>L2_HalfPunc</ability>
      <abilityName>全半角检查</abilityName>
      <candidateList>
        <item>~</item>
      </candidateList>
      <explain>文本全半角错误。</explain>
      <paraID>33B1B304</paraID>
      <start>1</start>
      <end>2</end>
      <status>unmodified</status>
      <modifiedWord/>
      <trackRevisions>false</trackRevisions>
    </reviewItem>
    <reviewItem>
      <errorID>4659a92b-1896-4743-a6ee-492be936c04d</errorID>
      <errorWord>～</errorWord>
      <group>L1_Format</group>
      <groupName>格式问题</groupName>
      <ability>L2_HalfPunc</ability>
      <abilityName>全半角检查</abilityName>
      <candidateList>
        <item>~</item>
      </candidateList>
      <explain>文本全半角错误。</explain>
      <paraID>7D40653B</paraID>
      <start>1</start>
      <end>2</end>
      <status>unmodified</status>
      <modifiedWord/>
      <trackRevisions>false</trackRevisions>
    </reviewItem>
    <reviewItem>
      <errorID>3eb0598c-58ad-4803-8873-59c244e5bdb2</errorID>
      <errorWord>～</errorWord>
      <group>L1_Format</group>
      <groupName>格式问题</groupName>
      <ability>L2_HalfPunc</ability>
      <abilityName>全半角检查</abilityName>
      <candidateList>
        <item>~</item>
      </candidateList>
      <explain>文本全半角错误。</explain>
      <paraID>325EC7DD</paraID>
      <start>1</start>
      <end>2</end>
      <status>unmodified</status>
      <modifiedWord/>
      <trackRevisions>false</trackRevisions>
    </reviewItem>
    <reviewItem>
      <errorID>b6d1c9c7-2b4e-4e60-ad86-07a85be03cd1</errorID>
      <errorWord>～</errorWord>
      <group>L1_Format</group>
      <groupName>格式问题</groupName>
      <ability>L2_HalfPunc</ability>
      <abilityName>全半角检查</abilityName>
      <candidateList>
        <item>~</item>
      </candidateList>
      <explain>文本全半角错误。</explain>
      <paraID>599F234C</paraID>
      <start>1</start>
      <end>2</end>
      <status>unmodified</status>
      <modifiedWord/>
      <trackRevisions>false</trackRevisions>
    </reviewItem>
    <reviewItem>
      <errorID>b83a23b8-3441-47bb-8afe-84773c3aaa26</errorID>
      <errorWord>～</errorWord>
      <group>L1_Format</group>
      <groupName>格式问题</groupName>
      <ability>L2_HalfPunc</ability>
      <abilityName>全半角检查</abilityName>
      <candidateList>
        <item>~</item>
      </candidateList>
      <explain>文本全半角错误。</explain>
      <paraID>651CB4F5</paraID>
      <start>1</start>
      <end>2</end>
      <status>unmodified</status>
      <modifiedWord/>
      <trackRevisions>false</trackRevisions>
    </reviewItem>
    <reviewItem>
      <errorID>c56fe45b-e0e9-4b7a-8972-123f86a76e86</errorID>
      <errorWord>～</errorWord>
      <group>L1_Format</group>
      <groupName>格式问题</groupName>
      <ability>L2_HalfPunc</ability>
      <abilityName>全半角检查</abilityName>
      <candidateList>
        <item>~</item>
      </candidateList>
      <explain>文本全半角错误。</explain>
      <paraID>3B087BDD</paraID>
      <start>1</start>
      <end>2</end>
      <status>unmodified</status>
      <modifiedWord/>
      <trackRevisions>false</trackRevisions>
    </reviewItem>
    <reviewItem>
      <errorID>db48e3cb-3061-4f79-b31d-d94a863aa06b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380B7633</paraID>
      <start>0</start>
      <end>2</end>
      <status>unmodified</status>
      <modifiedWord/>
      <trackRevisions>false</trackRevisions>
    </reviewItem>
    <reviewItem>
      <errorID>34b84331-a8bd-4d01-b386-3ad09a112e89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63E67666</paraID>
      <start>0</start>
      <end>2</end>
      <status>unmodified</status>
      <modifiedWord/>
      <trackRevisions>false</trackRevisions>
    </reviewItem>
    <reviewItem>
      <errorID>df700ee0-0fa1-4414-8c0d-8a8035bdd5bf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40B49CE7</paraID>
      <start>0</start>
      <end>2</end>
      <status>unmodified</status>
      <modifiedWord/>
      <trackRevisions>false</trackRevisions>
    </reviewItem>
    <reviewItem>
      <errorID>e10e63d2-c443-4196-961a-ab1b511fb3e7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4A49EDBA</paraID>
      <start>0</start>
      <end>2</end>
      <status>unmodified</status>
      <modifiedWord/>
      <trackRevisions>false</trackRevisions>
    </reviewItem>
    <reviewItem>
      <errorID>1495f81a-3b8e-4193-bbff-0084f7595a78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6521CF59</paraID>
      <start>0</start>
      <end>2</end>
      <status>unmodified</status>
      <modifiedWord/>
      <trackRevisions>false</trackRevisions>
    </reviewItem>
    <reviewItem>
      <errorID>29a6d61d-2888-44f6-a2b1-1dc9cb6108ff</errorID>
      <errorWord>（</errorWord>
      <group>L1_Format</group>
      <groupName>格式问题</groupName>
      <ability>L2_HalfPunc</ability>
      <abilityName>全半角检查</abilityName>
      <candidateList>
        <item>(</item>
      </candidateList>
      <explain>文本全半角错误。</explain>
      <paraID>1C695733</paraID>
      <start>3</start>
      <end>4</end>
      <status>unmodified</status>
      <modifiedWord/>
      <trackRevisions>false</trackRevisions>
    </reviewItem>
    <reviewItem>
      <errorID>c79fef7d-9002-4521-865e-0749be8706c9</errorID>
      <errorWord>）</errorWord>
      <group>L1_Format</group>
      <groupName>格式问题</groupName>
      <ability>L2_HalfPunc</ability>
      <abilityName>全半角检查</abilityName>
      <candidateList>
        <item>)</item>
      </candidateList>
      <explain>文本全半角错误。</explain>
      <paraID>1C695733</paraID>
      <start>5</start>
      <end>6</end>
      <status>unmodified</status>
      <modifiedWord/>
      <trackRevisions>false</trackRevisions>
    </reviewItem>
    <reviewItem>
      <errorID>f0030ac5-c369-4923-a809-6e52b10cc4c7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69AD9242</paraID>
      <start>0</start>
      <end>2</end>
      <status>unmodified</status>
      <modifiedWord/>
      <trackRevisions>false</trackRevisions>
    </reviewItem>
    <reviewItem>
      <errorID>8a07a919-e1ea-4ad4-a089-290c9c525e5d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42419C0F</paraID>
      <start>0</start>
      <end>2</end>
      <status>unmodified</status>
      <modifiedWord/>
      <trackRevisions>false</trackRevisions>
    </reviewItem>
    <reviewItem>
      <errorID>0c66c2f4-c27d-4114-aacb-dba2d64b700d</errorID>
      <errorWord>)</errorWord>
      <group>L1_Format</group>
      <groupName>格式问题</groupName>
      <ability>L2_HalfPunc</ability>
      <abilityName>全半角检查</abilityName>
      <candidateList>
        <item>）</item>
      </candidateList>
      <explain>文本全半角错误。</explain>
      <paraID> 4A2B3FE</paraID>
      <start>14</start>
      <end>15</end>
      <status>unmodified</status>
      <modifiedWord/>
      <trackRevisions>false</trackRevisions>
    </reviewItem>
    <reviewItem>
      <errorID>bbf88343-fe52-45ec-8702-a6b79b0f07a6</errorID>
      <errorWord>)</errorWord>
      <group>L1_Format</group>
      <groupName>格式问题</groupName>
      <ability>L2_HalfPunc</ability>
      <abilityName>全半角检查</abilityName>
      <candidateList>
        <item>）</item>
      </candidateList>
      <explain>文本全半角错误。</explain>
      <paraID>724D8FD0</paraID>
      <start>22</start>
      <end>23</end>
      <status>unmodified</status>
      <modifiedWord/>
      <trackRevisions>false</trackRevisions>
    </reviewItem>
    <reviewItem>
      <errorID>d01dd13f-7ac7-4660-b833-0f8961cbc5bb</errorID>
      <errorWord>)</errorWord>
      <group>L1_Format</group>
      <groupName>格式问题</groupName>
      <ability>L2_HalfPunc</ability>
      <abilityName>全半角检查</abilityName>
      <candidateList>
        <item>）</item>
      </candidateList>
      <explain>文本全半角错误。</explain>
      <paraID>240E5951</paraID>
      <start>20</start>
      <end>21</end>
      <status>unmodified</status>
      <modifiedWord/>
      <trackRevisions>false</trackRevisions>
    </reviewItem>
    <reviewItem>
      <errorID>89968a50-4dbf-468c-a28b-ec0254e897a1</errorID>
      <errorWord>)</errorWord>
      <group>L1_Format</group>
      <groupName>格式问题</groupName>
      <ability>L2_HalfPunc</ability>
      <abilityName>全半角检查</abilityName>
      <candidateList>
        <item>）</item>
      </candidateList>
      <explain>文本全半角错误。</explain>
      <paraID>4B526D0C</paraID>
      <start>23</start>
      <end>24</end>
      <status>unmodified</status>
      <modifiedWord/>
      <trackRevisions>false</trackRevisions>
    </reviewItem>
    <reviewItem>
      <errorID>f029971c-5121-4b18-9adf-f3e04d7d2d02</errorID>
      <errorWord>)</errorWord>
      <group>L1_Format</group>
      <groupName>格式问题</groupName>
      <ability>L2_HalfPunc</ability>
      <abilityName>全半角检查</abilityName>
      <candidateList>
        <item>）</item>
      </candidateList>
      <explain>文本全半角错误。</explain>
      <paraID>10F4C1E5</paraID>
      <start>14</start>
      <end>15</end>
      <status>unmodified</status>
      <modifiedWord/>
      <trackRevisions>false</trackRevisions>
    </reviewItem>
    <reviewItem>
      <errorID>74ae5796-6e0e-4ebb-bd39-095abdac48f6</errorID>
      <errorWord>(</errorWord>
      <group>L1_Format</group>
      <groupName>格式问题</groupName>
      <ability>L2_HalfPunc</ability>
      <abilityName>全半角检查</abilityName>
      <candidateList>
        <item>（</item>
      </candidateList>
      <explain>文本全半角错误。</explain>
      <paraID>6F01A84E</paraID>
      <start>36</start>
      <end>37</end>
      <status>unmodified</status>
      <modifiedWord/>
      <trackRevisions>false</trackRevisions>
    </reviewItem>
    <reviewItem>
      <errorID>d5059cfe-7735-42a7-9629-6b1664671a3c</errorID>
      <errorWord>)</errorWord>
      <group>L1_Format</group>
      <groupName>格式问题</groupName>
      <ability>L2_HalfPunc</ability>
      <abilityName>全半角检查</abilityName>
      <candidateList>
        <item>）</item>
      </candidateList>
      <explain>文本全半角错误。</explain>
      <paraID>6F01A84E</paraID>
      <start>49</start>
      <end>50</end>
      <status>unmodified</status>
      <modifiedWord/>
      <trackRevisions>false</trackRevisions>
    </reviewItem>
    <reviewItem>
      <errorID>19177a17-599c-47f4-bc35-e89721904377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5B61B8EE</paraID>
      <start>0</start>
      <end>2</end>
      <status>unmodified</status>
      <modifiedWord/>
      <trackRevisions>false</trackRevisions>
    </reviewItem>
    <reviewItem>
      <errorID>5bf0f60a-a95b-49c1-b64d-7876645ba0cf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79FD106F</paraID>
      <start>0</start>
      <end>2</end>
      <status>unmodified</status>
      <modifiedWord/>
      <trackRevisions>false</trackRevisions>
    </reviewItem>
    <reviewItem>
      <errorID>2e9cff35-2c33-4fe9-b80f-1bb696a8b62b</errorID>
      <errorWord>沾</errorWord>
      <group>L1_Word</group>
      <groupName>字词问题</groupName>
      <ability>L2_Typo</ability>
      <abilityName>字词错误</abilityName>
      <candidateList>
        <item>蘸</item>
      </candidateList>
      <explain/>
      <paraID>  FD7C5E</paraID>
      <start>15</start>
      <end>16</end>
      <status>unmodified</status>
      <modifiedWord/>
      <trackRevisions>false</trackRevisions>
    </reviewItem>
    <reviewItem>
      <errorID>788818e6-471f-4bd4-81fb-2d066e8ab8ba</errorID>
      <errorWord>布</errorWord>
      <group>L1_Word</group>
      <groupName>字词问题</groupName>
      <ability>L2_Typo</ability>
      <abilityName>字词错误</abilityName>
      <candidateList>
        <item>不</item>
      </candidateList>
      <explain/>
      <paraID>3ED68CD6</paraID>
      <start>0</start>
      <end>1</end>
      <status>unmodified</status>
      <modifiedWord/>
      <trackRevisions>false</trackRevisions>
    </reviewItem>
    <reviewItem>
      <errorID>1c50352a-bf44-4590-8f9e-1db9389d72d5</errorID>
      <errorWord>前段</errorWord>
      <group>L1_Word</group>
      <groupName>字词问题</groupName>
      <ability>L2_Typo</ability>
      <abilityName>字词错误</abilityName>
      <candidateList>
        <item>前端</item>
      </candidateList>
      <explain>存在发音相同字词的误用。</explain>
      <paraID>5E96EEB4</paraID>
      <start>2</start>
      <end>4</end>
      <status>unmodified</status>
      <modifiedWord/>
      <trackRevisions>false</trackRevisions>
    </reviewItem>
    <reviewItem>
      <errorID>15662d71-d754-47f3-ab78-ab3c818be4e8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368FD7BD</paraID>
      <start>0</start>
      <end>2</end>
      <status>unmodified</status>
      <modifiedWord/>
      <trackRevisions>false</trackRevisions>
    </reviewItem>
    <reviewItem>
      <errorID>7132d39e-0e72-4251-ad88-949beeb8b39b</errorID>
      <errorWord>(</errorWord>
      <group>L1_Format</group>
      <groupName>格式问题</groupName>
      <ability>L2_HalfPunc</ability>
      <abilityName>全半角检查</abilityName>
      <candidateList>
        <item>（</item>
      </candidateList>
      <explain>文本全半角错误。</explain>
      <paraID>2A8F2F37</paraID>
      <start>34</start>
      <end>35</end>
      <status>unmodified</status>
      <modifiedWord/>
      <trackRevisions>false</trackRevisions>
    </reviewItem>
    <reviewItem>
      <errorID>6308e2ac-c537-4aa7-8927-93a7c7ef3cce</errorID>
      <errorWord>)</errorWord>
      <group>L1_Format</group>
      <groupName>格式问题</groupName>
      <ability>L2_HalfPunc</ability>
      <abilityName>全半角检查</abilityName>
      <candidateList>
        <item>）</item>
      </candidateList>
      <explain>文本全半角错误。</explain>
      <paraID>2A8F2F37</paraID>
      <start>47</start>
      <end>48</end>
      <status>unmodified</status>
      <modifiedWord/>
      <trackRevisions>false</trackRevisions>
    </reviewItem>
    <reviewItem>
      <errorID>2cd7f65b-c214-479d-8943-69b851d5b77a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76091CE6</paraID>
      <start>89</start>
      <end>90</end>
      <status>unmodified</status>
      <modifiedWord/>
      <trackRevisions>false</trackRevisions>
    </reviewItem>
    <reviewItem>
      <errorID>f74a2365-b696-4a7b-92ef-a14eae5ed43c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76091CE6</paraID>
      <start>139</start>
      <end>140</end>
      <status>unmodified</status>
      <modifiedWord/>
      <trackRevisions>false</trackRevisions>
    </reviewItem>
    <reviewItem>
      <errorID>85ce675d-0d44-4f9b-b9d0-773bb4c75283</errorID>
      <errorWord>标示</errorWord>
      <group>L1_Word</group>
      <groupName>字词问题</groupName>
      <ability>L2_Typo</ability>
      <abilityName>字词错误</abilityName>
      <candidateList>
        <item>标识</item>
      </candidateList>
      <explain>存在发音相同字词的误用。</explain>
      <paraID>52203F12</paraID>
      <start>12</start>
      <end>14</end>
      <status>unmodified</status>
      <modifiedWord/>
      <trackRevisions>false</trackRevisions>
    </reviewItem>
    <reviewItem>
      <errorID>bb51b875-ae50-4111-8d54-9e7573d56c0d</errorID>
      <errorWord>(</errorWord>
      <group>L1_Format</group>
      <groupName>格式问题</groupName>
      <ability>L2_HalfPunc</ability>
      <abilityName>全半角检查</abilityName>
      <candidateList>
        <item>（</item>
      </candidateList>
      <explain>文本全半角错误。</explain>
      <paraID>1348155F</paraID>
      <start>24</start>
      <end>25</end>
      <status>unmodified</status>
      <modifiedWord/>
      <trackRevisions>false</trackRevisions>
    </reviewItem>
    <reviewItem>
      <errorID>5efa345d-0b24-48f1-9101-c6b4460a5538</errorID>
      <errorWord>)</errorWord>
      <group>L1_Format</group>
      <groupName>格式问题</groupName>
      <ability>L2_HalfPunc</ability>
      <abilityName>全半角检查</abilityName>
      <candidateList>
        <item>）</item>
      </candidateList>
      <explain>文本全半角错误。</explain>
      <paraID>1348155F</paraID>
      <start>27</start>
      <end>28</end>
      <status>unmodified</status>
      <modifiedWord/>
      <trackRevisions>false</trackRevisions>
    </reviewItem>
    <reviewItem>
      <errorID>ca520beb-707c-4d1a-97de-b35c1e31109a</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20D31C09</paraID>
      <start>204</start>
      <end>208</end>
      <status>unmodified</status>
      <modifiedWord/>
      <trackRevisions>false</trackRevisions>
    </reviewItem>
    <reviewItem>
      <errorID>eb8a70d2-3ca8-43ea-832b-573649afa742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1081C23D</paraID>
      <start>16</start>
      <end>17</end>
      <status>unmodified</status>
      <modifiedWord/>
      <trackRevisions>false</trackRevisions>
    </reviewItem>
    <reviewItem>
      <errorID>b8a12f8b-de02-4bdf-93bd-b1801c1f7b2c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1081C23D</paraID>
      <start>53</start>
      <end>54</end>
      <status>unmodified</status>
      <modifiedWord/>
      <trackRevisions>false</trackRevisions>
    </reviewItem>
    <reviewItem>
      <errorID>19966e89-1b05-4047-9758-401a7639fc62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55D4A9C9</paraID>
      <start>0</start>
      <end>2</end>
      <status>unmodified</status>
      <modifiedWord/>
      <trackRevisions>false</trackRevisions>
    </reviewItem>
    <reviewItem>
      <errorID>3cecf910-37fa-4243-a3f2-7c7b5179afbe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625A8D31</paraID>
      <start>0</start>
      <end>2</end>
      <status>unmodified</status>
      <modifiedWord/>
      <trackRevisions>false</trackRevisions>
    </reviewItem>
    <reviewItem>
      <errorID>5cf50a19-d29e-45c9-a717-718946688ac3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738A9A7</paraID>
      <start>0</start>
      <end>2</end>
      <status>unmodified</status>
      <modifiedWord/>
      <trackRevisions>false</trackRevisions>
    </reviewItem>
    <reviewItem>
      <errorID>08df37aa-98a5-40fe-ab94-e6bc39aed1ce</errorID>
      <errorWord>程</errorWord>
      <group>L1_Word</group>
      <groupName>字词问题</groupName>
      <ability>L2_Typo</ability>
      <abilityName>字词错误</abilityName>
      <candidateList>
        <item>程中</item>
      </candidateList>
      <explain/>
      <paraID>658AA029</paraID>
      <start>16</start>
      <end>17</end>
      <status>unmodified</status>
      <modifiedWord/>
      <trackRevisions>false</trackRevisions>
    </reviewItem>
    <reviewItem>
      <errorID>bd955026-663b-4038-98d7-60a002a7fa53</errorID>
      <errorWord>标示</errorWord>
      <group>L1_Word</group>
      <groupName>字词问题</groupName>
      <ability>L2_Typo</ability>
      <abilityName>字词错误</abilityName>
      <candidateList>
        <item>标识</item>
      </candidateList>
      <explain/>
      <paraID>50986F8A</paraID>
      <start>96</start>
      <end>98</end>
      <status>unmodified</status>
      <modifiedWord/>
      <trackRevisions>false</trackRevisions>
    </reviewItem>
    <reviewItem>
      <errorID>29dcf6c1-d672-4d96-806e-399423e58cc5</errorID>
      <errorWord>(</errorWord>
      <group>L1_Format</group>
      <groupName>格式问题</groupName>
      <ability>L2_HalfPunc</ability>
      <abilityName>全半角检查</abilityName>
      <candidateList>
        <item>（</item>
      </candidateList>
      <explain>文本全半角错误。</explain>
      <paraID>4DDBE5FB</paraID>
      <start>3</start>
      <end>4</end>
      <status>unmodified</status>
      <modifiedWord/>
      <trackRevisions>false</trackRevisions>
    </reviewItem>
    <reviewItem>
      <errorID>9e25d940-398e-48d2-ad1f-8b234c3cccdd</errorID>
      <errorWord>)</errorWord>
      <group>L1_Format</group>
      <groupName>格式问题</groupName>
      <ability>L2_HalfPunc</ability>
      <abilityName>全半角检查</abilityName>
      <candidateList>
        <item>）</item>
      </candidateList>
      <explain>文本全半角错误。</explain>
      <paraID>4DDBE5FB</paraID>
      <start>9</start>
      <end>10</end>
      <status>unmodified</status>
      <modifiedWord/>
      <trackRevisions>false</trackRevisions>
    </reviewItem>
    <reviewItem>
      <errorID>64837000-4b37-468b-8e03-7268c1cfc733</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246517FC</paraID>
      <start>166</start>
      <end>170</end>
      <status>unmodified</status>
      <modifiedWord/>
      <trackRevisions>false</trackRevisions>
    </reviewItem>
    <reviewItem>
      <errorID>0c1d24d9-b1fb-46d1-9148-650b79a4199a</errorID>
      <errorWord>＋</errorWord>
      <group>L1_Format</group>
      <groupName>格式问题</groupName>
      <ability>L2_HalfPunc</ability>
      <abilityName>全半角检查</abilityName>
      <candidateList>
        <item>+</item>
      </candidateList>
      <explain>文本全半角错误。</explain>
      <paraID>5D9F4D2B</paraID>
      <start>0</start>
      <end>1</end>
      <status>unmodified</status>
      <modifiedWord/>
      <trackRevisions>false</trackRevisions>
    </reviewItem>
    <reviewItem>
      <errorID>af7d2753-589d-4927-9ce1-5feea81dd951</errorID>
      <errorWord>＋</errorWord>
      <group>L1_Format</group>
      <groupName>格式问题</groupName>
      <ability>L2_HalfPunc</ability>
      <abilityName>全半角检查</abilityName>
      <candidateList>
        <item>+</item>
      </candidateList>
      <explain>文本全半角错误。</explain>
      <paraID>71ACC226</paraID>
      <start>0</start>
      <end>1</end>
      <status>unmodified</status>
      <modifiedWord/>
      <trackRevisions>false</trackRevisions>
    </reviewItem>
    <reviewItem>
      <errorID>c659e985-31a0-4876-9663-cbff67b71a4a</errorID>
      <errorWord>＋</errorWord>
      <group>L1_Format</group>
      <groupName>格式问题</groupName>
      <ability>L2_HalfPunc</ability>
      <abilityName>全半角检查</abilityName>
      <candidateList>
        <item>+</item>
      </candidateList>
      <explain>文本全半角错误。</explain>
      <paraID>7038D274</paraID>
      <start>0</start>
      <end>1</end>
      <status>unmodified</status>
      <modifiedWord/>
      <trackRevisions>false</trackRevisions>
    </reviewItem>
    <reviewItem>
      <errorID>7b4a773b-20a7-46cf-a17e-050d4f958172</errorID>
      <errorWord>＋</errorWord>
      <group>L1_Format</group>
      <groupName>格式问题</groupName>
      <ability>L2_HalfPunc</ability>
      <abilityName>全半角检查</abilityName>
      <candidateList>
        <item>+</item>
      </candidateList>
      <explain>文本全半角错误。</explain>
      <paraID>7A8820CE</paraID>
      <start>0</start>
      <end>1</end>
      <status>unmodified</status>
      <modifiedWord/>
      <trackRevisions>false</trackRevisions>
    </reviewItem>
    <reviewItem>
      <errorID>13169770-9bdc-4916-bc52-35afe5ec815d</errorID>
      <errorWord>＋</errorWord>
      <group>L1_Format</group>
      <groupName>格式问题</groupName>
      <ability>L2_HalfPunc</ability>
      <abilityName>全半角检查</abilityName>
      <candidateList>
        <item>+</item>
      </candidateList>
      <explain>文本全半角错误。</explain>
      <paraID>5D33500A</paraID>
      <start>0</start>
      <end>1</end>
      <status>unmodified</status>
      <modifiedWord/>
      <trackRevisions>false</trackRevisions>
    </reviewItem>
    <reviewItem>
      <errorID>8907b3ee-509b-4944-9d20-22db134ac15b</errorID>
      <errorWord>＋</errorWord>
      <group>L1_Format</group>
      <groupName>格式问题</groupName>
      <ability>L2_HalfPunc</ability>
      <abilityName>全半角检查</abilityName>
      <candidateList>
        <item>+</item>
      </candidateList>
      <explain>文本全半角错误。</explain>
      <paraID>3C588EBF</paraID>
      <start>0</start>
      <end>1</end>
      <status>unmodified</status>
      <modifiedWord/>
      <trackRevisions>false</trackRevisions>
    </reviewItem>
    <reviewItem>
      <errorID>c9cfe509-7e20-4a7e-8e91-594b3ed38746</errorID>
      <errorWord>＋</errorWord>
      <group>L1_Format</group>
      <groupName>格式问题</groupName>
      <ability>L2_HalfPunc</ability>
      <abilityName>全半角检查</abilityName>
      <candidateList>
        <item>+</item>
      </candidateList>
      <explain>文本全半角错误。</explain>
      <paraID>205016AD</paraID>
      <start>0</start>
      <end>1</end>
      <status>unmodified</status>
      <modifiedWord/>
      <trackRevisions>false</trackRevisions>
    </reviewItem>
    <reviewItem>
      <errorID>7aceb2e3-65fa-4aa5-8e45-9b7ed5819458</errorID>
      <errorWord>＋</errorWord>
      <group>L1_Format</group>
      <groupName>格式问题</groupName>
      <ability>L2_HalfPunc</ability>
      <abilityName>全半角检查</abilityName>
      <candidateList>
        <item>+</item>
      </candidateList>
      <explain>文本全半角错误。</explain>
      <paraID>532DF201</paraID>
      <start>0</start>
      <end>1</end>
      <status>unmodified</status>
      <modifiedWord/>
      <trackRevisions>false</trackRevisions>
    </reviewItem>
    <reviewItem>
      <errorID>a4192250-946c-4bb8-96df-e42088c57a6a</errorID>
      <errorWord>＋</errorWord>
      <group>L1_Format</group>
      <groupName>格式问题</groupName>
      <ability>L2_HalfPunc</ability>
      <abilityName>全半角检查</abilityName>
      <candidateList>
        <item>+</item>
      </candidateList>
      <explain>文本全半角错误。</explain>
      <paraID>46792EAC</paraID>
      <start>0</start>
      <end>1</end>
      <status>unmodified</status>
      <modifiedWord/>
      <trackRevisions>false</trackRevisions>
    </reviewItem>
    <reviewItem>
      <errorID>13a9cf02-63fa-4153-bcf3-a20d92f36b19</errorID>
      <errorWord>＋</errorWord>
      <group>L1_Format</group>
      <groupName>格式问题</groupName>
      <ability>L2_HalfPunc</ability>
      <abilityName>全半角检查</abilityName>
      <candidateList>
        <item>+</item>
      </candidateList>
      <explain>文本全半角错误。</explain>
      <paraID>2749269E</paraID>
      <start>0</start>
      <end>1</end>
      <status>unmodified</status>
      <modifiedWord/>
      <trackRevisions>false</trackRevisions>
    </reviewItem>
    <reviewItem>
      <errorID>464e324b-e217-4054-8ea7-3aa6a1e25095</errorID>
      <errorWord>＋</errorWord>
      <group>L1_Format</group>
      <groupName>格式问题</groupName>
      <ability>L2_HalfPunc</ability>
      <abilityName>全半角检查</abilityName>
      <candidateList>
        <item>+</item>
      </candidateList>
      <explain>文本全半角错误。</explain>
      <paraID> A0596C7</paraID>
      <start>0</start>
      <end>1</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97bd6a-de5d-4a39-91ce-0d0bc7cc0a20}">
  <ds:schemaRefs/>
</ds:datastoreItem>
</file>

<file path=customXml/itemProps3.xml><?xml version="1.0" encoding="utf-8"?>
<ds:datastoreItem xmlns:ds="http://schemas.openxmlformats.org/officeDocument/2006/customXml" ds:itemID="{0EF27081-4721-4EAF-8309-AEE15C7EB864}">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62</Pages>
  <Words>113</Words>
  <Characters>136</Characters>
  <Lines>230</Lines>
  <Paragraphs>64</Paragraphs>
  <TotalTime>2</TotalTime>
  <ScaleCrop>false</ScaleCrop>
  <LinksUpToDate>false</LinksUpToDate>
  <CharactersWithSpaces>136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2025-06-12T01:04:00Z</dcterms:created>
  <dc:creator>L</dc:creator>
  <cp:lastModifiedBy>刘士杰</cp:lastModifiedBy>
  <cp:lastPrinted>2022-08-31T07:39:00Z</cp:lastPrinted>
  <dcterms:modified xsi:type="dcterms:W3CDTF">2026-05-07T08:57:02Z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AF17DF287AA4474DBD2650E8C35C4BD7_13</vt:lpwstr>
  </property>
  <property fmtid="{D5CDD505-2E9C-101B-9397-08002B2CF9AE}" pid="4" name="KSOTemplateDocerSaveRecord">
    <vt:lpwstr>eyJoZGlkIjoiNmI1MmY1Mjc5YjcxMjI3NDJiMGZjMDNiN2ZhMWI2ZDgiLCJ1c2VySWQiOiIzMzg4MTY1NjUifQ==</vt:lpwstr>
  </property>
</Properties>
</file>